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8AB3C">
      <w:pPr>
        <w:pStyle w:val="8"/>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jc w:val="center"/>
        <w:textAlignment w:val="auto"/>
        <w:rPr>
          <w:rFonts w:hint="default" w:eastAsia="方正小标宋简体" w:cs="Arial"/>
          <w:bCs/>
          <w:color w:val="auto"/>
          <w:spacing w:val="5"/>
          <w:sz w:val="44"/>
          <w:szCs w:val="44"/>
          <w:lang w:val="en-US" w:eastAsia="zh-CN"/>
        </w:rPr>
      </w:pPr>
      <w:r>
        <w:rPr>
          <w:rFonts w:hint="eastAsia" w:eastAsia="方正小标宋简体"/>
          <w:color w:val="auto"/>
          <w:sz w:val="44"/>
          <w:szCs w:val="44"/>
        </w:rPr>
        <w:t>关于</w:t>
      </w:r>
      <w:r>
        <w:rPr>
          <w:rFonts w:hint="eastAsia" w:eastAsia="方正小标宋简体"/>
          <w:color w:val="auto"/>
          <w:sz w:val="44"/>
          <w:szCs w:val="44"/>
          <w:lang w:eastAsia="zh-CN"/>
        </w:rPr>
        <w:t>“</w:t>
      </w:r>
      <w:r>
        <w:rPr>
          <w:rFonts w:hint="eastAsia" w:eastAsia="方正小标宋简体"/>
          <w:color w:val="auto"/>
          <w:sz w:val="44"/>
          <w:szCs w:val="44"/>
        </w:rPr>
        <w:t>《云南固恒新材料有限公司不定形耐火材料生产建设项目》的环境影响报告表</w:t>
      </w:r>
      <w:r>
        <w:rPr>
          <w:rFonts w:hint="eastAsia" w:eastAsia="方正小标宋简体"/>
          <w:color w:val="auto"/>
          <w:sz w:val="44"/>
          <w:szCs w:val="44"/>
          <w:lang w:eastAsia="zh-CN"/>
        </w:rPr>
        <w:t>”受理</w:t>
      </w:r>
      <w:r>
        <w:rPr>
          <w:rFonts w:hint="eastAsia" w:eastAsia="方正小标宋简体"/>
          <w:color w:val="auto"/>
          <w:sz w:val="44"/>
          <w:szCs w:val="44"/>
          <w:lang w:val="en-US" w:eastAsia="zh-CN"/>
        </w:rPr>
        <w:t>起草说明</w:t>
      </w:r>
    </w:p>
    <w:p w14:paraId="046A805F">
      <w:pPr>
        <w:pStyle w:val="15"/>
        <w:ind w:left="0" w:leftChars="0" w:firstLine="0" w:firstLineChars="0"/>
        <w:rPr>
          <w:color w:val="auto"/>
        </w:rPr>
      </w:pPr>
    </w:p>
    <w:p w14:paraId="786EB52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eastAsia="仿宋_GB2312"/>
          <w:color w:val="auto"/>
          <w:sz w:val="32"/>
          <w:szCs w:val="32"/>
        </w:rPr>
      </w:pPr>
      <w:r>
        <w:rPr>
          <w:rFonts w:hint="eastAsia" w:ascii="宋体" w:hAnsi="宋体" w:eastAsia="黑体"/>
          <w:color w:val="auto"/>
          <w:sz w:val="32"/>
          <w:szCs w:val="32"/>
        </w:rPr>
        <w:t>一、</w:t>
      </w:r>
      <w:r>
        <w:rPr>
          <w:rFonts w:hint="eastAsia" w:ascii="黑体" w:eastAsia="黑体"/>
          <w:color w:val="auto"/>
          <w:sz w:val="32"/>
          <w:szCs w:val="32"/>
        </w:rPr>
        <w:t>关于《云南固恒新材料有限公司不定形耐火材料生产建设项目》的主要情况说明</w:t>
      </w:r>
    </w:p>
    <w:p w14:paraId="75A72AF7">
      <w:pPr>
        <w:keepNext w:val="0"/>
        <w:keepLines w:val="0"/>
        <w:pageBreakBefore w:val="0"/>
        <w:widowControl w:val="0"/>
        <w:kinsoku/>
        <w:wordWrap/>
        <w:overflowPunct/>
        <w:topLinePunct w:val="0"/>
        <w:autoSpaceDE/>
        <w:autoSpaceDN/>
        <w:bidi w:val="0"/>
        <w:spacing w:line="560" w:lineRule="exact"/>
        <w:ind w:firstLine="608" w:firstLineChars="200"/>
        <w:textAlignment w:val="auto"/>
        <w:rPr>
          <w:rFonts w:ascii="楷体_GB2312" w:hAnsi="楷体_GB2312" w:eastAsia="楷体_GB2312" w:cs="楷体_GB2312"/>
          <w:color w:val="auto"/>
          <w:spacing w:val="-8"/>
          <w:sz w:val="32"/>
          <w:szCs w:val="32"/>
        </w:rPr>
      </w:pPr>
      <w:r>
        <w:rPr>
          <w:rFonts w:hint="eastAsia" w:ascii="楷体_GB2312" w:hAnsi="楷体_GB2312" w:eastAsia="楷体_GB2312" w:cs="楷体_GB2312"/>
          <w:color w:val="auto"/>
          <w:spacing w:val="-8"/>
          <w:sz w:val="32"/>
          <w:szCs w:val="32"/>
        </w:rPr>
        <w:t>（一）</w:t>
      </w:r>
      <w:r>
        <w:rPr>
          <w:rFonts w:hint="eastAsia" w:ascii="楷体_GB2312" w:hAnsi="楷体_GB2312" w:eastAsia="楷体_GB2312" w:cs="楷体_GB2312"/>
          <w:color w:val="auto"/>
          <w:spacing w:val="-8"/>
          <w:sz w:val="32"/>
          <w:szCs w:val="32"/>
          <w:lang w:eastAsia="zh-CN"/>
        </w:rPr>
        <w:t>项目</w:t>
      </w:r>
      <w:r>
        <w:rPr>
          <w:rFonts w:hint="eastAsia" w:ascii="楷体_GB2312" w:hAnsi="楷体_GB2312" w:eastAsia="楷体_GB2312" w:cs="楷体_GB2312"/>
          <w:color w:val="auto"/>
          <w:spacing w:val="-8"/>
          <w:sz w:val="32"/>
          <w:szCs w:val="32"/>
        </w:rPr>
        <w:t>背景情况</w:t>
      </w:r>
    </w:p>
    <w:p w14:paraId="478355AC">
      <w:pPr>
        <w:pStyle w:val="8"/>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0" w:firstLineChars="200"/>
        <w:textAlignment w:val="auto"/>
        <w:rPr>
          <w:rFonts w:hint="default" w:ascii="仿宋_GB2312" w:eastAsia="仿宋_GB2312"/>
          <w:color w:val="auto"/>
          <w:sz w:val="32"/>
          <w:szCs w:val="32"/>
          <w:lang w:eastAsia="zh-CN"/>
        </w:rPr>
      </w:pPr>
      <w:r>
        <w:rPr>
          <w:rFonts w:hint="eastAsia" w:ascii="仿宋_GB2312" w:eastAsia="仿宋_GB2312"/>
          <w:color w:val="auto"/>
          <w:sz w:val="32"/>
          <w:szCs w:val="32"/>
          <w:lang w:val="en-US" w:eastAsia="zh-CN"/>
        </w:rPr>
        <w:t>云南固恒新材料有限公司成立于2025年01月14日，是一家从事耐火材料生产、耐火材料销售等业务的企业</w:t>
      </w:r>
      <w:r>
        <w:rPr>
          <w:rFonts w:hint="default" w:ascii="仿宋_GB2312" w:eastAsia="仿宋_GB2312"/>
          <w:color w:val="auto"/>
          <w:sz w:val="32"/>
          <w:szCs w:val="32"/>
          <w:lang w:eastAsia="zh-CN"/>
        </w:rPr>
        <w:t>。</w:t>
      </w:r>
    </w:p>
    <w:p w14:paraId="1BC3FAD4">
      <w:pPr>
        <w:pStyle w:val="8"/>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随着云南省冶金、建材等高温工业稳步发展，区域耐火材料市场需求量持续增加。为顺应产业发展趋势，完善区域工业配套链条，云南固恒新材料有限公司依托天生桥工业园区内企业云南睿朗环保工程有限公司生产的产品高铝矾土熟料（该公司年产高铝矾土熟料35600t）作为主要原料来源，租用工业园区内云南沣润物业服务有限公司和云南召阳置业有限公司现有标准厂房建设“云南固恒新材料有限公司不定形耐火材料生产建设项目”。</w:t>
      </w:r>
    </w:p>
    <w:p w14:paraId="77664811">
      <w:pPr>
        <w:pStyle w:val="8"/>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本项目主要建设内容为在租用厂房内安装生产设施、设备，布置不定形耐火材料生产线2条，年产不定形耐火材料30000t。</w:t>
      </w:r>
      <w:r>
        <w:rPr>
          <w:rFonts w:hint="default" w:ascii="仿宋_GB2312" w:hAnsi="仿宋_GB2312" w:eastAsia="仿宋_GB2312" w:cs="仿宋_GB2312"/>
          <w:color w:val="auto"/>
          <w:sz w:val="32"/>
          <w:szCs w:val="32"/>
          <w:lang w:val="en-US" w:eastAsia="zh-CN"/>
        </w:rPr>
        <w:t>为提升产品经济效益以及满足下游客户购买需求，建设单位根据客户需求计划将部分散装产品采用高压干粉压球机压成10</w:t>
      </w:r>
      <w:r>
        <w:rPr>
          <w:rFonts w:hint="eastAsia" w:ascii="仿宋_GB2312" w:hAnsi="仿宋_GB2312" w:eastAsia="仿宋_GB2312" w:cs="仿宋_GB2312"/>
          <w:color w:val="auto"/>
          <w:sz w:val="32"/>
          <w:szCs w:val="32"/>
          <w:lang w:val="en-US" w:eastAsia="zh-CN"/>
        </w:rPr>
        <w:t>-</w:t>
      </w:r>
      <w:r>
        <w:rPr>
          <w:rFonts w:hint="default" w:ascii="仿宋_GB2312" w:hAnsi="仿宋_GB2312" w:eastAsia="仿宋_GB2312" w:cs="仿宋_GB2312"/>
          <w:color w:val="auto"/>
          <w:sz w:val="32"/>
          <w:szCs w:val="32"/>
          <w:lang w:val="en-US" w:eastAsia="zh-CN"/>
        </w:rPr>
        <w:t>30mm大小的球状进行外售，每年压球量为1000t，压球成型后产品形态规整、球状料透气性、熔融沉降性优于细粉料，适配下游钢铁、冶炼等企业炉窑使用。</w:t>
      </w:r>
    </w:p>
    <w:p w14:paraId="1909290B">
      <w:pPr>
        <w:pStyle w:val="8"/>
        <w:keepNext w:val="0"/>
        <w:keepLines w:val="0"/>
        <w:pageBreakBefore w:val="0"/>
        <w:widowControl w:val="0"/>
        <w:numPr>
          <w:ilvl w:val="0"/>
          <w:numId w:val="0"/>
        </w:numPr>
        <w:shd w:val="clear" w:color="auto" w:fill="FFFFFF"/>
        <w:kinsoku/>
        <w:wordWrap/>
        <w:overflowPunct/>
        <w:topLinePunct w:val="0"/>
        <w:autoSpaceDE/>
        <w:autoSpaceDN/>
        <w:bidi w:val="0"/>
        <w:spacing w:before="0" w:beforeAutospacing="0" w:after="0" w:afterAutospacing="0" w:line="560" w:lineRule="exact"/>
        <w:ind w:firstLine="608" w:firstLineChars="200"/>
        <w:jc w:val="both"/>
        <w:textAlignment w:val="auto"/>
        <w:rPr>
          <w:rFonts w:hint="eastAsia" w:ascii="楷体_GB2312" w:hAnsi="楷体_GB2312" w:eastAsia="楷体_GB2312" w:cs="楷体_GB2312"/>
          <w:color w:val="auto"/>
          <w:spacing w:val="-8"/>
          <w:sz w:val="32"/>
          <w:szCs w:val="32"/>
        </w:rPr>
      </w:pPr>
      <w:r>
        <w:rPr>
          <w:rFonts w:hint="eastAsia" w:ascii="楷体_GB2312" w:hAnsi="楷体_GB2312" w:eastAsia="楷体_GB2312" w:cs="楷体_GB2312"/>
          <w:color w:val="auto"/>
          <w:spacing w:val="-8"/>
          <w:kern w:val="0"/>
          <w:sz w:val="32"/>
          <w:szCs w:val="32"/>
          <w:lang w:val="en-US" w:eastAsia="zh-CN" w:bidi="ar-SA"/>
        </w:rPr>
        <w:t>（二）</w:t>
      </w:r>
      <w:r>
        <w:rPr>
          <w:rFonts w:hint="eastAsia" w:ascii="楷体_GB2312" w:hAnsi="楷体_GB2312" w:eastAsia="楷体_GB2312" w:cs="楷体_GB2312"/>
          <w:color w:val="auto"/>
          <w:spacing w:val="-8"/>
          <w:sz w:val="32"/>
          <w:szCs w:val="32"/>
          <w:lang w:eastAsia="zh-CN"/>
        </w:rPr>
        <w:t>项目环境影响评价</w:t>
      </w:r>
      <w:r>
        <w:rPr>
          <w:rFonts w:hint="eastAsia" w:ascii="楷体_GB2312" w:hAnsi="楷体_GB2312" w:eastAsia="楷体_GB2312" w:cs="楷体_GB2312"/>
          <w:color w:val="auto"/>
          <w:spacing w:val="-8"/>
          <w:sz w:val="32"/>
          <w:szCs w:val="32"/>
        </w:rPr>
        <w:t>背景情况</w:t>
      </w:r>
    </w:p>
    <w:p w14:paraId="097513E1">
      <w:pPr>
        <w:pStyle w:val="8"/>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0" w:firstLineChars="200"/>
        <w:jc w:val="both"/>
        <w:textAlignment w:val="auto"/>
        <w:rPr>
          <w:rFonts w:hint="eastAsia" w:ascii="仿宋_GB2312" w:hAnsi="宋体" w:eastAsia="仿宋_GB2312" w:cs="宋体"/>
          <w:color w:val="auto"/>
          <w:sz w:val="32"/>
          <w:szCs w:val="32"/>
          <w:lang w:val="en-US" w:eastAsia="zh-CN"/>
        </w:rPr>
      </w:pPr>
      <w:r>
        <w:rPr>
          <w:rFonts w:hint="default" w:ascii="仿宋_GB2312" w:hAnsi="宋体" w:eastAsia="仿宋_GB2312" w:cs="宋体"/>
          <w:color w:val="auto"/>
          <w:sz w:val="32"/>
          <w:szCs w:val="32"/>
          <w:lang w:val="en-US" w:eastAsia="zh-CN"/>
        </w:rPr>
        <w:t>本项目为耐火材料制品制造业</w:t>
      </w:r>
      <w:r>
        <w:rPr>
          <w:rFonts w:hint="default" w:ascii="仿宋_GB2312" w:hAnsi="宋体" w:eastAsia="仿宋_GB2312" w:cs="宋体"/>
          <w:color w:val="auto"/>
          <w:sz w:val="32"/>
          <w:szCs w:val="32"/>
          <w:lang w:eastAsia="zh-CN"/>
        </w:rPr>
        <w:t>，对照国民经济行业分类（GBT4754-2017）及其注</w:t>
      </w:r>
      <w:r>
        <w:rPr>
          <w:rFonts w:hint="default" w:ascii="仿宋_GB2312" w:hAnsi="宋体" w:eastAsia="仿宋_GB2312" w:cs="宋体"/>
          <w:color w:val="auto"/>
          <w:sz w:val="32"/>
          <w:szCs w:val="32"/>
          <w:lang w:val="en-US" w:eastAsia="zh-CN"/>
        </w:rPr>
        <w:t>释，本项目属于C3089 耐火陶瓷制品及其他耐火材料制造。根据《中华人民共和国环境影响评价法》（2018年12月29日修正）、《建设项目环境影响评价分类管理名录》（2021年版）等相关规定，本项目属于“二十七、非金属矿物制品业30—耐火材料制品制造308—其他”类的项目，应编制环境影响报告表。</w:t>
      </w:r>
    </w:p>
    <w:p w14:paraId="45F984D6">
      <w:pPr>
        <w:keepNext w:val="0"/>
        <w:keepLines w:val="0"/>
        <w:pageBreakBefore w:val="0"/>
        <w:widowControl w:val="0"/>
        <w:numPr>
          <w:ilvl w:val="0"/>
          <w:numId w:val="1"/>
        </w:numPr>
        <w:kinsoku/>
        <w:wordWrap/>
        <w:overflowPunct/>
        <w:topLinePunct w:val="0"/>
        <w:autoSpaceDE/>
        <w:autoSpaceDN/>
        <w:bidi w:val="0"/>
        <w:spacing w:line="560" w:lineRule="exact"/>
        <w:ind w:firstLine="640" w:firstLineChars="200"/>
        <w:textAlignment w:val="auto"/>
        <w:rPr>
          <w:rFonts w:ascii="黑体" w:hAnsi="黑体" w:eastAsia="黑体" w:cs="黑体"/>
          <w:color w:val="auto"/>
          <w:sz w:val="32"/>
          <w:szCs w:val="32"/>
        </w:rPr>
      </w:pPr>
      <w:r>
        <w:rPr>
          <w:rFonts w:hint="eastAsia" w:ascii="黑体" w:hAnsi="黑体" w:eastAsia="黑体" w:cs="黑体"/>
          <w:color w:val="auto"/>
          <w:sz w:val="32"/>
          <w:szCs w:val="32"/>
        </w:rPr>
        <w:t>项目环境影响</w:t>
      </w:r>
      <w:r>
        <w:rPr>
          <w:rFonts w:hint="eastAsia" w:ascii="黑体" w:hAnsi="黑体" w:eastAsia="黑体" w:cs="黑体"/>
          <w:color w:val="auto"/>
          <w:sz w:val="32"/>
          <w:szCs w:val="32"/>
          <w:lang w:eastAsia="zh-CN"/>
        </w:rPr>
        <w:t>报告表</w:t>
      </w:r>
      <w:r>
        <w:rPr>
          <w:rFonts w:hint="eastAsia" w:ascii="黑体" w:hAnsi="黑体" w:eastAsia="黑体" w:cs="黑体"/>
          <w:color w:val="auto"/>
          <w:sz w:val="32"/>
          <w:szCs w:val="32"/>
        </w:rPr>
        <w:t>主要内容</w:t>
      </w:r>
    </w:p>
    <w:p w14:paraId="4CA6036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楷体_GB2312" w:eastAsia="仿宋_GB2312" w:cs="楷体_GB2312"/>
          <w:sz w:val="32"/>
          <w:szCs w:val="32"/>
          <w:lang w:eastAsia="zh-CN"/>
        </w:rPr>
      </w:pPr>
      <w:r>
        <w:rPr>
          <w:rFonts w:hint="eastAsia" w:ascii="仿宋_GB2312" w:eastAsia="仿宋_GB2312"/>
          <w:sz w:val="32"/>
          <w:szCs w:val="32"/>
          <w:lang w:eastAsia="zh-CN"/>
        </w:rPr>
        <w:t>主要内容</w:t>
      </w:r>
      <w:r>
        <w:rPr>
          <w:rFonts w:hint="eastAsia" w:ascii="仿宋_GB2312" w:hAnsi="楷体_GB2312" w:eastAsia="仿宋_GB2312" w:cs="楷体_GB2312"/>
          <w:sz w:val="32"/>
          <w:szCs w:val="32"/>
        </w:rPr>
        <w:t>共有</w:t>
      </w:r>
      <w:r>
        <w:rPr>
          <w:rFonts w:hint="eastAsia" w:ascii="仿宋_GB2312" w:hAnsi="楷体_GB2312" w:eastAsia="仿宋_GB2312" w:cs="楷体_GB2312"/>
          <w:sz w:val="32"/>
          <w:szCs w:val="32"/>
          <w:lang w:eastAsia="zh-CN"/>
        </w:rPr>
        <w:t>六</w:t>
      </w:r>
      <w:r>
        <w:rPr>
          <w:rFonts w:hint="eastAsia" w:ascii="仿宋_GB2312" w:hAnsi="楷体_GB2312" w:eastAsia="仿宋_GB2312" w:cs="楷体_GB2312"/>
          <w:sz w:val="32"/>
          <w:szCs w:val="32"/>
        </w:rPr>
        <w:t>章</w:t>
      </w:r>
      <w:r>
        <w:rPr>
          <w:rFonts w:hint="eastAsia" w:ascii="仿宋_GB2312" w:hAnsi="楷体_GB2312" w:eastAsia="仿宋_GB2312" w:cs="楷体_GB2312"/>
          <w:sz w:val="32"/>
          <w:szCs w:val="32"/>
          <w:lang w:eastAsia="zh-CN"/>
        </w:rPr>
        <w:t>。</w:t>
      </w:r>
    </w:p>
    <w:p w14:paraId="56CFABEA">
      <w:pPr>
        <w:pStyle w:val="15"/>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楷体_GB2312" w:eastAsia="仿宋_GB2312" w:cs="楷体_GB2312"/>
          <w:sz w:val="32"/>
          <w:szCs w:val="32"/>
        </w:rPr>
      </w:pPr>
      <w:r>
        <w:rPr>
          <w:rFonts w:hint="eastAsia" w:ascii="仿宋_GB2312" w:hAnsi="楷体_GB2312" w:eastAsia="仿宋_GB2312" w:cs="楷体_GB2312"/>
          <w:sz w:val="32"/>
          <w:szCs w:val="32"/>
        </w:rPr>
        <w:t>（一）</w:t>
      </w:r>
      <w:r>
        <w:rPr>
          <w:rFonts w:hint="eastAsia" w:ascii="仿宋_GB2312" w:hAnsi="楷体_GB2312" w:eastAsia="仿宋_GB2312" w:cs="楷体_GB2312"/>
          <w:sz w:val="32"/>
          <w:szCs w:val="32"/>
          <w:lang w:eastAsia="zh-CN"/>
        </w:rPr>
        <w:t>建设项目基本情况</w:t>
      </w:r>
      <w:r>
        <w:rPr>
          <w:rFonts w:hint="eastAsia" w:ascii="仿宋_GB2312" w:hAnsi="楷体_GB2312" w:eastAsia="仿宋_GB2312" w:cs="楷体_GB2312"/>
          <w:sz w:val="32"/>
          <w:szCs w:val="32"/>
        </w:rPr>
        <w:t>。主要</w:t>
      </w:r>
      <w:r>
        <w:rPr>
          <w:rFonts w:hint="eastAsia" w:ascii="仿宋_GB2312" w:hAnsi="楷体_GB2312" w:eastAsia="仿宋_GB2312" w:cs="楷体_GB2312"/>
          <w:sz w:val="32"/>
          <w:szCs w:val="32"/>
          <w:lang w:eastAsia="zh-CN"/>
        </w:rPr>
        <w:t>就项目基本情况进行介绍，同时对项目专项评价设置情况、规划情况、规划及规划环境影响评价符合性等进行</w:t>
      </w:r>
      <w:r>
        <w:rPr>
          <w:rFonts w:hint="eastAsia" w:ascii="仿宋_GB2312" w:hAnsi="楷体_GB2312" w:eastAsia="仿宋_GB2312" w:cs="楷体_GB2312"/>
          <w:sz w:val="32"/>
          <w:szCs w:val="32"/>
        </w:rPr>
        <w:t>阐述</w:t>
      </w:r>
      <w:r>
        <w:rPr>
          <w:rFonts w:hint="eastAsia" w:ascii="仿宋_GB2312" w:hAnsi="楷体_GB2312" w:eastAsia="仿宋_GB2312" w:cs="楷体_GB2312"/>
          <w:sz w:val="32"/>
          <w:szCs w:val="32"/>
          <w:lang w:eastAsia="zh-CN"/>
        </w:rPr>
        <w:t>分析</w:t>
      </w:r>
      <w:r>
        <w:rPr>
          <w:rFonts w:hint="eastAsia" w:ascii="仿宋_GB2312" w:hAnsi="楷体_GB2312" w:eastAsia="仿宋_GB2312" w:cs="楷体_GB2312"/>
          <w:sz w:val="32"/>
          <w:szCs w:val="32"/>
        </w:rPr>
        <w:t>。</w:t>
      </w:r>
    </w:p>
    <w:p w14:paraId="3440B332">
      <w:pPr>
        <w:pStyle w:val="15"/>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（二）建设项目工程分析。</w:t>
      </w:r>
      <w:r>
        <w:rPr>
          <w:rFonts w:hint="eastAsia" w:ascii="仿宋_GB2312" w:hAnsi="仿宋_GB2312" w:eastAsia="仿宋_GB2312" w:cs="仿宋_GB2312"/>
          <w:sz w:val="32"/>
          <w:szCs w:val="32"/>
          <w:lang w:eastAsia="zh-CN"/>
        </w:rPr>
        <w:t>主要进行如下介绍分析：</w:t>
      </w:r>
      <w:r>
        <w:rPr>
          <w:rFonts w:hint="eastAsia" w:ascii="仿宋_GB2312" w:hAnsi="仿宋_GB2312" w:eastAsia="仿宋_GB2312" w:cs="仿宋_GB2312"/>
          <w:sz w:val="32"/>
          <w:szCs w:val="32"/>
        </w:rPr>
        <w:t>建设内容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工艺流程和产排污环节</w:t>
      </w:r>
      <w:r>
        <w:rPr>
          <w:rFonts w:hint="eastAsia" w:ascii="仿宋_GB2312" w:hAnsi="仿宋_GB2312" w:eastAsia="仿宋_GB2312" w:cs="仿宋_GB2312"/>
          <w:sz w:val="32"/>
          <w:szCs w:val="32"/>
          <w:lang w:eastAsia="zh-CN"/>
        </w:rPr>
        <w:t>、与项目有关的原有环境污染问题</w:t>
      </w:r>
      <w:r>
        <w:rPr>
          <w:rFonts w:hint="eastAsia" w:ascii="仿宋_GB2312" w:hAnsi="仿宋_GB2312" w:eastAsia="仿宋_GB2312" w:cs="仿宋_GB2312"/>
          <w:sz w:val="32"/>
          <w:szCs w:val="32"/>
        </w:rPr>
        <w:t>。</w:t>
      </w:r>
    </w:p>
    <w:p w14:paraId="6A6945F8">
      <w:pPr>
        <w:pStyle w:val="15"/>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（三）区域环境质量现状、环境保护目标及评价标准。</w:t>
      </w:r>
      <w:r>
        <w:rPr>
          <w:rFonts w:hint="eastAsia" w:ascii="仿宋_GB2312" w:hAnsi="仿宋_GB2312" w:eastAsia="仿宋_GB2312" w:cs="仿宋_GB2312"/>
          <w:sz w:val="32"/>
          <w:szCs w:val="32"/>
          <w:lang w:eastAsia="zh-CN"/>
        </w:rPr>
        <w:t>要进行如下介绍分析：</w:t>
      </w:r>
      <w:r>
        <w:rPr>
          <w:rFonts w:hint="eastAsia" w:ascii="仿宋_GB2312" w:hAnsi="仿宋_GB2312" w:eastAsia="仿宋_GB2312" w:cs="仿宋_GB2312"/>
          <w:sz w:val="32"/>
          <w:szCs w:val="32"/>
        </w:rPr>
        <w:t>区域环境质量</w:t>
      </w:r>
      <w:r>
        <w:rPr>
          <w:rFonts w:hint="eastAsia" w:ascii="仿宋_GB2312" w:hAnsi="仿宋_GB2312" w:eastAsia="仿宋_GB2312" w:cs="仿宋_GB2312"/>
          <w:sz w:val="32"/>
          <w:szCs w:val="32"/>
          <w:lang w:eastAsia="zh-CN"/>
        </w:rPr>
        <w:t>、环境保护目标、污染物排放控制标准、总量控制指标。</w:t>
      </w:r>
    </w:p>
    <w:p w14:paraId="5C992C0C">
      <w:pPr>
        <w:pStyle w:val="15"/>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（四）主要环境影响和保护措施。</w:t>
      </w:r>
      <w:r>
        <w:rPr>
          <w:rFonts w:hint="eastAsia" w:ascii="仿宋_GB2312" w:hAnsi="仿宋_GB2312" w:eastAsia="仿宋_GB2312" w:cs="仿宋_GB2312"/>
          <w:sz w:val="32"/>
          <w:szCs w:val="32"/>
          <w:lang w:eastAsia="zh-CN"/>
        </w:rPr>
        <w:t>主要进行如下介绍分析：</w:t>
      </w:r>
      <w:r>
        <w:rPr>
          <w:rFonts w:hint="eastAsia" w:ascii="仿宋_GB2312" w:hAnsi="仿宋_GB2312" w:eastAsia="仿宋_GB2312" w:cs="仿宋_GB2312"/>
          <w:sz w:val="32"/>
          <w:szCs w:val="32"/>
        </w:rPr>
        <w:t>施工期环境保护措施</w:t>
      </w:r>
      <w:r>
        <w:rPr>
          <w:rFonts w:hint="eastAsia" w:ascii="仿宋_GB2312" w:hAnsi="仿宋_GB2312" w:eastAsia="仿宋_GB2312" w:cs="仿宋_GB2312"/>
          <w:sz w:val="32"/>
          <w:szCs w:val="32"/>
          <w:lang w:eastAsia="zh-CN"/>
        </w:rPr>
        <w:t>、运营期环境影响和保护措施。</w:t>
      </w:r>
    </w:p>
    <w:p w14:paraId="2CA6C536">
      <w:pPr>
        <w:keepNext w:val="0"/>
        <w:keepLines w:val="0"/>
        <w:pageBreakBefore w:val="0"/>
        <w:widowControl w:val="0"/>
        <w:kinsoku/>
        <w:wordWrap/>
        <w:overflowPunct/>
        <w:topLinePunct w:val="0"/>
        <w:autoSpaceDE/>
        <w:autoSpaceDN/>
        <w:bidi w:val="0"/>
        <w:spacing w:line="560" w:lineRule="exact"/>
        <w:ind w:left="638" w:leftChars="304" w:firstLine="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（五）环境保护措施监督检查清单。按要素填写相关内容。</w:t>
      </w:r>
      <w:r>
        <w:rPr>
          <w:rFonts w:hint="eastAsia" w:ascii="仿宋_GB2312" w:hAnsi="仿宋_GB2312" w:eastAsia="仿宋_GB2312" w:cs="仿宋_GB2312"/>
          <w:color w:val="auto"/>
          <w:sz w:val="32"/>
          <w:szCs w:val="32"/>
        </w:rPr>
        <w:t>（六）结论</w:t>
      </w:r>
    </w:p>
    <w:p w14:paraId="070B9E8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从环境保护角度，明确建设项目环境影响可行或不可行的结论。（无需重复前文所述的项目概况、具体的影响分析及保护措施等内容）</w:t>
      </w:r>
      <w:bookmarkStart w:id="0" w:name="_GoBack"/>
      <w:bookmarkEnd w:id="0"/>
    </w:p>
    <w:p w14:paraId="5F8790B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rPr>
        <w:t>附表：填写建设项目污染物排放量汇总表，其中现有工程污染物排放情况根据排污许可证执行报告填写，无排污许可证执行报告或执行报告中无相关内容的，通过监测数据核算现有工程污染物排放情况。</w:t>
      </w:r>
    </w:p>
    <w:sectPr>
      <w:footerReference r:id="rId3" w:type="default"/>
      <w:pgSz w:w="11906" w:h="16838"/>
      <w:pgMar w:top="2098" w:right="1587"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2010601030101010101"/>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099AD">
    <w:pPr>
      <w:pStyle w:val="7"/>
      <w:ind w:right="360" w:firstLine="360"/>
      <w:rPr>
        <w:sz w:val="32"/>
        <w:szCs w:val="32"/>
      </w:rPr>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-63500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59C3CF">
                          <w:pPr>
                            <w:pStyle w:val="7"/>
                            <w:ind w:right="210" w:rightChars="100"/>
                            <w:rPr>
                              <w:rStyle w:val="13"/>
                              <w:rFonts w:ascii="宋体" w:hAnsi="宋体"/>
                              <w:sz w:val="32"/>
                              <w:szCs w:val="32"/>
                            </w:rPr>
                          </w:pPr>
                          <w:r>
                            <w:rPr>
                              <w:rStyle w:val="13"/>
                              <w:rFonts w:hint="eastAsia" w:ascii="宋体" w:hAnsi="宋体"/>
                              <w:sz w:val="32"/>
                              <w:szCs w:val="32"/>
                            </w:rPr>
                            <w:t>—</w:t>
                          </w:r>
                          <w:r>
                            <w:rPr>
                              <w:rStyle w:val="13"/>
                              <w:rFonts w:ascii="宋体" w:hAnsi="宋体"/>
                              <w:sz w:val="32"/>
                              <w:szCs w:val="32"/>
                            </w:rPr>
                            <w:fldChar w:fldCharType="begin"/>
                          </w:r>
                          <w:r>
                            <w:rPr>
                              <w:rStyle w:val="13"/>
                              <w:rFonts w:ascii="宋体" w:hAnsi="宋体"/>
                              <w:sz w:val="32"/>
                              <w:szCs w:val="32"/>
                            </w:rPr>
                            <w:instrText xml:space="preserve">PAGE  </w:instrText>
                          </w:r>
                          <w:r>
                            <w:rPr>
                              <w:rStyle w:val="13"/>
                              <w:rFonts w:ascii="宋体" w:hAnsi="宋体"/>
                              <w:sz w:val="32"/>
                              <w:szCs w:val="32"/>
                            </w:rPr>
                            <w:fldChar w:fldCharType="separate"/>
                          </w:r>
                          <w:r>
                            <w:rPr>
                              <w:rStyle w:val="13"/>
                              <w:rFonts w:ascii="宋体" w:hAnsi="宋体"/>
                              <w:sz w:val="32"/>
                              <w:szCs w:val="32"/>
                            </w:rPr>
                            <w:t>4</w:t>
                          </w:r>
                          <w:r>
                            <w:rPr>
                              <w:rStyle w:val="13"/>
                              <w:rFonts w:ascii="宋体" w:hAnsi="宋体"/>
                              <w:sz w:val="32"/>
                              <w:szCs w:val="32"/>
                            </w:rPr>
                            <w:fldChar w:fldCharType="end"/>
                          </w:r>
                          <w:r>
                            <w:rPr>
                              <w:rStyle w:val="13"/>
                              <w:rFonts w:hint="eastAsia" w:ascii="宋体" w:hAnsi="宋体"/>
                              <w:sz w:val="32"/>
                              <w:szCs w:val="32"/>
                            </w:rPr>
                            <w:t>—</w:t>
                          </w:r>
                        </w:p>
                      </w:txbxContent>
                    </wps:txbx>
                    <wps:bodyPr wrap="none" lIns="0" tIns="0" rIns="0" bIns="0" upright="0">
                      <a:spAutoFit/>
                    </wps:bodyPr>
                  </wps:wsp>
                </a:graphicData>
              </a:graphic>
            </wp:anchor>
          </w:drawing>
        </mc:Choice>
        <mc:Fallback>
          <w:pict>
            <v:shape id="文本框 1025" o:spid="_x0000_s1026" o:spt="202" type="#_x0000_t202" style="position:absolute;left:0pt;margin-top:-5pt;height:144pt;width:144pt;mso-position-horizontal:outside;mso-position-horizontal-relative:margin;mso-wrap-style:none;z-index:251659264;mso-width-relative:page;mso-height-relative:page;" filled="f" stroked="f" coordsize="21600,21600" o:gfxdata="UEsDBAoAAAAAAIdO4kAAAAAAAAAAAAAAAAAEAAAAZHJzL1BLAwQUAAAACACHTuJAn5b7g9EAAAAI&#10;AQAADwAAAGRycy9kb3ducmV2LnhtbE2PMU/DMBCFdyT+g3VIbK2dDjQKcTpUYmGjICQ2N77GEfY5&#10;st00+fccE2zf6T29e689LMGLGVMeI2motgoEUh/tSIOGj/eXTQ0iF0PW+EioYcUMh+7+rjWNjTd6&#10;w/lUBsEhlBujwZUyNVLm3mEweRsnJNYuMQVT+EyDtMncODx4uVPqSQYzEn9wZsKjw/77dA0a9stn&#10;xCnjEb8uc5/cuNb+ddX68aFSzyAKLuXPDL/1uTp03Okcr2Sz8Bp4SNGwqRQDy7u6Zjgz7Blk18r/&#10;A7ofUEsDBBQAAAAIAIdO4kBKlyLzywEAAJwDAAAOAAAAZHJzL2Uyb0RvYy54bWytU82O0zAQviPx&#10;Dpbv1GklUBU1Xe2qWoSEAGnhAVzHbiz5Tx63SV8A3oATF+48V5+DsZN0YbnsgYsznhl/M983k83N&#10;YA05yQjau4YuFxUl0gnfando6JfP96/WlEDiruXGO9nQswR6s335YtOHWq58500rI0EQB3UfGtql&#10;FGrGQHTSclj4IB0GlY+WJ7zGA2sj7xHdGraqqjes97EN0QsJgN7dGKQTYnwOoFdKC7nz4milSyNq&#10;lIYnpASdDkC3pVulpEgflQKZiGkoMk3lxCJo7/PJthteHyIPnRZTC/w5LTzhZLl2WPQKteOJk2PU&#10;/0BZLaIHr9JCeMtGIkURZLGsnmjz0PEgCxeUGsJVdPh/sOLD6VMkusVNoMRxiwO/fP92+fHr8vMr&#10;WVar11mhPkCNiQ8BU9Nw54ecPfkBnZn4oKLNX6REMI76nq/6yiERkR+tV+t1hSGBsfmCOOzxeYiQ&#10;3kpvSTYaGnGARVd+eg9pTJ1TcjXn77Ux6Oe1cX85EDN7WO597DFbadgPU+N7356RT4+zb6jDVafE&#10;vHMobV6T2YizsZ+NY4j60JU9yvUg3B4TNlF6yxVG2KkwDq2wmxYsb8Wf95L1+FNt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flvuD0QAAAAgBAAAPAAAAAAAAAAEAIAAAACIAAABkcnMvZG93bnJl&#10;di54bWxQSwECFAAUAAAACACHTuJASpci88sBAACcAwAADgAAAAAAAAABACAAAAAgAQAAZHJzL2Uy&#10;b0RvYy54bWxQSwUGAAAAAAYABgBZAQAAXQUAAAAA&#10;">
              <v:fill on="f" focussize="0,0"/>
              <v:stroke on="f"/>
              <v:imagedata o:title=""/>
              <o:lock v:ext="edit" aspectratio="f"/>
              <v:textbox inset="0mm,0mm,0mm,0mm" style="mso-fit-shape-to-text:t;">
                <w:txbxContent>
                  <w:p w14:paraId="2A59C3CF">
                    <w:pPr>
                      <w:pStyle w:val="7"/>
                      <w:ind w:right="210" w:rightChars="100"/>
                      <w:rPr>
                        <w:rStyle w:val="13"/>
                        <w:rFonts w:ascii="宋体" w:hAnsi="宋体"/>
                        <w:sz w:val="32"/>
                        <w:szCs w:val="32"/>
                      </w:rPr>
                    </w:pPr>
                    <w:r>
                      <w:rPr>
                        <w:rStyle w:val="13"/>
                        <w:rFonts w:hint="eastAsia" w:ascii="宋体" w:hAnsi="宋体"/>
                        <w:sz w:val="32"/>
                        <w:szCs w:val="32"/>
                      </w:rPr>
                      <w:t>—</w:t>
                    </w:r>
                    <w:r>
                      <w:rPr>
                        <w:rStyle w:val="13"/>
                        <w:rFonts w:ascii="宋体" w:hAnsi="宋体"/>
                        <w:sz w:val="32"/>
                        <w:szCs w:val="32"/>
                      </w:rPr>
                      <w:fldChar w:fldCharType="begin"/>
                    </w:r>
                    <w:r>
                      <w:rPr>
                        <w:rStyle w:val="13"/>
                        <w:rFonts w:ascii="宋体" w:hAnsi="宋体"/>
                        <w:sz w:val="32"/>
                        <w:szCs w:val="32"/>
                      </w:rPr>
                      <w:instrText xml:space="preserve">PAGE  </w:instrText>
                    </w:r>
                    <w:r>
                      <w:rPr>
                        <w:rStyle w:val="13"/>
                        <w:rFonts w:ascii="宋体" w:hAnsi="宋体"/>
                        <w:sz w:val="32"/>
                        <w:szCs w:val="32"/>
                      </w:rPr>
                      <w:fldChar w:fldCharType="separate"/>
                    </w:r>
                    <w:r>
                      <w:rPr>
                        <w:rStyle w:val="13"/>
                        <w:rFonts w:ascii="宋体" w:hAnsi="宋体"/>
                        <w:sz w:val="32"/>
                        <w:szCs w:val="32"/>
                      </w:rPr>
                      <w:t>4</w:t>
                    </w:r>
                    <w:r>
                      <w:rPr>
                        <w:rStyle w:val="13"/>
                        <w:rFonts w:ascii="宋体" w:hAnsi="宋体"/>
                        <w:sz w:val="32"/>
                        <w:szCs w:val="32"/>
                      </w:rPr>
                      <w:fldChar w:fldCharType="end"/>
                    </w:r>
                    <w:r>
                      <w:rPr>
                        <w:rStyle w:val="13"/>
                        <w:rFonts w:hint="eastAsia" w:ascii="宋体" w:hAnsi="宋体"/>
                        <w:sz w:val="32"/>
                        <w:szCs w:val="32"/>
                      </w:rPr>
                      <w:t>—</w:t>
                    </w:r>
                  </w:p>
                </w:txbxContent>
              </v:textbox>
            </v:shape>
          </w:pict>
        </mc:Fallback>
      </mc:AlternateContent>
    </w:r>
  </w:p>
  <w:p w14:paraId="6AF2F5E1"/>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E3EFB2"/>
    <w:multiLevelType w:val="singleLevel"/>
    <w:tmpl w:val="38E3EFB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zNTUyZjJhNmQzZmYzMDhiMDY4MTFkYTQ3NGRiZTgifQ=="/>
  </w:docVars>
  <w:rsids>
    <w:rsidRoot w:val="007C111D"/>
    <w:rsid w:val="000C49C1"/>
    <w:rsid w:val="001046B0"/>
    <w:rsid w:val="001543DB"/>
    <w:rsid w:val="001C6819"/>
    <w:rsid w:val="00205FDB"/>
    <w:rsid w:val="00267217"/>
    <w:rsid w:val="004316A7"/>
    <w:rsid w:val="00437CC1"/>
    <w:rsid w:val="0044595F"/>
    <w:rsid w:val="0047659F"/>
    <w:rsid w:val="004B7335"/>
    <w:rsid w:val="00556A54"/>
    <w:rsid w:val="00593A1B"/>
    <w:rsid w:val="006110C6"/>
    <w:rsid w:val="00621B89"/>
    <w:rsid w:val="00680DBB"/>
    <w:rsid w:val="006C4168"/>
    <w:rsid w:val="007922F5"/>
    <w:rsid w:val="007C111D"/>
    <w:rsid w:val="00822822"/>
    <w:rsid w:val="00827DC5"/>
    <w:rsid w:val="008F4423"/>
    <w:rsid w:val="00AD6AD4"/>
    <w:rsid w:val="00B23338"/>
    <w:rsid w:val="00B6260A"/>
    <w:rsid w:val="00B85D2F"/>
    <w:rsid w:val="00BB0DC3"/>
    <w:rsid w:val="00C03C7F"/>
    <w:rsid w:val="00C65D42"/>
    <w:rsid w:val="00CB59AD"/>
    <w:rsid w:val="00D03DFD"/>
    <w:rsid w:val="00D21E52"/>
    <w:rsid w:val="00D22CE1"/>
    <w:rsid w:val="00D754B3"/>
    <w:rsid w:val="00DB11F1"/>
    <w:rsid w:val="00DB4AA2"/>
    <w:rsid w:val="00DC25C1"/>
    <w:rsid w:val="00E13E1C"/>
    <w:rsid w:val="00E259C5"/>
    <w:rsid w:val="00E42776"/>
    <w:rsid w:val="00E91F05"/>
    <w:rsid w:val="00EA7705"/>
    <w:rsid w:val="00ED4906"/>
    <w:rsid w:val="00F040AA"/>
    <w:rsid w:val="00F51668"/>
    <w:rsid w:val="00F70A6C"/>
    <w:rsid w:val="00F72AFB"/>
    <w:rsid w:val="00FD4FF9"/>
    <w:rsid w:val="030574E8"/>
    <w:rsid w:val="065026A6"/>
    <w:rsid w:val="0A0640E9"/>
    <w:rsid w:val="0A946CA4"/>
    <w:rsid w:val="0F9B606C"/>
    <w:rsid w:val="0FBF686B"/>
    <w:rsid w:val="10CD2528"/>
    <w:rsid w:val="134D0507"/>
    <w:rsid w:val="139364DD"/>
    <w:rsid w:val="147321EF"/>
    <w:rsid w:val="19C2595C"/>
    <w:rsid w:val="1AC612CA"/>
    <w:rsid w:val="1BCD55DC"/>
    <w:rsid w:val="1DFD79FA"/>
    <w:rsid w:val="1E4D3AE4"/>
    <w:rsid w:val="24950A20"/>
    <w:rsid w:val="28EC45F2"/>
    <w:rsid w:val="2BC37EB5"/>
    <w:rsid w:val="2BD94B18"/>
    <w:rsid w:val="2CDB3FD1"/>
    <w:rsid w:val="2DB96A6D"/>
    <w:rsid w:val="2E700D71"/>
    <w:rsid w:val="30027B89"/>
    <w:rsid w:val="315C7E3B"/>
    <w:rsid w:val="354F2B55"/>
    <w:rsid w:val="35A10A9D"/>
    <w:rsid w:val="37702892"/>
    <w:rsid w:val="39BC2320"/>
    <w:rsid w:val="3A2B2AA0"/>
    <w:rsid w:val="3A8F302F"/>
    <w:rsid w:val="3B554279"/>
    <w:rsid w:val="3F6C2119"/>
    <w:rsid w:val="41630D72"/>
    <w:rsid w:val="425828A0"/>
    <w:rsid w:val="430E7883"/>
    <w:rsid w:val="43D624DD"/>
    <w:rsid w:val="44F55A7B"/>
    <w:rsid w:val="478A2773"/>
    <w:rsid w:val="47DB3D58"/>
    <w:rsid w:val="52741030"/>
    <w:rsid w:val="52867A55"/>
    <w:rsid w:val="54D77655"/>
    <w:rsid w:val="55083CB2"/>
    <w:rsid w:val="56343C80"/>
    <w:rsid w:val="5987394E"/>
    <w:rsid w:val="5B5F0787"/>
    <w:rsid w:val="5BD27FC7"/>
    <w:rsid w:val="5D9E6274"/>
    <w:rsid w:val="5E7F2E0C"/>
    <w:rsid w:val="5FAD5B82"/>
    <w:rsid w:val="60A263D1"/>
    <w:rsid w:val="60B461AF"/>
    <w:rsid w:val="620F5214"/>
    <w:rsid w:val="62C60519"/>
    <w:rsid w:val="63352116"/>
    <w:rsid w:val="64066903"/>
    <w:rsid w:val="649454AD"/>
    <w:rsid w:val="65BF2D67"/>
    <w:rsid w:val="65E44526"/>
    <w:rsid w:val="679B09B6"/>
    <w:rsid w:val="682E4086"/>
    <w:rsid w:val="691E1303"/>
    <w:rsid w:val="6C2F04F0"/>
    <w:rsid w:val="6C740BC5"/>
    <w:rsid w:val="6C9131A1"/>
    <w:rsid w:val="6C9F6852"/>
    <w:rsid w:val="6D240095"/>
    <w:rsid w:val="6E8F1CC3"/>
    <w:rsid w:val="6EBB7F65"/>
    <w:rsid w:val="7121017E"/>
    <w:rsid w:val="717D2594"/>
    <w:rsid w:val="735E1619"/>
    <w:rsid w:val="75981CDA"/>
    <w:rsid w:val="76142A12"/>
    <w:rsid w:val="76BD6253"/>
    <w:rsid w:val="78D12ECD"/>
    <w:rsid w:val="7A1958AE"/>
    <w:rsid w:val="7BB24C57"/>
    <w:rsid w:val="7D4D46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99"/>
    <w:pPr>
      <w:keepNext/>
      <w:keepLines/>
      <w:outlineLvl w:val="1"/>
    </w:pPr>
    <w:rPr>
      <w:rFonts w:hint="eastAsia" w:eastAsia="楷体_GB231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4">
    <w:name w:val="Body Text"/>
    <w:basedOn w:val="1"/>
    <w:qFormat/>
    <w:uiPriority w:val="0"/>
    <w:pPr>
      <w:adjustRightInd w:val="0"/>
      <w:snapToGrid w:val="0"/>
      <w:spacing w:line="329" w:lineRule="auto"/>
    </w:pPr>
    <w:rPr>
      <w:rFonts w:ascii="仿宋_GB2312" w:eastAsia="仿宋_GB2312"/>
      <w:kern w:val="0"/>
      <w:sz w:val="32"/>
    </w:rPr>
  </w:style>
  <w:style w:type="paragraph" w:styleId="5">
    <w:name w:val="Body Text Indent"/>
    <w:basedOn w:val="1"/>
    <w:next w:val="6"/>
    <w:qFormat/>
    <w:uiPriority w:val="0"/>
    <w:pPr>
      <w:spacing w:after="120"/>
      <w:ind w:left="420" w:leftChars="200"/>
    </w:pPr>
    <w:rPr>
      <w:kern w:val="0"/>
      <w:sz w:val="24"/>
      <w:szCs w:val="20"/>
    </w:rPr>
  </w:style>
  <w:style w:type="paragraph" w:customStyle="1" w:styleId="6">
    <w:name w:val="样式 正文文本缩进 + 行距: 1.5 倍行距"/>
    <w:basedOn w:val="1"/>
    <w:qFormat/>
    <w:uiPriority w:val="0"/>
    <w:pPr>
      <w:spacing w:after="120"/>
      <w:ind w:left="90" w:leftChars="32" w:firstLine="560" w:firstLineChars="20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9">
    <w:name w:val="Body Text First Indent 2"/>
    <w:basedOn w:val="5"/>
    <w:next w:val="1"/>
    <w:qFormat/>
    <w:uiPriority w:val="0"/>
    <w:pPr>
      <w:spacing w:after="120" w:line="240" w:lineRule="auto"/>
      <w:ind w:left="420" w:leftChars="200" w:firstLine="420"/>
    </w:pPr>
    <w:rPr>
      <w:rFonts w:ascii="Times New Roman" w:hAnsi="Times New Roman"/>
      <w:szCs w:val="24"/>
    </w:rPr>
  </w:style>
  <w:style w:type="character" w:styleId="12">
    <w:name w:val="Strong"/>
    <w:basedOn w:val="11"/>
    <w:qFormat/>
    <w:uiPriority w:val="0"/>
    <w:rPr>
      <w:b/>
    </w:rPr>
  </w:style>
  <w:style w:type="character" w:styleId="13">
    <w:name w:val="page number"/>
    <w:basedOn w:val="11"/>
    <w:qFormat/>
    <w:uiPriority w:val="0"/>
  </w:style>
  <w:style w:type="character" w:customStyle="1" w:styleId="14">
    <w:name w:val="页眉 Char"/>
    <w:basedOn w:val="11"/>
    <w:link w:val="2"/>
    <w:qFormat/>
    <w:uiPriority w:val="0"/>
    <w:rPr>
      <w:rFonts w:ascii="Times New Roman" w:hAnsi="Times New Roman"/>
      <w:kern w:val="2"/>
      <w:sz w:val="18"/>
      <w:szCs w:val="18"/>
    </w:rPr>
  </w:style>
  <w:style w:type="paragraph" w:customStyle="1" w:styleId="15">
    <w:name w:val="实施方案正文"/>
    <w:basedOn w:val="16"/>
    <w:qFormat/>
    <w:uiPriority w:val="0"/>
    <w:pPr>
      <w:ind w:firstLine="566"/>
    </w:pPr>
    <w:rPr>
      <w:rFonts w:ascii="等线" w:hAnsi="等线" w:eastAsia="等线" w:cs="等线"/>
      <w:kern w:val="1"/>
      <w:szCs w:val="28"/>
    </w:rPr>
  </w:style>
  <w:style w:type="paragraph" w:customStyle="1" w:styleId="16">
    <w:name w:val="正文 New"/>
    <w:next w:val="15"/>
    <w:qFormat/>
    <w:uiPriority w:val="0"/>
    <w:pPr>
      <w:widowControl w:val="0"/>
      <w:jc w:val="both"/>
    </w:pPr>
    <w:rPr>
      <w:rFonts w:ascii="Calibri" w:hAnsi="Calibri" w:eastAsia="宋体" w:cs="Times New Roman"/>
      <w:kern w:val="2"/>
      <w:sz w:val="21"/>
      <w:szCs w:val="22"/>
      <w:lang w:val="en-US" w:eastAsia="zh-CN" w:bidi="ar-SA"/>
    </w:rPr>
  </w:style>
  <w:style w:type="character" w:customStyle="1" w:styleId="17">
    <w:name w:val="Char Style 6"/>
    <w:basedOn w:val="11"/>
    <w:link w:val="18"/>
    <w:qFormat/>
    <w:uiPriority w:val="0"/>
    <w:rPr>
      <w:rFonts w:ascii="宋体" w:hAnsi="宋体" w:eastAsia="宋体" w:cs="宋体"/>
      <w:sz w:val="30"/>
      <w:szCs w:val="30"/>
      <w:lang w:val="zh-CN" w:bidi="zh-CN"/>
    </w:rPr>
  </w:style>
  <w:style w:type="paragraph" w:customStyle="1" w:styleId="18">
    <w:name w:val="Style 5"/>
    <w:basedOn w:val="1"/>
    <w:link w:val="17"/>
    <w:qFormat/>
    <w:uiPriority w:val="0"/>
    <w:pPr>
      <w:spacing w:line="413" w:lineRule="auto"/>
      <w:ind w:firstLine="400"/>
    </w:pPr>
    <w:rPr>
      <w:rFonts w:ascii="宋体" w:hAnsi="宋体" w:cs="宋体"/>
      <w:sz w:val="30"/>
      <w:szCs w:val="30"/>
      <w:lang w:val="zh-CN" w:bidi="zh-CN"/>
    </w:rPr>
  </w:style>
  <w:style w:type="paragraph" w:styleId="19">
    <w:name w:val="List Paragraph"/>
    <w:basedOn w:val="1"/>
    <w:unhideWhenUsed/>
    <w:qFormat/>
    <w:uiPriority w:val="99"/>
    <w:pPr>
      <w:ind w:firstLine="420" w:firstLineChars="200"/>
    </w:pPr>
  </w:style>
  <w:style w:type="paragraph" w:customStyle="1" w:styleId="20">
    <w:name w:val="Table Text"/>
    <w:basedOn w:val="1"/>
    <w:semiHidden/>
    <w:qFormat/>
    <w:uiPriority w:val="0"/>
    <w:rPr>
      <w:rFonts w:ascii="宋体" w:hAnsi="宋体" w:eastAsia="宋体" w:cs="宋体"/>
      <w:sz w:val="22"/>
      <w:szCs w:val="22"/>
    </w:rPr>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表格"/>
    <w:basedOn w:val="1"/>
    <w:next w:val="1"/>
    <w:qFormat/>
    <w:uiPriority w:val="0"/>
    <w:pPr>
      <w:spacing w:beforeLines="10" w:afterLines="10" w:line="259" w:lineRule="auto"/>
      <w:jc w:val="center"/>
    </w:pPr>
    <w:rPr>
      <w:rFonts w:ascii="宋体" w:hAnsi="Calibri"/>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561f1cad-fe60-4114-ade1-eb9d93a1a405</errorID>
      <errorWord>2025年01月14日</errorWord>
      <group>L1_Knowledge</group>
      <groupName>知识性问题</groupName>
      <ability>L2_Time</ability>
      <abilityName>日期时间</abilityName>
      <candidateList>
        <item>2025年1月14日</item>
      </candidateList>
      <explain>根据日常书写习惯，月份一般会省略前导零。</explain>
      <paraID>478355AC</paraID>
      <start>14</start>
      <end>25</end>
      <status>unmodified</status>
      <modifiedWord/>
      <trackRevisions>false</trackRevisions>
    </reviewItem>
    <reviewItem>
      <errorID>e88f4e33-8eb9-4d5c-8136-4cf79d8588c8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77664811</paraID>
      <start>111</start>
      <end>112</end>
      <status>unmodified</status>
      <modifiedWord/>
      <trackRevisions>false</trackRevisions>
    </reviewItem>
    <reviewItem>
      <errorID>d9959d25-cc0e-444d-bcee-05fe59359a7d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4D3E9346</paraID>
      <start>101</start>
      <end>102</end>
      <status>unmodified</status>
      <modifiedWord/>
      <trackRevisions>false</trackRevisions>
    </reviewItem>
    <reviewItem>
      <errorID>cad146d1-3850-460b-bfa1-96f8a44c0c17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14E90D4C</paraID>
      <start>80</start>
      <end>81</end>
      <status>unmodified</status>
      <modifiedWord/>
      <trackRevisions>false</trackRevisions>
    </reviewItem>
    <reviewItem>
      <errorID>6d3ee352-6853-4b99-87ab-8d691c0efd52</errorID>
      <errorWord>~</errorWord>
      <group>L1_Format</group>
      <groupName>格式问题</groupName>
      <ability>L2_HalfPunc_CN</ability>
      <abilityName>全半角问题</abilityName>
      <candidateList>
        <item>～</item>
      </candidateList>
      <explain>文本全半角错误。</explain>
      <paraID>14E90D4C</paraID>
      <start>149</start>
      <end>150</end>
      <status>unmodified</status>
      <modifiedWord/>
      <trackRevisions>false</trackRevisions>
    </reviewItem>
    <reviewItem>
      <errorID>82fdfe47-5bfb-46e0-a74f-80f939edcc7e</errorID>
      <errorWord>~</errorWord>
      <group>L1_Format</group>
      <groupName>格式问题</groupName>
      <ability>L2_HalfPunc_CN</ability>
      <abilityName>全半角问题</abilityName>
      <candidateList>
        <item>～</item>
      </candidateList>
      <explain>文本全半角错误。</explain>
      <paraID>14E90D4C</paraID>
      <start>172</start>
      <end>173</end>
      <status>unmodified</status>
      <modifiedWord/>
      <trackRevisions>false</trackRevisions>
    </reviewItem>
    <reviewItem>
      <errorID>877c345b-6276-4862-ba09-9b6b91cd719e</errorID>
      <errorWord>~</errorWord>
      <group>L1_Format</group>
      <groupName>格式问题</groupName>
      <ability>L2_HalfPunc_CN</ability>
      <abilityName>全半角问题</abilityName>
      <candidateList>
        <item>～</item>
      </candidateList>
      <explain>文本全半角错误。</explain>
      <paraID>14E90D4C</paraID>
      <start>204</start>
      <end>205</end>
      <status>unmodified</status>
      <modifiedWord/>
      <trackRevisions>false</trackRevisions>
    </reviewItem>
    <reviewItem>
      <errorID>76546d1f-461a-4b79-852c-18c566c137e0</errorID>
      <errorWord>级</errorWord>
      <group>L1_Word</group>
      <groupName>字词问题</groupName>
      <ability>L2_Typo</ability>
      <abilityName>字词错误</abilityName>
      <candidateList>
        <item>及</item>
      </candidateList>
      <explain>存在发音相同字词的误用。</explain>
      <paraID>14E90D4C</paraID>
      <start>452</start>
      <end>453</end>
      <status>modified</status>
      <modifiedWord>及</modifiedWord>
      <trackRevisions>false</trackRevisions>
    </reviewItem>
    <reviewItem>
      <errorID>1713add9-14af-4b36-8c78-d39dc4933a17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387CF21E</paraID>
      <start>81</start>
      <end>82</end>
      <status>unmodified</status>
      <modifiedWord/>
      <trackRevisions>false</trackRevisions>
    </reviewItem>
    <reviewItem>
      <errorID>09a4ccee-62ec-448c-9402-4fb1b8a9feda</errorID>
      <errorWord>寻甸县</errorWord>
      <group>L1_Knowledge</group>
      <groupName>知识性问题</groupName>
      <ability>L2_Location</ability>
      <abilityName>地名检查</abilityName>
      <candidateList>
        <item>寻甸回族彝族自治县</item>
      </candidateList>
      <explain>自治区州县缩写不规范。《地名管理条例》第十八条规定，标识牌、公共平台发布的信息、各类公文证件、学习类公开出版物、地图、法律法规规定等场景范围内必须使用标准地名。</explain>
      <paraID>16999099</paraID>
      <start>23</start>
      <end>26</end>
      <status>unmodified</status>
      <modifiedWord/>
      <trackRevisions>false</trackRevisions>
    </reviewItem>
    <reviewItem>
      <errorID>090c0a6c-e81c-494c-8b13-aa6475b0c745</errorID>
      <errorWord>寻甸县</errorWord>
      <group>L1_Knowledge</group>
      <groupName>知识性问题</groupName>
      <ability>L2_Location</ability>
      <abilityName>地名检查</abilityName>
      <candidateList>
        <item>寻甸回族彝族自治县</item>
      </candidateList>
      <explain>自治区州县缩写不规范。《地名管理条例》第十八条规定，标识牌、公共平台发布的信息、各类公文证件、学习类公开出版物、地图、法律法规规定等场景范围内必须使用标准地名。</explain>
      <paraID>16999099</paraID>
      <start>36</start>
      <end>39</end>
      <status>unmodified</status>
      <modifiedWord/>
      <trackRevisions>false</trackRevisions>
    </reviewItem>
    <reviewItem>
      <errorID>1e3bb84f-54bb-462c-918d-f5fb343ff413</errorID>
      <errorWord>寻甸县</errorWord>
      <group>L1_Knowledge</group>
      <groupName>知识性问题</groupName>
      <ability>L2_Location</ability>
      <abilityName>地名检查</abilityName>
      <candidateList>
        <item>寻甸回族彝族自治县</item>
      </candidateList>
      <explain>自治区州县缩写不规范。《地名管理条例》第十八条规定，标识牌、公共平台发布的信息、各类公文证件、学习类公开出版物、地图、法律法规规定等场景范围内必须使用标准地名。</explain>
      <paraID>16999099</paraID>
      <start>114</start>
      <end>117</end>
      <status>unmodified</status>
      <modifiedWord/>
      <trackRevisions>false</trackRevisions>
    </reviewItem>
    <reviewItem>
      <errorID>8f3bf8ef-e579-465c-8300-3c201896cd84</errorID>
      <errorWord>寻甸县</errorWord>
      <group>L1_Knowledge</group>
      <groupName>知识性问题</groupName>
      <ability>L2_Location</ability>
      <abilityName>地名检查</abilityName>
      <candidateList>
        <item>寻甸回族彝族自治县</item>
      </candidateList>
      <explain>自治区州县缩写不规范。《地名管理条例》第十八条规定，标识牌、公共平台发布的信息、各类公文证件、学习类公开出版物、地图、法律法规规定等场景范围内必须使用标准地名。</explain>
      <paraID>41454292</paraID>
      <start>7</start>
      <end>10</end>
      <status>unmodified</status>
      <modifiedWord/>
      <trackRevisions>false</trackRevisions>
    </reviewItem>
    <reviewItem>
      <errorID>146a5c7f-9601-4dc1-b6dd-b60c41af7484</errorID>
      <errorWord>(</errorWord>
      <group>L1_Format</group>
      <groupName>格式问题</groupName>
      <ability>L2_HalfPunc_CN</ability>
      <abilityName>全半角问题</abilityName>
      <candidateList>
        <item>（</item>
      </candidateList>
      <explain>文本全半角错误。</explain>
      <paraID>41454292</paraID>
      <start>67</start>
      <end>68</end>
      <status>unmodified</status>
      <modifiedWord/>
      <trackRevisions>false</trackRevisions>
    </reviewItem>
    <reviewItem>
      <errorID>068a0bc2-a92b-48ac-83e9-28b7e9e9306a</errorID>
      <errorWord>外逸</errorWord>
      <group>L1_Word</group>
      <groupName>字词问题</groupName>
      <ability>L2_Typo</ability>
      <abilityName>字词错误</abilityName>
      <candidateList>
        <item>外溢</item>
      </candidateList>
      <explain/>
      <paraID>63FADF16</paraID>
      <start>166</start>
      <end>168</end>
      <status>unmodified</status>
      <modifiedWord/>
      <trackRevisions>false</trackRevisions>
    </reviewItem>
    <reviewItem>
      <errorID>f301b5d4-4cdc-49f7-904b-49a54654d221</errorID>
      <errorWord>-</errorWord>
      <group>L1_Format</group>
      <groupName>格式问题</groupName>
      <ability>L2_HalfPunc_CN</ability>
      <abilityName>全半角问题</abilityName>
      <candidateList>
        <item>－</item>
      </candidateList>
      <explain>文本全半角错误。</explain>
      <paraID>66B36AF6</paraID>
      <start>24</start>
      <end>25</end>
      <status>unmodified</status>
      <modifiedWord/>
      <trackRevisions>false</trackRevisions>
    </reviewItem>
    <reviewItem>
      <errorID>c0cfaed5-5c97-49c8-9ab2-504a4402b729</errorID>
      <errorWord>-</errorWord>
      <group>L1_Format</group>
      <groupName>格式问题</groupName>
      <ability>L2_HalfPunc_CN</ability>
      <abilityName>全半角问题</abilityName>
      <candidateList>
        <item>－</item>
      </candidateList>
      <explain>文本全半角错误。</explain>
      <paraID>619CE1BB</paraID>
      <start>14</start>
      <end>15</end>
      <status>unmodified</status>
      <modifiedWord/>
      <trackRevisions>false</trackRevisions>
    </reviewItem>
    <reviewItem>
      <errorID>fad824a8-a2cf-494d-a325-d728b6dfed6f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619CE1BB</paraID>
      <start>60</start>
      <end>61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7c259f-7da1-4c2a-8dd3-24707537c43e}">
  <ds:schemaRefs/>
</ds:datastoreItem>
</file>

<file path=docProps/app.xml><?xml version="1.0" encoding="utf-8"?>
<Properties xmlns="http://schemas.openxmlformats.org/officeDocument/2006/extended-properties" xmlns:vt="http://schemas.openxmlformats.org/officeDocument/2006/docPropsVTypes">
  <Template>Normal.dotm</Template>
  <Company>Macrosoft</Company>
  <Pages>3</Pages>
  <Words>1247</Words>
  <Characters>1298</Characters>
  <Lines>45</Lines>
  <Paragraphs>12</Paragraphs>
  <TotalTime>0</TotalTime>
  <ScaleCrop>false</ScaleCrop>
  <LinksUpToDate>false</LinksUpToDate>
  <CharactersWithSpaces>1299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2022-05-12T07:20:00Z</dcterms:created>
  <dc:creator>Administrator</dc:creator>
  <cp:lastModifiedBy>WPS_1729563959</cp:lastModifiedBy>
  <cp:lastPrinted>2022-12-01T08:35:00Z</cp:lastPrinted>
  <dcterms:modified xsi:type="dcterms:W3CDTF">2026-08-03T03:17:52Z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544DEF8AB0C84E0FB80A9F762579AC07_13</vt:lpwstr>
  </property>
  <property fmtid="{D5CDD505-2E9C-101B-9397-08002B2CF9AE}" pid="4" name="KSOTemplateDocerSaveRecord">
    <vt:lpwstr>eyJoZGlkIjoiYzQ4MjZmOWM2NjEzYTRmNjE2NDRmOGM2OTM0NmRkMTIiLCJ1c2VySWQiOiIxNjQ3NTc1MzMxIn0=</vt:lpwstr>
  </property>
</Properties>
</file>