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B0BB5">
      <w:pPr>
        <w:pageBreakBefore w:val="0"/>
        <w:wordWrap w:val="0"/>
        <w:spacing w:before="0" w:after="0" w:line="1140" w:lineRule="exact"/>
        <w:ind w:left="0" w:right="0"/>
        <w:jc w:val="center"/>
        <w:textAlignment w:val="baseline"/>
        <w:rPr>
          <w:sz w:val="66"/>
        </w:rPr>
      </w:pPr>
      <w:r>
        <w:rPr>
          <w:rFonts w:ascii="宋体" w:hAnsi="宋体" w:eastAsia="宋体" w:cs="宋体"/>
          <w:b/>
          <w:i w:val="0"/>
          <w:color w:val="ED0000"/>
          <w:spacing w:val="0"/>
          <w:sz w:val="66"/>
        </w:rPr>
        <w:t>昆明市东川区财政局昆明市东川区林业和草原局文件</w:t>
      </w:r>
    </w:p>
    <w:p w14:paraId="367F8EE2">
      <w:pPr>
        <w:pageBreakBefore w:val="0"/>
        <w:pBdr>
          <w:bottom w:val="single" w:color="auto" w:sz="4" w:space="1"/>
        </w:pBdr>
        <w:wordWrap w:val="0"/>
        <w:spacing w:before="0" w:after="0" w:line="480" w:lineRule="exact"/>
        <w:ind w:left="0" w:right="0"/>
        <w:jc w:val="center"/>
        <w:textAlignment w:val="baseline"/>
        <w:rPr>
          <w:sz w:val="3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6"/>
        </w:rPr>
        <w:t>东财农〔2020〕57号</w:t>
      </w:r>
    </w:p>
    <w:p w14:paraId="04D12096">
      <w:pPr>
        <w:pageBreakBefore w:val="0"/>
        <w:wordWrap w:val="0"/>
        <w:spacing w:before="860" w:after="0" w:line="600" w:lineRule="exact"/>
        <w:ind w:left="0" w:right="0"/>
        <w:jc w:val="center"/>
        <w:textAlignment w:val="baseline"/>
        <w:rPr>
          <w:sz w:val="38"/>
        </w:rPr>
      </w:pPr>
      <w:r>
        <w:rPr>
          <w:rFonts w:ascii="宋体" w:hAnsi="宋体" w:eastAsia="宋体" w:cs="宋体"/>
          <w:b/>
          <w:i w:val="0"/>
          <w:color w:val="000000"/>
          <w:spacing w:val="0"/>
          <w:sz w:val="38"/>
        </w:rPr>
        <w:t>昆明市东川区财政局昆明市东川区林业和草原局关于下达2020年市级公益林森林生态效益补偿资金的通知</w:t>
      </w:r>
    </w:p>
    <w:p w14:paraId="46F6FF01">
      <w:pPr>
        <w:pageBreakBefore w:val="0"/>
        <w:wordWrap w:val="0"/>
        <w:spacing w:before="520" w:after="0" w:line="600" w:lineRule="exact"/>
        <w:ind w:left="0" w:right="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各乡镇(街道)人民政府(办事处)：</w:t>
      </w:r>
    </w:p>
    <w:p w14:paraId="144C2F08">
      <w:pPr>
        <w:pageBreakBefore w:val="0"/>
        <w:wordWrap w:val="0"/>
        <w:spacing w:before="0" w:after="0" w:line="60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根据《昆明市财政局 昆明市林业和草原局关于下达2020年市级公益林森林生态效益补偿资金的通知》(昆财农〔2020〕127号)、《昆明市林业和草原局关于同意对2020年市级公益林森林生态效益补偿资金缺口进行调整补充的通知》(昆林发〔2020〕39号)，现将2020年市级公益林森林生态效益补偿资金补偿费97.1770万元下达给你们,资金列入2020年“2130209-森林生</w:t>
      </w:r>
    </w:p>
    <w:p w14:paraId="141FDFEA"/>
    <w:p w14:paraId="74E54F52">
      <w:pPr>
        <w:sectPr>
          <w:headerReference r:id="rId3" w:type="default"/>
          <w:footerReference r:id="rId4" w:type="default"/>
          <w:pgSz w:w="11900" w:h="16820"/>
          <w:pgMar w:top="1800" w:right="1440" w:bottom="1440" w:left="1800" w:header="720" w:footer="1060" w:gutter="0"/>
          <w:cols w:space="720" w:num="1"/>
        </w:sectPr>
      </w:pPr>
    </w:p>
    <w:p w14:paraId="5780F474">
      <w:pPr>
        <w:pageBreakBefore w:val="0"/>
        <w:wordWrap w:val="0"/>
        <w:spacing w:before="0" w:after="0" w:line="580" w:lineRule="exact"/>
        <w:ind w:left="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态效益补偿”预算支出功能分类科目，请及时组织兑现。现将有关事项通知如下：</w:t>
      </w:r>
    </w:p>
    <w:p w14:paraId="0746798D">
      <w:pPr>
        <w:pageBreakBefore w:val="0"/>
        <w:wordWrap w:val="0"/>
        <w:spacing w:before="0" w:after="0" w:line="580" w:lineRule="exact"/>
        <w:ind w:left="580" w:right="0"/>
        <w:jc w:val="both"/>
        <w:textAlignment w:val="baseline"/>
        <w:rPr>
          <w:sz w:val="29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29"/>
        </w:rPr>
        <w:t>一、兑现时限</w:t>
      </w:r>
    </w:p>
    <w:p w14:paraId="4FC23623">
      <w:pPr>
        <w:pageBreakBefore w:val="0"/>
        <w:wordWrap w:val="0"/>
        <w:spacing w:before="0" w:after="0" w:line="580" w:lineRule="exact"/>
        <w:ind w:left="0" w:right="0" w:firstLine="58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请各乡镇(街道)人民政府(办事处)于2020年9月底前完成市级公益林森林生态效益补偿资金兑现。</w:t>
      </w:r>
    </w:p>
    <w:p w14:paraId="48612EFA">
      <w:pPr>
        <w:pageBreakBefore w:val="0"/>
        <w:wordWrap w:val="0"/>
        <w:spacing w:before="0" w:after="0" w:line="580" w:lineRule="exact"/>
        <w:ind w:left="580" w:right="0"/>
        <w:jc w:val="both"/>
        <w:textAlignment w:val="baseline"/>
        <w:rPr>
          <w:sz w:val="29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29"/>
        </w:rPr>
        <w:t>二、兑现标准</w:t>
      </w:r>
    </w:p>
    <w:p w14:paraId="1FE9640D">
      <w:pPr>
        <w:pageBreakBefore w:val="0"/>
        <w:wordWrap w:val="0"/>
        <w:spacing w:before="0" w:after="0" w:line="580" w:lineRule="exact"/>
        <w:ind w:left="58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补偿费兑现标准为10元/亩。</w:t>
      </w:r>
    </w:p>
    <w:p w14:paraId="7AF069B8">
      <w:pPr>
        <w:pageBreakBefore w:val="0"/>
        <w:wordWrap w:val="0"/>
        <w:spacing w:before="0" w:after="0" w:line="580" w:lineRule="exact"/>
        <w:ind w:left="580" w:right="0"/>
        <w:jc w:val="both"/>
        <w:textAlignment w:val="baseline"/>
        <w:rPr>
          <w:sz w:val="29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29"/>
        </w:rPr>
        <w:t>三、兑现流程</w:t>
      </w:r>
    </w:p>
    <w:p w14:paraId="46C1EE65">
      <w:pPr>
        <w:pageBreakBefore w:val="0"/>
        <w:wordWrap w:val="0"/>
        <w:spacing w:before="0" w:after="0" w:line="580" w:lineRule="exact"/>
        <w:ind w:left="580" w:right="0"/>
        <w:jc w:val="both"/>
        <w:textAlignment w:val="baseline"/>
        <w:rPr>
          <w:sz w:val="29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29"/>
        </w:rPr>
        <w:t>(一)兑现方式</w:t>
      </w:r>
    </w:p>
    <w:p w14:paraId="4D80CB51">
      <w:pPr>
        <w:pageBreakBefore w:val="0"/>
        <w:wordWrap w:val="0"/>
        <w:spacing w:before="0" w:after="0" w:line="580" w:lineRule="exact"/>
        <w:ind w:left="0" w:right="0" w:firstLine="58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依据东财农〔2019〕1号文件，补偿资金通过国库授权支付拨付各乡镇(街道)人民政府(办事处))组织兑现。各乡镇(街道)按照《云南省财政直接补贴农民资金“一折通”发放管理实施细则》和《昆明市财政直接补贴农民资金“一折通”发放管理实施细则》，在农民补贴网络信息系统进行信息数据修改、录入。</w:t>
      </w:r>
    </w:p>
    <w:p w14:paraId="6BACD9B9">
      <w:pPr>
        <w:pageBreakBefore w:val="0"/>
        <w:wordWrap w:val="0"/>
        <w:spacing w:before="0" w:after="0" w:line="580" w:lineRule="exact"/>
        <w:ind w:left="580" w:right="0"/>
        <w:jc w:val="both"/>
        <w:textAlignment w:val="baseline"/>
        <w:rPr>
          <w:sz w:val="29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29"/>
        </w:rPr>
        <w:t>(二)兑现信息录入</w:t>
      </w:r>
    </w:p>
    <w:p w14:paraId="1672B6C6">
      <w:pPr>
        <w:pageBreakBefore w:val="0"/>
        <w:wordWrap w:val="0"/>
        <w:spacing w:before="0" w:after="0" w:line="580" w:lineRule="exact"/>
        <w:ind w:left="0" w:right="0" w:firstLine="58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各乡镇(街道)人民政府(办事处)负责组织森林生态效益补偿资金信息的采集、审核和录入。根据区级下达给本乡镇(街道)的资金额度，拟定资金分配方案，并将农户补偿资金清册公示到村、到组。公示结束后，把农户补偿信息数据录入农民补贴网络信息系统，并把补偿资金发放清册提交乡镇(街道)财政所，由财政所提供给金融机构，同时将补偿资金拨付至金融机构。</w:t>
      </w:r>
    </w:p>
    <w:p w14:paraId="6089086A"/>
    <w:p w14:paraId="04A59E0C">
      <w:pPr>
        <w:sectPr>
          <w:headerReference r:id="rId5" w:type="default"/>
          <w:footerReference r:id="rId6" w:type="default"/>
          <w:pgSz w:w="11900" w:h="16820"/>
          <w:pgMar w:top="1800" w:right="1440" w:bottom="1440" w:left="1800" w:header="720" w:footer="1120" w:gutter="0"/>
          <w:cols w:space="720" w:num="1"/>
        </w:sectPr>
      </w:pPr>
    </w:p>
    <w:p w14:paraId="45E77443">
      <w:pPr>
        <w:pageBreakBefore w:val="0"/>
        <w:wordWrap w:val="0"/>
        <w:spacing w:before="1520" w:after="0" w:line="1020" w:lineRule="atLeast"/>
        <w:ind w:left="1420" w:right="0"/>
        <w:jc w:val="both"/>
        <w:textAlignment w:val="baseline"/>
        <w:rPr>
          <w:sz w:val="56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56"/>
        </w:rPr>
        <w:t>(三)资金兑现</w:t>
      </w:r>
    </w:p>
    <w:p w14:paraId="3CB75C1E">
      <w:pPr>
        <w:pageBreakBefore w:val="0"/>
        <w:wordWrap w:val="0"/>
        <w:spacing w:before="0" w:after="0" w:line="1020" w:lineRule="atLeast"/>
        <w:ind w:left="80" w:right="80" w:firstLine="1140"/>
        <w:jc w:val="both"/>
        <w:textAlignment w:val="baseline"/>
        <w:rPr>
          <w:sz w:val="5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56"/>
        </w:rPr>
        <w:t>各乡镇(街道)人民政府(办事处)要与各基层信用社签订《“一卡通”发放委托协议》，明确双方的权利义务，信用社根据乡镇(街道)财政所提供的兑现清册，及时足额将森林生态效益补偿资金通过“一卡通”发放系统直接拨入农户的“一卡通”专用账户。</w:t>
      </w:r>
    </w:p>
    <w:p w14:paraId="2D943081">
      <w:pPr>
        <w:pageBreakBefore w:val="0"/>
        <w:wordWrap w:val="0"/>
        <w:spacing w:before="0" w:after="0" w:line="1020" w:lineRule="atLeast"/>
        <w:ind w:left="1420" w:right="0"/>
        <w:jc w:val="both"/>
        <w:textAlignment w:val="baseline"/>
        <w:rPr>
          <w:sz w:val="56"/>
        </w:rPr>
      </w:pPr>
      <w:r>
        <w:rPr>
          <w:rFonts w:ascii="黑体" w:hAnsi="黑体" w:eastAsia="黑体" w:cs="黑体"/>
          <w:b w:val="0"/>
          <w:i w:val="0"/>
          <w:color w:val="000000"/>
          <w:spacing w:val="0"/>
          <w:sz w:val="56"/>
        </w:rPr>
        <w:t>四、兑现工作要求</w:t>
      </w:r>
    </w:p>
    <w:p w14:paraId="64777DD6">
      <w:pPr>
        <w:pageBreakBefore w:val="0"/>
        <w:wordWrap w:val="0"/>
        <w:spacing w:before="0" w:after="0" w:line="1020" w:lineRule="atLeast"/>
        <w:ind w:left="1420" w:right="0"/>
        <w:jc w:val="both"/>
        <w:textAlignment w:val="baseline"/>
        <w:rPr>
          <w:sz w:val="56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56"/>
        </w:rPr>
        <w:t>(一)确保资金阳光运行</w:t>
      </w:r>
    </w:p>
    <w:p w14:paraId="60392524">
      <w:pPr>
        <w:pageBreakBefore w:val="0"/>
        <w:wordWrap w:val="0"/>
        <w:spacing w:before="0" w:after="0" w:line="1020" w:lineRule="atLeast"/>
        <w:ind w:left="80" w:right="20" w:firstLine="1340"/>
        <w:jc w:val="both"/>
        <w:textAlignment w:val="baseline"/>
        <w:rPr>
          <w:sz w:val="5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56"/>
        </w:rPr>
        <w:t>各乡镇(街道)人民政府(办事处)要严格遵循“公开、公平、公正”的原则，对应享受补贴农民的补贴面积、补贴标准、补贴金额等公开公示到村、到组，公示时间不少于7天，接受社会和群众的监督。</w:t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-1778000</wp:posOffset>
            </wp:positionV>
            <wp:extent cx="2070100" cy="2413000"/>
            <wp:effectExtent l="0" t="0" r="0" b="0"/>
            <wp:wrapNone/>
            <wp:docPr id="2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A64A4E">
      <w:pPr>
        <w:pageBreakBefore w:val="0"/>
        <w:wordWrap w:val="0"/>
        <w:spacing w:before="0" w:after="0" w:line="1020" w:lineRule="atLeast"/>
        <w:ind w:left="1420" w:right="0"/>
        <w:jc w:val="both"/>
        <w:textAlignment w:val="baseline"/>
        <w:rPr>
          <w:sz w:val="56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56"/>
        </w:rPr>
        <w:t>(二)确保资金及时发放</w:t>
      </w:r>
    </w:p>
    <w:p w14:paraId="79D23410">
      <w:pPr>
        <w:pageBreakBefore w:val="0"/>
        <w:wordWrap w:val="0"/>
        <w:spacing w:before="0" w:after="0" w:line="1020" w:lineRule="atLeast"/>
        <w:ind w:left="80" w:right="20" w:firstLine="1140"/>
        <w:jc w:val="both"/>
        <w:textAlignment w:val="baseline"/>
        <w:rPr>
          <w:sz w:val="5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56"/>
        </w:rPr>
        <w:t>补偿资金必须在规定的时限内及时发放给农民，任何部门或单位不得拖延发放时间，不得以任何理由抵扣税费、贷款、借款等。</w:t>
      </w:r>
    </w:p>
    <w:p w14:paraId="0B9A639E">
      <w:pPr>
        <w:pageBreakBefore w:val="0"/>
        <w:wordWrap w:val="0"/>
        <w:spacing w:before="0" w:after="0" w:line="1020" w:lineRule="atLeast"/>
        <w:ind w:left="1420" w:right="0"/>
        <w:jc w:val="both"/>
        <w:textAlignment w:val="baseline"/>
        <w:rPr>
          <w:sz w:val="56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56"/>
        </w:rPr>
        <w:t>(三)及时报送兑现信息</w:t>
      </w:r>
    </w:p>
    <w:p w14:paraId="75D5F257">
      <w:pPr>
        <w:pageBreakBefore w:val="0"/>
        <w:wordWrap w:val="0"/>
        <w:spacing w:before="0" w:after="0" w:line="1020" w:lineRule="atLeast"/>
        <w:ind w:left="80" w:right="0" w:firstLine="1220"/>
        <w:jc w:val="both"/>
        <w:textAlignment w:val="baseline"/>
        <w:rPr>
          <w:sz w:val="56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56"/>
        </w:rPr>
        <w:t>区财政局、区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56"/>
          <w:lang w:eastAsia="zh-CN"/>
        </w:rPr>
        <w:t>林业和草原局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56"/>
        </w:rPr>
        <w:t>要及时掌握资金兑现进度。各乡镇(街道)人民政府(办事处)在补偿资金兑现过程中，需如实告知相关部门补偿资金使用和兑现情况，不能弄虚作假或瞒报。资</w:t>
      </w:r>
    </w:p>
    <w:p w14:paraId="6D80E359">
      <w:pPr>
        <w:pageBreakBefore w:val="0"/>
        <w:wordWrap w:val="0"/>
        <w:spacing w:before="0" w:after="0" w:line="1040" w:lineRule="exact"/>
        <w:ind w:left="0" w:right="0"/>
        <w:jc w:val="both"/>
        <w:textAlignment w:val="baseline"/>
        <w:rPr>
          <w:sz w:val="56"/>
        </w:rPr>
      </w:pPr>
    </w:p>
    <w:p w14:paraId="3A0E19CF">
      <w:pPr>
        <w:pageBreakBefore w:val="0"/>
        <w:wordWrap w:val="0"/>
        <w:spacing w:before="0" w:after="0" w:line="1040" w:lineRule="exact"/>
        <w:ind w:left="0" w:right="0"/>
        <w:jc w:val="both"/>
        <w:textAlignment w:val="baseline"/>
        <w:rPr>
          <w:sz w:val="56"/>
        </w:rPr>
      </w:pPr>
    </w:p>
    <w:p w14:paraId="061FD817">
      <w:pPr>
        <w:pageBreakBefore w:val="0"/>
        <w:wordWrap w:val="0"/>
        <w:spacing w:before="0" w:after="0" w:line="680" w:lineRule="atLeast"/>
        <w:ind w:left="0" w:right="0"/>
        <w:jc w:val="right"/>
        <w:textAlignment w:val="baseline"/>
        <w:rPr>
          <w:sz w:val="4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49"/>
        </w:rPr>
        <w:t>- 3 -</w:t>
      </w:r>
    </w:p>
    <w:p w14:paraId="33850516"/>
    <w:p w14:paraId="7869D1E8">
      <w:pPr>
        <w:sectPr>
          <w:headerReference r:id="rId7" w:type="default"/>
          <w:footerReference r:id="rId8" w:type="default"/>
          <w:pgSz w:w="22420" w:h="31680"/>
          <w:pgMar w:top="2700" w:right="3180" w:bottom="2700" w:left="3180" w:header="2400" w:footer="2400" w:gutter="0"/>
          <w:cols w:space="720" w:num="1"/>
        </w:sectPr>
      </w:pPr>
    </w:p>
    <w:p w14:paraId="5F1B2A91">
      <w:pPr>
        <w:pageBreakBefore w:val="0"/>
        <w:wordWrap w:val="0"/>
        <w:spacing w:before="0" w:after="0" w:line="640" w:lineRule="exact"/>
        <w:ind w:left="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金兑现完毕后，各乡镇(街道)把兑现信息(电子版)分别报区财政局农财科、区林业和草原局生态修复科备案存档。</w:t>
      </w:r>
    </w:p>
    <w:p w14:paraId="7A95DE89">
      <w:pPr>
        <w:pageBreakBefore w:val="0"/>
        <w:wordWrap w:val="0"/>
        <w:spacing w:before="660" w:after="0" w:line="640" w:lineRule="atLeast"/>
        <w:ind w:left="1600" w:right="0" w:hanging="102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附件：东川区2020年市级公益林森林生态效益补偿资金安排表</w:t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1257300</wp:posOffset>
            </wp:positionV>
            <wp:extent cx="1600200" cy="1600200"/>
            <wp:effectExtent l="0" t="0" r="0" b="0"/>
            <wp:wrapNone/>
            <wp:docPr id="4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132464">
      <w:pPr>
        <w:pageBreakBefore w:val="0"/>
        <w:tabs>
          <w:tab w:val="left" w:pos="4200"/>
        </w:tabs>
        <w:wordWrap w:val="0"/>
        <w:spacing w:before="1440" w:after="0" w:line="640" w:lineRule="atLeast"/>
        <w:ind w:left="44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昆明市东川区财政局</w:t>
      </w:r>
      <w:r>
        <w:tab/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昆明市东川区林业和草原局</w:t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1574800</wp:posOffset>
            </wp:positionH>
            <wp:positionV relativeFrom="paragraph">
              <wp:posOffset>63500</wp:posOffset>
            </wp:positionV>
            <wp:extent cx="1574800" cy="1574800"/>
            <wp:effectExtent l="0" t="0" r="6350" b="6350"/>
            <wp:wrapNone/>
            <wp:docPr id="6" name="Draw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894AC">
      <w:pPr>
        <w:pageBreakBefore w:val="0"/>
        <w:wordWrap w:val="0"/>
        <w:spacing w:before="0" w:after="0" w:line="640" w:lineRule="exact"/>
        <w:ind w:left="0" w:right="1020"/>
        <w:jc w:val="right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2020年8月5日</w:t>
      </w:r>
    </w:p>
    <w:p w14:paraId="0E4D42A2">
      <w:pPr>
        <w:pageBreakBefore w:val="0"/>
        <w:tabs>
          <w:tab w:val="left" w:pos="5520"/>
        </w:tabs>
        <w:wordWrap w:val="0"/>
        <w:spacing w:before="5220" w:after="0" w:line="640" w:lineRule="exact"/>
        <w:ind w:left="0" w:right="0"/>
        <w:jc w:val="both"/>
        <w:textAlignment w:val="baseline"/>
        <w:rPr>
          <w:sz w:val="29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昆明市东川区财政局办公室</w:t>
      </w:r>
      <w:r>
        <w:tab/>
      </w:r>
      <w:r>
        <w:rPr>
          <w:rFonts w:ascii="仿宋" w:hAnsi="仿宋" w:eastAsia="仿宋" w:cs="仿宋"/>
          <w:b w:val="0"/>
          <w:i w:val="0"/>
          <w:color w:val="000000"/>
          <w:spacing w:val="0"/>
          <w:sz w:val="29"/>
        </w:rPr>
        <w:t>2020年8月5日印发</w:t>
      </w:r>
    </w:p>
    <w:p w14:paraId="5097E92D"/>
    <w:p w14:paraId="004AC681">
      <w:pPr>
        <w:sectPr>
          <w:headerReference r:id="rId9" w:type="default"/>
          <w:footerReference r:id="rId10" w:type="default"/>
          <w:pgSz w:w="11900" w:h="16820"/>
          <w:pgMar w:top="1800" w:right="1440" w:bottom="1440" w:left="1800" w:header="720" w:footer="1100" w:gutter="0"/>
          <w:cols w:space="720" w:num="1"/>
        </w:sectPr>
      </w:pPr>
    </w:p>
    <w:p w14:paraId="0FB593C6">
      <w:pPr>
        <w:pageBreakBefore w:val="0"/>
        <w:wordWrap w:val="0"/>
        <w:spacing w:before="680" w:after="0" w:line="940" w:lineRule="atLeast"/>
        <w:ind w:left="0" w:right="0"/>
        <w:jc w:val="center"/>
        <w:textAlignment w:val="baseline"/>
        <w:rPr>
          <w:sz w:val="65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65"/>
        </w:rPr>
        <w:t>东川区2020年市级公益林森林生态效益补偿资金安排表</w:t>
      </w:r>
    </w:p>
    <w:p w14:paraId="00509EF0">
      <w:pPr>
        <w:pageBreakBefore w:val="0"/>
        <w:wordWrap w:val="0"/>
        <w:spacing w:before="0" w:after="0" w:line="660" w:lineRule="atLeast"/>
        <w:ind w:left="0" w:right="0"/>
        <w:jc w:val="right"/>
        <w:textAlignment w:val="baseline"/>
        <w:rPr>
          <w:sz w:val="47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47"/>
        </w:rPr>
        <w:t>单位：亩、元</w:t>
      </w:r>
    </w:p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00"/>
        <w:gridCol w:w="7280"/>
        <w:gridCol w:w="8180"/>
        <w:gridCol w:w="4440"/>
      </w:tblGrid>
      <w:tr w14:paraId="2662D1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  <w:jc w:val="center"/>
        </w:trPr>
        <w:tc>
          <w:tcPr>
            <w:tcW w:w="5800" w:type="dxa"/>
            <w:vAlign w:val="center"/>
          </w:tcPr>
          <w:p w14:paraId="0134EEBC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乡镇 (街道办)</w:t>
            </w:r>
          </w:p>
        </w:tc>
        <w:tc>
          <w:tcPr>
            <w:tcW w:w="7280" w:type="dxa"/>
            <w:vAlign w:val="center"/>
          </w:tcPr>
          <w:p w14:paraId="34CED9BF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面 积</w:t>
            </w:r>
          </w:p>
        </w:tc>
        <w:tc>
          <w:tcPr>
            <w:tcW w:w="8180" w:type="dxa"/>
            <w:vAlign w:val="center"/>
          </w:tcPr>
          <w:p w14:paraId="773D856D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金 额</w:t>
            </w:r>
          </w:p>
        </w:tc>
        <w:tc>
          <w:tcPr>
            <w:tcW w:w="4440" w:type="dxa"/>
            <w:vAlign w:val="center"/>
          </w:tcPr>
          <w:p w14:paraId="72B5EB66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备注</w:t>
            </w:r>
          </w:p>
        </w:tc>
      </w:tr>
      <w:tr w14:paraId="377E96A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5800" w:type="dxa"/>
            <w:vAlign w:val="center"/>
          </w:tcPr>
          <w:p w14:paraId="29AC954E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合计</w:t>
            </w:r>
          </w:p>
        </w:tc>
        <w:tc>
          <w:tcPr>
            <w:tcW w:w="7280" w:type="dxa"/>
            <w:vAlign w:val="center"/>
          </w:tcPr>
          <w:p w14:paraId="2EED3F58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97177</w:t>
            </w:r>
          </w:p>
        </w:tc>
        <w:tc>
          <w:tcPr>
            <w:tcW w:w="8180" w:type="dxa"/>
            <w:vAlign w:val="center"/>
          </w:tcPr>
          <w:p w14:paraId="4FB1830A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971770</w:t>
            </w:r>
          </w:p>
        </w:tc>
        <w:tc>
          <w:tcPr>
            <w:tcW w:w="4440" w:type="dxa"/>
            <w:vAlign w:val="center"/>
          </w:tcPr>
          <w:p w14:paraId="07ADEBBF">
            <w:pPr>
              <w:pageBreakBefore w:val="0"/>
              <w:wordWrap w:val="0"/>
              <w:spacing w:before="0" w:after="0" w:line="520" w:lineRule="exact"/>
              <w:ind w:left="0" w:right="0"/>
              <w:jc w:val="both"/>
              <w:textAlignment w:val="baseline"/>
              <w:rPr>
                <w:sz w:val="4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40"/>
              </w:rPr>
              <w:t xml:space="preserve"> </w:t>
            </w:r>
          </w:p>
        </w:tc>
      </w:tr>
      <w:tr w14:paraId="7666EC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5800" w:type="dxa"/>
            <w:vAlign w:val="center"/>
          </w:tcPr>
          <w:p w14:paraId="067D3C7F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阿旺镇</w:t>
            </w:r>
          </w:p>
        </w:tc>
        <w:tc>
          <w:tcPr>
            <w:tcW w:w="7280" w:type="dxa"/>
            <w:vAlign w:val="center"/>
          </w:tcPr>
          <w:p w14:paraId="5A01E94C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24529</w:t>
            </w:r>
          </w:p>
        </w:tc>
        <w:tc>
          <w:tcPr>
            <w:tcW w:w="8180" w:type="dxa"/>
            <w:vAlign w:val="center"/>
          </w:tcPr>
          <w:p w14:paraId="64FFFCCF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245290</w:t>
            </w:r>
          </w:p>
        </w:tc>
        <w:tc>
          <w:tcPr>
            <w:tcW w:w="4440" w:type="dxa"/>
            <w:vAlign w:val="center"/>
          </w:tcPr>
          <w:p w14:paraId="59055C86">
            <w:pPr>
              <w:pageBreakBefore w:val="0"/>
              <w:wordWrap w:val="0"/>
              <w:spacing w:before="0" w:after="0" w:line="520" w:lineRule="exact"/>
              <w:ind w:left="0" w:right="0"/>
              <w:jc w:val="both"/>
              <w:textAlignment w:val="baseline"/>
              <w:rPr>
                <w:sz w:val="4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40"/>
              </w:rPr>
              <w:t xml:space="preserve"> </w:t>
            </w:r>
          </w:p>
        </w:tc>
      </w:tr>
      <w:tr w14:paraId="1139B70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5800" w:type="dxa"/>
            <w:vAlign w:val="center"/>
          </w:tcPr>
          <w:p w14:paraId="0A1291C2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汤丹镇</w:t>
            </w:r>
          </w:p>
        </w:tc>
        <w:tc>
          <w:tcPr>
            <w:tcW w:w="7280" w:type="dxa"/>
            <w:vAlign w:val="center"/>
          </w:tcPr>
          <w:p w14:paraId="5E2B2DC0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22406</w:t>
            </w:r>
          </w:p>
        </w:tc>
        <w:tc>
          <w:tcPr>
            <w:tcW w:w="8180" w:type="dxa"/>
            <w:vAlign w:val="center"/>
          </w:tcPr>
          <w:p w14:paraId="0905CAB1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224060</w:t>
            </w:r>
          </w:p>
        </w:tc>
        <w:tc>
          <w:tcPr>
            <w:tcW w:w="4440" w:type="dxa"/>
            <w:vAlign w:val="center"/>
          </w:tcPr>
          <w:p w14:paraId="341DB88C">
            <w:pPr>
              <w:pageBreakBefore w:val="0"/>
              <w:wordWrap w:val="0"/>
              <w:spacing w:before="0" w:after="0" w:line="520" w:lineRule="exact"/>
              <w:ind w:left="0" w:right="0"/>
              <w:jc w:val="both"/>
              <w:textAlignment w:val="baseline"/>
              <w:rPr>
                <w:sz w:val="4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40"/>
              </w:rPr>
              <w:t xml:space="preserve"> </w:t>
            </w:r>
          </w:p>
        </w:tc>
      </w:tr>
      <w:tr w14:paraId="2B72C5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5800" w:type="dxa"/>
            <w:vAlign w:val="center"/>
          </w:tcPr>
          <w:p w14:paraId="7B456910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铜都街道</w:t>
            </w:r>
          </w:p>
        </w:tc>
        <w:tc>
          <w:tcPr>
            <w:tcW w:w="7280" w:type="dxa"/>
            <w:vAlign w:val="center"/>
          </w:tcPr>
          <w:p w14:paraId="1A55BB3D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3050</w:t>
            </w:r>
          </w:p>
        </w:tc>
        <w:tc>
          <w:tcPr>
            <w:tcW w:w="8180" w:type="dxa"/>
            <w:vAlign w:val="center"/>
          </w:tcPr>
          <w:p w14:paraId="33156940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30500</w:t>
            </w:r>
          </w:p>
        </w:tc>
        <w:tc>
          <w:tcPr>
            <w:tcW w:w="4440" w:type="dxa"/>
            <w:vAlign w:val="center"/>
          </w:tcPr>
          <w:p w14:paraId="092B5C5D">
            <w:pPr>
              <w:pageBreakBefore w:val="0"/>
              <w:wordWrap w:val="0"/>
              <w:spacing w:before="0" w:after="0" w:line="520" w:lineRule="exact"/>
              <w:ind w:left="0" w:right="0"/>
              <w:jc w:val="both"/>
              <w:textAlignment w:val="baseline"/>
              <w:rPr>
                <w:sz w:val="4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40"/>
              </w:rPr>
              <w:t xml:space="preserve"> </w:t>
            </w:r>
          </w:p>
        </w:tc>
      </w:tr>
      <w:tr w14:paraId="24EF43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5800" w:type="dxa"/>
            <w:vAlign w:val="center"/>
          </w:tcPr>
          <w:p w14:paraId="7288B1D1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碧谷街道</w:t>
            </w:r>
          </w:p>
        </w:tc>
        <w:tc>
          <w:tcPr>
            <w:tcW w:w="7280" w:type="dxa"/>
            <w:vAlign w:val="center"/>
          </w:tcPr>
          <w:p w14:paraId="6EEB0A84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21033</w:t>
            </w:r>
          </w:p>
        </w:tc>
        <w:tc>
          <w:tcPr>
            <w:tcW w:w="8180" w:type="dxa"/>
            <w:vAlign w:val="center"/>
          </w:tcPr>
          <w:p w14:paraId="20AB357A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210330</w:t>
            </w:r>
          </w:p>
        </w:tc>
        <w:tc>
          <w:tcPr>
            <w:tcW w:w="4440" w:type="dxa"/>
            <w:vAlign w:val="center"/>
          </w:tcPr>
          <w:p w14:paraId="53B0C76A">
            <w:pPr>
              <w:pageBreakBefore w:val="0"/>
              <w:wordWrap w:val="0"/>
              <w:spacing w:before="0" w:after="0" w:line="520" w:lineRule="exact"/>
              <w:ind w:left="0" w:right="0"/>
              <w:jc w:val="both"/>
              <w:textAlignment w:val="baseline"/>
              <w:rPr>
                <w:sz w:val="4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40"/>
              </w:rPr>
              <w:t xml:space="preserve"> </w:t>
            </w:r>
          </w:p>
        </w:tc>
      </w:tr>
      <w:tr w14:paraId="26C9F9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5800" w:type="dxa"/>
            <w:vAlign w:val="center"/>
          </w:tcPr>
          <w:p w14:paraId="7CCE74C0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拖布卡镇</w:t>
            </w:r>
          </w:p>
        </w:tc>
        <w:tc>
          <w:tcPr>
            <w:tcW w:w="7280" w:type="dxa"/>
            <w:vAlign w:val="center"/>
          </w:tcPr>
          <w:p w14:paraId="703945DA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17473</w:t>
            </w:r>
          </w:p>
        </w:tc>
        <w:tc>
          <w:tcPr>
            <w:tcW w:w="8180" w:type="dxa"/>
            <w:vAlign w:val="center"/>
          </w:tcPr>
          <w:p w14:paraId="05D1EB4D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174730</w:t>
            </w:r>
          </w:p>
        </w:tc>
        <w:tc>
          <w:tcPr>
            <w:tcW w:w="4440" w:type="dxa"/>
            <w:vAlign w:val="center"/>
          </w:tcPr>
          <w:p w14:paraId="2F6F0D81">
            <w:pPr>
              <w:pageBreakBefore w:val="0"/>
              <w:wordWrap w:val="0"/>
              <w:spacing w:before="0" w:after="0" w:line="520" w:lineRule="exact"/>
              <w:ind w:left="0" w:right="0"/>
              <w:jc w:val="both"/>
              <w:textAlignment w:val="baseline"/>
              <w:rPr>
                <w:sz w:val="4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40"/>
              </w:rPr>
              <w:t xml:space="preserve"> </w:t>
            </w:r>
          </w:p>
        </w:tc>
      </w:tr>
      <w:tr w14:paraId="1183A0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5800" w:type="dxa"/>
            <w:vAlign w:val="center"/>
          </w:tcPr>
          <w:p w14:paraId="26710039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乌龙镇</w:t>
            </w:r>
          </w:p>
        </w:tc>
        <w:tc>
          <w:tcPr>
            <w:tcW w:w="7280" w:type="dxa"/>
            <w:vAlign w:val="center"/>
          </w:tcPr>
          <w:p w14:paraId="01826080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8686</w:t>
            </w:r>
          </w:p>
        </w:tc>
        <w:tc>
          <w:tcPr>
            <w:tcW w:w="8180" w:type="dxa"/>
            <w:vAlign w:val="center"/>
          </w:tcPr>
          <w:p w14:paraId="2B153B0D">
            <w:pPr>
              <w:pageBreakBefore w:val="0"/>
              <w:wordWrap w:val="0"/>
              <w:spacing w:before="0" w:after="0" w:line="520" w:lineRule="atLeast"/>
              <w:ind w:left="0" w:right="0"/>
              <w:jc w:val="center"/>
              <w:textAlignment w:val="baseline"/>
              <w:rPr>
                <w:sz w:val="4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40"/>
              </w:rPr>
              <w:t>86860</w:t>
            </w:r>
          </w:p>
        </w:tc>
        <w:tc>
          <w:tcPr>
            <w:tcW w:w="4440" w:type="dxa"/>
            <w:vAlign w:val="center"/>
          </w:tcPr>
          <w:p w14:paraId="063301A2">
            <w:pPr>
              <w:pageBreakBefore w:val="0"/>
              <w:wordWrap w:val="0"/>
              <w:spacing w:before="0" w:after="0" w:line="520" w:lineRule="exact"/>
              <w:ind w:left="0" w:right="0"/>
              <w:jc w:val="both"/>
              <w:textAlignment w:val="baseline"/>
              <w:rPr>
                <w:sz w:val="4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40"/>
              </w:rPr>
              <w:t xml:space="preserve"> </w:t>
            </w:r>
          </w:p>
        </w:tc>
      </w:tr>
    </w:tbl>
    <w:p w14:paraId="6713D441"/>
    <w:sectPr>
      <w:headerReference r:id="rId11" w:type="default"/>
      <w:footerReference r:id="rId12" w:type="default"/>
      <w:pgSz w:w="31680" w:h="22420"/>
      <w:pgMar w:top="1900" w:right="2900" w:bottom="1900" w:left="2900" w:header="1600" w:footer="16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FSongGB-W5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9449F">
    <w:pPr>
      <w:pageBreakBefore w:val="0"/>
      <w:wordWrap w:val="0"/>
      <w:spacing w:before="0" w:after="0" w:line="380" w:lineRule="exact"/>
      <w:ind w:left="0" w:right="0"/>
      <w:jc w:val="right"/>
      <w:textAlignment w:val="baseline"/>
      <w:rPr>
        <w:sz w:val="30"/>
      </w:rPr>
    </w:pPr>
    <w:r>
      <w:rPr>
        <w:rFonts w:ascii="仿宋" w:hAnsi="仿宋" w:eastAsia="仿宋" w:cs="仿宋"/>
        <w:b w:val="0"/>
        <w:i w:val="0"/>
        <w:color w:val="000000"/>
        <w:spacing w:val="0"/>
        <w:sz w:val="30"/>
      </w:rPr>
      <w:t>- 1 -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4872A">
    <w:pPr>
      <w:pageBreakBefore w:val="0"/>
      <w:wordWrap w:val="0"/>
      <w:spacing w:before="0" w:after="0" w:line="320" w:lineRule="exact"/>
      <w:ind w:left="0" w:right="0"/>
      <w:jc w:val="both"/>
      <w:textAlignment w:val="baseline"/>
      <w:rPr>
        <w:sz w:val="24"/>
      </w:rPr>
    </w:pPr>
    <w:r>
      <w:rPr>
        <w:rFonts w:ascii="仿宋" w:hAnsi="仿宋" w:eastAsia="仿宋" w:cs="仿宋"/>
        <w:b w:val="0"/>
        <w:i w:val="0"/>
        <w:color w:val="000000"/>
        <w:spacing w:val="0"/>
        <w:sz w:val="24"/>
      </w:rPr>
      <w:t>- 2 -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1E46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90B84">
    <w:pPr>
      <w:pageBreakBefore w:val="0"/>
      <w:wordWrap w:val="0"/>
      <w:spacing w:before="0" w:after="0" w:line="340" w:lineRule="exact"/>
      <w:ind w:left="0" w:right="0"/>
      <w:jc w:val="both"/>
      <w:textAlignment w:val="baseline"/>
      <w:rPr>
        <w:sz w:val="26"/>
      </w:rPr>
    </w:pPr>
    <w:r>
      <w:rPr>
        <w:rFonts w:ascii="仿宋" w:hAnsi="仿宋" w:eastAsia="仿宋" w:cs="仿宋"/>
        <w:b w:val="0"/>
        <w:i w:val="0"/>
        <w:color w:val="000000"/>
        <w:spacing w:val="0"/>
        <w:sz w:val="26"/>
      </w:rPr>
      <w:t>- 4 -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0343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E55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A1FF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3C7E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6839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27D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0DEB68E4"/>
    <w:rsid w:val="321F07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1168</Words>
  <Characters>1220</Characters>
  <TotalTime>0</TotalTime>
  <ScaleCrop>false</ScaleCrop>
  <LinksUpToDate>false</LinksUpToDate>
  <CharactersWithSpaces>1224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2026-07-17T09:30:00Z</dcterms:created>
  <dc:creator>Apache POI</dc:creator>
  <cp:lastModifiedBy>符号</cp:lastModifiedBy>
  <dcterms:modified xsi:type="dcterms:W3CDTF">2026-07-20T06:49:10Z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B88ADFCF511E4D8EA16BFF06BD9159DB_13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