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8A68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关于印发《东川区</w:t>
      </w:r>
      <w:r>
        <w:rPr>
          <w:rFonts w:hint="eastAsia" w:ascii="方正小标宋简体" w:hAnsi="方正小标宋简体" w:eastAsia="方正小标宋简体" w:cs="方正小标宋简体"/>
          <w:sz w:val="44"/>
          <w:szCs w:val="44"/>
          <w:lang w:val="en-US" w:eastAsia="zh-CN"/>
        </w:rPr>
        <w:t>2023年着力打造兼容并包的开放</w:t>
      </w:r>
      <w:r>
        <w:rPr>
          <w:rFonts w:hint="eastAsia" w:ascii="方正小标宋简体" w:hAnsi="方正小标宋简体" w:eastAsia="方正小标宋简体" w:cs="方正小标宋简体"/>
          <w:sz w:val="44"/>
          <w:szCs w:val="44"/>
        </w:rPr>
        <w:t>环境工作方案》的通知</w:t>
      </w:r>
    </w:p>
    <w:p w14:paraId="7B5B904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bCs/>
          <w:color w:val="000000"/>
          <w:kern w:val="0"/>
          <w:sz w:val="32"/>
          <w:szCs w:val="32"/>
          <w:lang w:eastAsia="zh-CN"/>
        </w:rPr>
      </w:pPr>
    </w:p>
    <w:p w14:paraId="3768F9F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lang w:eastAsia="zh-CN"/>
        </w:rPr>
        <w:t>各乡镇(街道)人民政府(办事处)，区属各办、局，各人民团体，中央、省、市驻东川单位，园区管委会:</w:t>
      </w:r>
    </w:p>
    <w:p w14:paraId="06DEC7CD">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eastAsia"/>
        </w:rPr>
      </w:pPr>
      <w:r>
        <w:rPr>
          <w:rFonts w:hint="eastAsia" w:ascii="仿宋_GB2312" w:hAnsi="仿宋_GB2312" w:eastAsia="仿宋_GB2312" w:cs="仿宋_GB2312"/>
          <w:sz w:val="32"/>
          <w:szCs w:val="32"/>
        </w:rPr>
        <w:t>《东川区</w:t>
      </w:r>
      <w:r>
        <w:rPr>
          <w:rFonts w:hint="eastAsia" w:ascii="仿宋_GB2312" w:hAnsi="仿宋_GB2312" w:eastAsia="仿宋_GB2312" w:cs="仿宋_GB2312"/>
          <w:sz w:val="32"/>
          <w:szCs w:val="32"/>
          <w:lang w:val="en-US" w:eastAsia="zh-CN"/>
        </w:rPr>
        <w:t>2023年着力打造兼容并包的开放</w:t>
      </w:r>
      <w:r>
        <w:rPr>
          <w:rFonts w:hint="eastAsia" w:ascii="仿宋_GB2312" w:hAnsi="仿宋_GB2312" w:eastAsia="仿宋_GB2312" w:cs="仿宋_GB2312"/>
          <w:sz w:val="32"/>
          <w:szCs w:val="32"/>
        </w:rPr>
        <w:t>环境工作方案》</w:t>
      </w:r>
      <w:r>
        <w:rPr>
          <w:rFonts w:hint="eastAsia"/>
        </w:rPr>
        <w:t>已经区人民政府研究，现印发给你们，请认真贯彻执行。</w:t>
      </w:r>
    </w:p>
    <w:p w14:paraId="09501BEA">
      <w:pPr>
        <w:keepNext w:val="0"/>
        <w:keepLines w:val="0"/>
        <w:pageBreakBefore w:val="0"/>
        <w:widowControl w:val="0"/>
        <w:kinsoku/>
        <w:wordWrap/>
        <w:overflowPunct/>
        <w:topLinePunct w:val="0"/>
        <w:autoSpaceDE/>
        <w:autoSpaceDN/>
        <w:bidi w:val="0"/>
        <w:adjustRightInd/>
        <w:snapToGrid/>
        <w:spacing w:line="560" w:lineRule="exact"/>
        <w:ind w:firstLine="2781" w:firstLineChars="900"/>
        <w:textAlignment w:val="auto"/>
        <w:rPr>
          <w:rFonts w:hint="eastAsia"/>
        </w:rPr>
      </w:pPr>
    </w:p>
    <w:p w14:paraId="19509B39">
      <w:pPr>
        <w:pStyle w:val="2"/>
        <w:rPr>
          <w:rFonts w:hint="eastAsia"/>
        </w:rPr>
      </w:pPr>
    </w:p>
    <w:p w14:paraId="6AC9638F">
      <w:pPr>
        <w:rPr>
          <w:rFonts w:hint="eastAsia"/>
        </w:rPr>
      </w:pPr>
    </w:p>
    <w:p w14:paraId="06F69517">
      <w:pPr>
        <w:keepNext w:val="0"/>
        <w:keepLines w:val="0"/>
        <w:pageBreakBefore w:val="0"/>
        <w:widowControl w:val="0"/>
        <w:kinsoku/>
        <w:wordWrap/>
        <w:overflowPunct/>
        <w:topLinePunct w:val="0"/>
        <w:autoSpaceDE/>
        <w:autoSpaceDN/>
        <w:bidi w:val="0"/>
        <w:adjustRightInd/>
        <w:snapToGrid/>
        <w:spacing w:line="560" w:lineRule="exact"/>
        <w:ind w:firstLine="2781" w:firstLineChars="900"/>
        <w:textAlignment w:val="auto"/>
        <w:rPr>
          <w:rFonts w:hint="eastAsia"/>
        </w:rPr>
      </w:pPr>
      <w:r>
        <w:rPr>
          <w:rFonts w:hint="eastAsia"/>
        </w:rPr>
        <w:t>东川区优化营商环境</w:t>
      </w:r>
      <w:r>
        <w:rPr>
          <w:rFonts w:hint="eastAsia"/>
          <w:lang w:eastAsia="zh-CN"/>
        </w:rPr>
        <w:t>开放</w:t>
      </w:r>
      <w:r>
        <w:rPr>
          <w:rFonts w:hint="eastAsia"/>
        </w:rPr>
        <w:t>环境专项组</w:t>
      </w:r>
    </w:p>
    <w:p w14:paraId="4D846898">
      <w:pPr>
        <w:keepNext w:val="0"/>
        <w:keepLines w:val="0"/>
        <w:pageBreakBefore w:val="0"/>
        <w:widowControl w:val="0"/>
        <w:kinsoku/>
        <w:wordWrap/>
        <w:overflowPunct/>
        <w:topLinePunct w:val="0"/>
        <w:autoSpaceDE/>
        <w:autoSpaceDN/>
        <w:bidi w:val="0"/>
        <w:adjustRightInd/>
        <w:snapToGrid/>
        <w:spacing w:line="560" w:lineRule="exact"/>
        <w:ind w:firstLine="2781" w:firstLineChars="900"/>
        <w:textAlignment w:val="auto"/>
        <w:rPr>
          <w:rFonts w:hint="eastAsia"/>
        </w:rPr>
      </w:pPr>
      <w:r>
        <w:rPr>
          <w:rFonts w:hint="default" w:ascii="Times New Roman" w:hAnsi="Times New Roman" w:eastAsia="仿宋_GB2312" w:cs="Times New Roman"/>
          <w:sz w:val="32"/>
          <w:szCs w:val="32"/>
          <w:lang w:eastAsia="zh-CN"/>
        </w:rPr>
        <w:t>昆明市东川区商务和投资促进局</w:t>
      </w:r>
      <w:r>
        <w:rPr>
          <w:rFonts w:hint="eastAsia"/>
        </w:rPr>
        <w:t>(代章)</w:t>
      </w:r>
    </w:p>
    <w:p w14:paraId="6C684444">
      <w:pPr>
        <w:keepNext w:val="0"/>
        <w:keepLines w:val="0"/>
        <w:pageBreakBefore w:val="0"/>
        <w:widowControl w:val="0"/>
        <w:kinsoku/>
        <w:wordWrap/>
        <w:overflowPunct/>
        <w:topLinePunct w:val="0"/>
        <w:autoSpaceDE/>
        <w:autoSpaceDN/>
        <w:bidi w:val="0"/>
        <w:adjustRightInd/>
        <w:snapToGrid/>
        <w:spacing w:line="560" w:lineRule="exact"/>
        <w:ind w:firstLine="4017" w:firstLineChars="1300"/>
        <w:textAlignment w:val="auto"/>
        <w:rPr>
          <w:rFonts w:hint="eastAsia"/>
        </w:rPr>
      </w:pPr>
      <w:r>
        <w:rPr>
          <w:rFonts w:hint="eastAsia"/>
        </w:rPr>
        <w:t>2023年6月</w:t>
      </w:r>
      <w:r>
        <w:rPr>
          <w:rFonts w:hint="eastAsia"/>
          <w:lang w:val="en-US" w:eastAsia="zh-CN"/>
        </w:rPr>
        <w:t>30</w:t>
      </w:r>
      <w:r>
        <w:rPr>
          <w:rFonts w:hint="eastAsia"/>
        </w:rPr>
        <w:t xml:space="preserve"> 日</w:t>
      </w:r>
    </w:p>
    <w:p w14:paraId="3C342593">
      <w:pPr>
        <w:pStyle w:val="5"/>
        <w:rPr>
          <w:rFonts w:hint="default" w:ascii="Times New Roman" w:hAnsi="Times New Roman" w:cs="Times New Roman"/>
          <w:lang w:val="en-US" w:eastAsia="zh-CN"/>
        </w:rPr>
      </w:pPr>
    </w:p>
    <w:p w14:paraId="529479AE">
      <w:pPr>
        <w:keepNext w:val="0"/>
        <w:keepLines w:val="0"/>
        <w:pageBreakBefore w:val="0"/>
        <w:widowControl w:val="0"/>
        <w:kinsoku/>
        <w:wordWrap/>
        <w:overflowPunct/>
        <w:topLinePunct w:val="0"/>
        <w:autoSpaceDE/>
        <w:autoSpaceDN/>
        <w:bidi w:val="0"/>
        <w:adjustRightInd/>
        <w:snapToGrid/>
        <w:spacing w:line="560" w:lineRule="exact"/>
        <w:ind w:right="0" w:rightChars="0" w:firstLine="1545" w:firstLineChars="500"/>
        <w:jc w:val="both"/>
        <w:textAlignment w:val="auto"/>
        <w:outlineLvl w:val="9"/>
        <w:rPr>
          <w:rFonts w:hint="default" w:ascii="Times New Roman" w:hAnsi="Times New Roman" w:eastAsia="仿宋_GB2312" w:cs="Times New Roman"/>
          <w:sz w:val="32"/>
          <w:szCs w:val="32"/>
          <w:lang w:eastAsia="zh-CN"/>
        </w:rPr>
      </w:pPr>
    </w:p>
    <w:p w14:paraId="32006453">
      <w:pPr>
        <w:keepNext w:val="0"/>
        <w:keepLines w:val="0"/>
        <w:pageBreakBefore w:val="0"/>
        <w:widowControl w:val="0"/>
        <w:kinsoku/>
        <w:wordWrap/>
        <w:overflowPunct/>
        <w:topLinePunct w:val="0"/>
        <w:autoSpaceDE/>
        <w:autoSpaceDN/>
        <w:bidi w:val="0"/>
        <w:adjustRightInd/>
        <w:snapToGrid/>
        <w:spacing w:line="560" w:lineRule="exact"/>
        <w:ind w:right="0" w:rightChars="0" w:firstLine="1545" w:firstLineChars="500"/>
        <w:jc w:val="both"/>
        <w:textAlignment w:val="auto"/>
        <w:outlineLvl w:val="9"/>
        <w:rPr>
          <w:rFonts w:hint="default" w:ascii="Times New Roman" w:hAnsi="Times New Roman" w:eastAsia="仿宋_GB2312" w:cs="Times New Roman"/>
          <w:sz w:val="32"/>
          <w:szCs w:val="32"/>
          <w:lang w:eastAsia="zh-CN"/>
        </w:rPr>
      </w:pPr>
    </w:p>
    <w:p w14:paraId="39B73664">
      <w:pPr>
        <w:keepNext w:val="0"/>
        <w:keepLines w:val="0"/>
        <w:pageBreakBefore w:val="0"/>
        <w:widowControl w:val="0"/>
        <w:kinsoku/>
        <w:wordWrap/>
        <w:overflowPunct/>
        <w:topLinePunct w:val="0"/>
        <w:autoSpaceDE/>
        <w:autoSpaceDN/>
        <w:bidi w:val="0"/>
        <w:adjustRightInd/>
        <w:snapToGrid/>
        <w:spacing w:line="560" w:lineRule="exact"/>
        <w:ind w:right="0" w:rightChars="0" w:firstLine="1545" w:firstLineChars="500"/>
        <w:jc w:val="both"/>
        <w:textAlignment w:val="auto"/>
        <w:outlineLvl w:val="9"/>
        <w:rPr>
          <w:rFonts w:hint="default" w:ascii="Times New Roman" w:hAnsi="Times New Roman" w:eastAsia="仿宋_GB2312" w:cs="Times New Roman"/>
          <w:sz w:val="32"/>
          <w:szCs w:val="32"/>
          <w:lang w:eastAsia="zh-CN"/>
        </w:rPr>
      </w:pPr>
    </w:p>
    <w:p w14:paraId="08F3870C">
      <w:pPr>
        <w:keepNext w:val="0"/>
        <w:keepLines w:val="0"/>
        <w:pageBreakBefore w:val="0"/>
        <w:widowControl w:val="0"/>
        <w:kinsoku/>
        <w:wordWrap/>
        <w:overflowPunct/>
        <w:topLinePunct w:val="0"/>
        <w:autoSpaceDE/>
        <w:autoSpaceDN/>
        <w:bidi w:val="0"/>
        <w:adjustRightInd/>
        <w:snapToGrid/>
        <w:spacing w:line="560" w:lineRule="exact"/>
        <w:ind w:right="0" w:rightChars="0" w:firstLine="1545" w:firstLineChars="500"/>
        <w:jc w:val="both"/>
        <w:textAlignment w:val="auto"/>
        <w:outlineLvl w:val="9"/>
        <w:rPr>
          <w:rFonts w:hint="default" w:ascii="Times New Roman" w:hAnsi="Times New Roman" w:eastAsia="仿宋_GB2312" w:cs="Times New Roman"/>
          <w:sz w:val="32"/>
          <w:szCs w:val="32"/>
          <w:lang w:eastAsia="zh-CN"/>
        </w:rPr>
      </w:pPr>
    </w:p>
    <w:p w14:paraId="6DDAF856">
      <w:pPr>
        <w:keepNext w:val="0"/>
        <w:keepLines w:val="0"/>
        <w:pageBreakBefore w:val="0"/>
        <w:widowControl w:val="0"/>
        <w:kinsoku/>
        <w:wordWrap/>
        <w:overflowPunct/>
        <w:topLinePunct w:val="0"/>
        <w:autoSpaceDE/>
        <w:autoSpaceDN/>
        <w:bidi w:val="0"/>
        <w:adjustRightInd/>
        <w:snapToGrid/>
        <w:spacing w:line="560" w:lineRule="exact"/>
        <w:ind w:right="0" w:rightChars="0" w:firstLine="1545" w:firstLineChars="500"/>
        <w:jc w:val="both"/>
        <w:textAlignment w:val="auto"/>
        <w:outlineLvl w:val="9"/>
        <w:rPr>
          <w:rFonts w:hint="default" w:ascii="Times New Roman" w:hAnsi="Times New Roman" w:eastAsia="仿宋_GB2312" w:cs="Times New Roman"/>
          <w:sz w:val="32"/>
          <w:szCs w:val="32"/>
          <w:lang w:eastAsia="zh-CN"/>
        </w:rPr>
      </w:pPr>
    </w:p>
    <w:p w14:paraId="72D5CA71">
      <w:pPr>
        <w:pStyle w:val="35"/>
        <w:keepNext w:val="0"/>
        <w:keepLines w:val="0"/>
        <w:pageBreakBefore w:val="0"/>
        <w:widowControl w:val="0"/>
        <w:kinsoku/>
        <w:overflowPunct/>
        <w:topLinePunct w:val="0"/>
        <w:autoSpaceDN/>
        <w:bidi w:val="0"/>
        <w:adjustRightInd/>
        <w:snapToGrid/>
        <w:spacing w:line="560" w:lineRule="exact"/>
        <w:ind w:left="0" w:leftChars="0" w:right="0" w:rightChars="0"/>
        <w:textAlignment w:val="auto"/>
        <w:outlineLvl w:val="9"/>
        <w:rPr>
          <w:rFonts w:hint="default" w:ascii="Times New Roman" w:hAnsi="Times New Roman" w:cs="Times New Roman"/>
        </w:rPr>
      </w:pPr>
    </w:p>
    <w:p w14:paraId="61C7F9FF">
      <w:pPr>
        <w:pStyle w:val="35"/>
        <w:keepNext w:val="0"/>
        <w:keepLines w:val="0"/>
        <w:pageBreakBefore w:val="0"/>
        <w:widowControl w:val="0"/>
        <w:kinsoku/>
        <w:overflowPunct/>
        <w:topLinePunct w:val="0"/>
        <w:autoSpaceDN/>
        <w:bidi w:val="0"/>
        <w:adjustRightInd/>
        <w:snapToGrid/>
        <w:spacing w:line="560" w:lineRule="exact"/>
        <w:ind w:left="0" w:leftChars="0" w:right="0" w:rightChars="0"/>
        <w:textAlignment w:val="auto"/>
        <w:outlineLvl w:val="9"/>
        <w:rPr>
          <w:rFonts w:hint="default" w:ascii="Times New Roman" w:hAnsi="Times New Roman" w:cs="Times New Roman"/>
        </w:rPr>
      </w:pPr>
    </w:p>
    <w:p w14:paraId="67C6C7BD">
      <w:pPr>
        <w:pStyle w:val="35"/>
        <w:rPr>
          <w:rFonts w:hint="default" w:ascii="Times New Roman" w:hAnsi="Times New Roman" w:cs="Times New Roman"/>
        </w:rPr>
      </w:pPr>
    </w:p>
    <w:p w14:paraId="67426786">
      <w:pPr>
        <w:pStyle w:val="35"/>
        <w:rPr>
          <w:rFonts w:hint="default" w:ascii="Times New Roman" w:hAnsi="Times New Roman" w:cs="Times New Roman"/>
        </w:rPr>
      </w:pPr>
    </w:p>
    <w:p w14:paraId="069C9B45">
      <w:pPr>
        <w:pStyle w:val="35"/>
        <w:rPr>
          <w:rFonts w:hint="default" w:ascii="Times New Roman" w:hAnsi="Times New Roman" w:cs="Times New Roman"/>
        </w:rPr>
      </w:pPr>
    </w:p>
    <w:p w14:paraId="4B7BCCB7">
      <w:pPr>
        <w:pStyle w:val="35"/>
        <w:rPr>
          <w:rFonts w:hint="default" w:ascii="Times New Roman" w:hAnsi="Times New Roman" w:cs="Times New Roman"/>
        </w:rPr>
      </w:pPr>
    </w:p>
    <w:p w14:paraId="5F78E40D">
      <w:pPr>
        <w:pStyle w:val="35"/>
        <w:rPr>
          <w:rFonts w:hint="default" w:ascii="Times New Roman" w:hAnsi="Times New Roman" w:cs="Times New Roman"/>
        </w:rPr>
      </w:pPr>
    </w:p>
    <w:p w14:paraId="1EED05ED">
      <w:pPr>
        <w:pStyle w:val="35"/>
        <w:rPr>
          <w:rFonts w:hint="default" w:ascii="Times New Roman" w:hAnsi="Times New Roman" w:cs="Times New Roman"/>
        </w:rPr>
      </w:pPr>
    </w:p>
    <w:p w14:paraId="5B2F4B8D">
      <w:pPr>
        <w:pStyle w:val="35"/>
        <w:rPr>
          <w:rFonts w:hint="default" w:ascii="Times New Roman" w:hAnsi="Times New Roman" w:cs="Times New Roman"/>
        </w:rPr>
      </w:pPr>
    </w:p>
    <w:p w14:paraId="216B0FE3">
      <w:pPr>
        <w:pStyle w:val="35"/>
        <w:rPr>
          <w:rFonts w:hint="default" w:ascii="Times New Roman" w:hAnsi="Times New Roman" w:cs="Times New Roman"/>
        </w:rPr>
      </w:pPr>
    </w:p>
    <w:p w14:paraId="53EDFF9F">
      <w:pPr>
        <w:pStyle w:val="35"/>
        <w:rPr>
          <w:rFonts w:hint="default" w:ascii="Times New Roman" w:hAnsi="Times New Roman" w:cs="Times New Roman"/>
        </w:rPr>
      </w:pPr>
    </w:p>
    <w:p w14:paraId="1E9DC82D">
      <w:pPr>
        <w:pStyle w:val="35"/>
        <w:rPr>
          <w:rFonts w:hint="default" w:ascii="Times New Roman" w:hAnsi="Times New Roman" w:cs="Times New Roman"/>
        </w:rPr>
      </w:pPr>
    </w:p>
    <w:p w14:paraId="3D82814F">
      <w:pPr>
        <w:pStyle w:val="35"/>
        <w:rPr>
          <w:rFonts w:hint="default" w:ascii="Times New Roman" w:hAnsi="Times New Roman" w:cs="Times New Roman"/>
        </w:rPr>
      </w:pPr>
    </w:p>
    <w:p w14:paraId="292161C7">
      <w:pPr>
        <w:pStyle w:val="35"/>
        <w:rPr>
          <w:rFonts w:hint="default" w:ascii="Times New Roman" w:hAnsi="Times New Roman" w:cs="Times New Roman"/>
        </w:rPr>
      </w:pPr>
    </w:p>
    <w:p w14:paraId="3EE2373A">
      <w:pPr>
        <w:pStyle w:val="35"/>
        <w:rPr>
          <w:rFonts w:hint="default" w:ascii="Times New Roman" w:hAnsi="Times New Roman" w:cs="Times New Roman"/>
        </w:rPr>
      </w:pPr>
    </w:p>
    <w:p w14:paraId="1BE78E1E">
      <w:pPr>
        <w:pStyle w:val="35"/>
        <w:rPr>
          <w:rFonts w:hint="default" w:ascii="Times New Roman" w:hAnsi="Times New Roman" w:cs="Times New Roman"/>
        </w:rPr>
      </w:pPr>
    </w:p>
    <w:p w14:paraId="4A225A28">
      <w:pPr>
        <w:pBdr>
          <w:top w:val="single" w:color="auto" w:sz="4" w:space="1"/>
          <w:bottom w:val="single" w:color="auto" w:sz="4" w:space="1"/>
          <w:between w:val="single" w:color="auto" w:sz="4" w:space="1"/>
        </w:pBdr>
        <w:spacing w:line="560" w:lineRule="exact"/>
        <w:ind w:right="24" w:rightChars="8" w:firstLine="269" w:firstLineChars="100"/>
        <w:rPr>
          <w:rFonts w:hint="default" w:ascii="Times New Roman" w:hAnsi="Times New Roman" w:cs="Times New Roman"/>
          <w:sz w:val="28"/>
          <w:szCs w:val="28"/>
        </w:rPr>
      </w:pPr>
      <w:r>
        <w:rPr>
          <w:rFonts w:hint="default" w:ascii="Times New Roman" w:hAnsi="Times New Roman" w:cs="Times New Roman"/>
          <w:sz w:val="28"/>
          <w:szCs w:val="28"/>
          <w:lang w:eastAsia="zh-CN"/>
        </w:rPr>
        <w:t>东川区商务和投资促进局办公室</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202</w:t>
      </w:r>
      <w:r>
        <w:rPr>
          <w:rFonts w:hint="default" w:ascii="Times New Roman" w:hAnsi="Times New Roman" w:eastAsia="宋体" w:cs="Times New Roman"/>
          <w:sz w:val="28"/>
          <w:szCs w:val="28"/>
          <w:lang w:val="en-US" w:eastAsia="zh-CN"/>
        </w:rPr>
        <w:t>3</w:t>
      </w:r>
      <w:r>
        <w:rPr>
          <w:rFonts w:hint="default" w:ascii="Times New Roman" w:hAnsi="Times New Roman" w:cs="Times New Roman"/>
          <w:sz w:val="28"/>
          <w:szCs w:val="28"/>
        </w:rPr>
        <w:t>年</w:t>
      </w:r>
      <w:r>
        <w:rPr>
          <w:rFonts w:hint="eastAsia" w:ascii="Times New Roman" w:hAnsi="Times New Roman" w:eastAsia="宋体" w:cs="Times New Roman"/>
          <w:sz w:val="28"/>
          <w:szCs w:val="28"/>
          <w:lang w:val="en-US" w:eastAsia="zh-CN"/>
        </w:rPr>
        <w:t>6</w:t>
      </w:r>
      <w:r>
        <w:rPr>
          <w:rFonts w:hint="default" w:ascii="Times New Roman" w:hAnsi="Times New Roman" w:cs="Times New Roman"/>
          <w:sz w:val="28"/>
          <w:szCs w:val="28"/>
        </w:rPr>
        <w:t>月</w:t>
      </w:r>
      <w:r>
        <w:rPr>
          <w:rFonts w:hint="eastAsia" w:ascii="Times New Roman" w:hAnsi="Times New Roman" w:eastAsia="宋体" w:cs="Times New Roman"/>
          <w:sz w:val="28"/>
          <w:szCs w:val="28"/>
          <w:lang w:val="en-US" w:eastAsia="zh-CN"/>
        </w:rPr>
        <w:t>30</w:t>
      </w:r>
      <w:r>
        <w:rPr>
          <w:rFonts w:hint="default" w:ascii="Times New Roman" w:hAnsi="Times New Roman" w:cs="Times New Roman"/>
          <w:sz w:val="28"/>
          <w:szCs w:val="28"/>
        </w:rPr>
        <w:t>日印发</w:t>
      </w:r>
    </w:p>
    <w:p w14:paraId="78DCBAF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napToGrid w:val="0"/>
          <w:color w:val="auto"/>
          <w:spacing w:val="0"/>
          <w:w w:val="100"/>
          <w:kern w:val="10"/>
          <w:sz w:val="44"/>
          <w:szCs w:val="44"/>
          <w:lang w:eastAsia="zh-CN"/>
        </w:rPr>
      </w:pPr>
      <w:r>
        <w:rPr>
          <w:rFonts w:hint="default" w:ascii="Times New Roman" w:hAnsi="Times New Roman" w:eastAsia="方正小标宋简体" w:cs="Times New Roman"/>
          <w:snapToGrid w:val="0"/>
          <w:kern w:val="0"/>
          <w:sz w:val="44"/>
          <w:szCs w:val="44"/>
          <w:lang w:eastAsia="zh-CN"/>
        </w:rPr>
        <w:t>东川区2023年</w:t>
      </w:r>
      <w:r>
        <w:rPr>
          <w:rFonts w:hint="default" w:ascii="Times New Roman" w:hAnsi="Times New Roman" w:eastAsia="方正小标宋简体" w:cs="Times New Roman"/>
          <w:b w:val="0"/>
          <w:bCs w:val="0"/>
          <w:snapToGrid w:val="0"/>
          <w:color w:val="auto"/>
          <w:spacing w:val="0"/>
          <w:w w:val="100"/>
          <w:kern w:val="10"/>
          <w:sz w:val="44"/>
          <w:szCs w:val="44"/>
          <w:lang w:eastAsia="zh-CN"/>
        </w:rPr>
        <w:t>着力打造兼容并包的</w:t>
      </w:r>
    </w:p>
    <w:p w14:paraId="10B3A1C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napToGrid w:val="0"/>
          <w:kern w:val="0"/>
          <w:sz w:val="44"/>
          <w:szCs w:val="44"/>
          <w:lang w:eastAsia="zh-CN"/>
        </w:rPr>
      </w:pPr>
      <w:r>
        <w:rPr>
          <w:rFonts w:hint="default" w:ascii="Times New Roman" w:hAnsi="Times New Roman" w:eastAsia="方正小标宋简体" w:cs="Times New Roman"/>
          <w:b w:val="0"/>
          <w:bCs w:val="0"/>
          <w:snapToGrid w:val="0"/>
          <w:color w:val="auto"/>
          <w:spacing w:val="0"/>
          <w:w w:val="100"/>
          <w:kern w:val="10"/>
          <w:sz w:val="44"/>
          <w:szCs w:val="44"/>
          <w:lang w:eastAsia="zh-CN"/>
        </w:rPr>
        <w:t>开放环境</w:t>
      </w:r>
      <w:r>
        <w:rPr>
          <w:rFonts w:hint="default" w:ascii="Times New Roman" w:hAnsi="Times New Roman" w:eastAsia="方正小标宋简体" w:cs="Times New Roman"/>
          <w:snapToGrid w:val="0"/>
          <w:kern w:val="0"/>
          <w:sz w:val="44"/>
          <w:szCs w:val="44"/>
          <w:lang w:eastAsia="zh-CN"/>
        </w:rPr>
        <w:t>工作方案</w:t>
      </w:r>
    </w:p>
    <w:p w14:paraId="3A9DDDF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18"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p>
    <w:p w14:paraId="00ED250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18" w:firstLineChars="200"/>
        <w:jc w:val="both"/>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rPr>
        <w:t>根据《昆明市打造“兼容并包的开放环境”2023年工作方案》、《中共昆明市东川区委办公室  昆明市东川区人民政府办公室关于印发东川区全面优化提升营商环境三年攻坚行动方案（2022—2024年）的通知》（东办发〔2022〕12号）要求，打造一流的市场化法治化国际化便利化营商环境</w:t>
      </w:r>
      <w:r>
        <w:rPr>
          <w:rFonts w:hint="default" w:ascii="Times New Roman" w:hAnsi="Times New Roman" w:eastAsia="仿宋_GB2312" w:cs="Times New Roman"/>
          <w:color w:val="000000"/>
          <w:kern w:val="0"/>
          <w:sz w:val="32"/>
          <w:szCs w:val="32"/>
          <w:lang w:val="en-US" w:eastAsia="zh-CN" w:bidi="ar-SA"/>
        </w:rPr>
        <w:t>，现结合我区实际制定本工作方案。</w:t>
      </w:r>
    </w:p>
    <w:p w14:paraId="1F4B964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50" w:firstLineChars="200"/>
        <w:jc w:val="both"/>
        <w:textAlignment w:val="auto"/>
        <w:rPr>
          <w:rStyle w:val="18"/>
          <w:rFonts w:hint="default" w:ascii="Times New Roman" w:hAnsi="Times New Roman" w:eastAsia="黑体" w:cs="Times New Roman"/>
          <w:b w:val="0"/>
          <w:bCs/>
          <w:i w:val="0"/>
          <w:caps w:val="0"/>
          <w:snapToGrid/>
          <w:color w:val="333333"/>
          <w:spacing w:val="8"/>
          <w:kern w:val="2"/>
          <w:sz w:val="32"/>
          <w:szCs w:val="32"/>
          <w:shd w:val="clear" w:color="auto" w:fill="FFFFFF"/>
          <w:lang w:val="en-US" w:eastAsia="zh-CN" w:bidi="ar-SA"/>
        </w:rPr>
      </w:pPr>
      <w:r>
        <w:rPr>
          <w:rStyle w:val="18"/>
          <w:rFonts w:hint="default" w:ascii="Times New Roman" w:hAnsi="Times New Roman" w:eastAsia="黑体" w:cs="Times New Roman"/>
          <w:b w:val="0"/>
          <w:bCs/>
          <w:i w:val="0"/>
          <w:caps w:val="0"/>
          <w:snapToGrid/>
          <w:color w:val="333333"/>
          <w:spacing w:val="8"/>
          <w:kern w:val="2"/>
          <w:sz w:val="32"/>
          <w:szCs w:val="32"/>
          <w:shd w:val="clear" w:color="auto" w:fill="FFFFFF"/>
          <w:lang w:val="en-US" w:eastAsia="zh-CN" w:bidi="ar-SA"/>
        </w:rPr>
        <w:t>一、指导思想</w:t>
      </w:r>
    </w:p>
    <w:p w14:paraId="47D43635">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napToGrid w:val="0"/>
          <w:color w:val="000000"/>
          <w:kern w:val="0"/>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rPr>
        <w:t>坚持以习近平新时代中国特色社会主义思想为指导，深入贯彻党的二十大精神，全面贯彻习近平总书记考察云南重要讲话精神，完整、准确、全面贯彻新发展理念，服务和融入新发展格局，发挥区位、开放和资源优势，着力打造兼容并包的开放环境，</w:t>
      </w:r>
      <w:r>
        <w:rPr>
          <w:rFonts w:hint="default" w:ascii="Times New Roman" w:hAnsi="Times New Roman" w:eastAsia="仿宋_GB2312" w:cs="Times New Roman"/>
          <w:b w:val="0"/>
          <w:color w:val="auto"/>
          <w:sz w:val="32"/>
          <w:szCs w:val="32"/>
        </w:rPr>
        <w:t>纵深推动营商环境</w:t>
      </w:r>
      <w:r>
        <w:rPr>
          <w:rFonts w:hint="default" w:ascii="Times New Roman" w:hAnsi="Times New Roman" w:eastAsia="仿宋_GB2312" w:cs="Times New Roman"/>
          <w:b w:val="0"/>
          <w:color w:val="auto"/>
          <w:sz w:val="32"/>
          <w:szCs w:val="32"/>
          <w:lang w:eastAsia="zh-CN"/>
        </w:rPr>
        <w:t>，紧跟昆明市</w:t>
      </w:r>
      <w:r>
        <w:rPr>
          <w:rFonts w:hint="default" w:ascii="Times New Roman" w:hAnsi="Times New Roman" w:eastAsia="仿宋_GB2312" w:cs="Times New Roman"/>
          <w:b w:val="0"/>
          <w:color w:val="auto"/>
          <w:sz w:val="32"/>
          <w:szCs w:val="32"/>
        </w:rPr>
        <w:t>打造全国一流的市场化</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法治化</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国际化</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便利化营商环境</w:t>
      </w:r>
      <w:r>
        <w:rPr>
          <w:rFonts w:hint="default" w:ascii="Times New Roman" w:hAnsi="Times New Roman" w:eastAsia="仿宋_GB2312" w:cs="Times New Roman"/>
          <w:b w:val="0"/>
          <w:color w:val="auto"/>
          <w:sz w:val="32"/>
          <w:szCs w:val="32"/>
          <w:lang w:eastAsia="zh-CN"/>
        </w:rPr>
        <w:t>步伐</w:t>
      </w:r>
      <w:r>
        <w:rPr>
          <w:rFonts w:hint="default" w:ascii="Times New Roman" w:hAnsi="Times New Roman" w:eastAsia="仿宋_GB2312" w:cs="Times New Roman"/>
          <w:b w:val="0"/>
          <w:color w:val="auto"/>
          <w:sz w:val="32"/>
          <w:szCs w:val="32"/>
        </w:rPr>
        <w:t>，不断提升企业群众的获得感、幸福感</w:t>
      </w:r>
      <w:r>
        <w:rPr>
          <w:rFonts w:hint="default" w:ascii="Times New Roman" w:hAnsi="Times New Roman" w:eastAsia="仿宋_GB2312" w:cs="Times New Roman"/>
          <w:b w:val="0"/>
          <w:color w:val="auto"/>
          <w:sz w:val="32"/>
          <w:szCs w:val="32"/>
          <w:lang w:eastAsia="zh-CN"/>
        </w:rPr>
        <w:t>和</w:t>
      </w:r>
      <w:r>
        <w:rPr>
          <w:rFonts w:hint="default" w:ascii="Times New Roman" w:hAnsi="Times New Roman" w:eastAsia="仿宋_GB2312" w:cs="Times New Roman"/>
          <w:b w:val="0"/>
          <w:color w:val="auto"/>
          <w:sz w:val="32"/>
          <w:szCs w:val="32"/>
        </w:rPr>
        <w:t>安全感，为</w:t>
      </w:r>
      <w:r>
        <w:rPr>
          <w:rFonts w:hint="default" w:ascii="Times New Roman" w:hAnsi="Times New Roman" w:eastAsia="仿宋_GB2312" w:cs="Times New Roman"/>
          <w:b w:val="0"/>
          <w:color w:val="auto"/>
          <w:sz w:val="32"/>
          <w:szCs w:val="32"/>
          <w:lang w:eastAsia="zh-CN"/>
        </w:rPr>
        <w:t>东川区</w:t>
      </w:r>
      <w:r>
        <w:rPr>
          <w:rFonts w:hint="default" w:ascii="Times New Roman" w:hAnsi="Times New Roman" w:eastAsia="仿宋_GB2312" w:cs="Times New Roman"/>
          <w:b w:val="0"/>
          <w:color w:val="auto"/>
          <w:sz w:val="32"/>
          <w:szCs w:val="32"/>
        </w:rPr>
        <w:t>高质量</w:t>
      </w:r>
      <w:r>
        <w:rPr>
          <w:rFonts w:hint="default" w:ascii="Times New Roman" w:hAnsi="Times New Roman" w:eastAsia="仿宋_GB2312" w:cs="Times New Roman"/>
          <w:b w:val="0"/>
          <w:color w:val="auto"/>
          <w:sz w:val="32"/>
          <w:szCs w:val="32"/>
          <w:lang w:eastAsia="zh-CN"/>
        </w:rPr>
        <w:t>快速</w:t>
      </w:r>
      <w:r>
        <w:rPr>
          <w:rFonts w:hint="default" w:ascii="Times New Roman" w:hAnsi="Times New Roman" w:eastAsia="仿宋_GB2312" w:cs="Times New Roman"/>
          <w:b w:val="0"/>
          <w:color w:val="auto"/>
          <w:sz w:val="32"/>
          <w:szCs w:val="32"/>
        </w:rPr>
        <w:t>发展提供有力支撑。</w:t>
      </w:r>
    </w:p>
    <w:p w14:paraId="6D4693D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50" w:firstLineChars="200"/>
        <w:jc w:val="both"/>
        <w:textAlignment w:val="auto"/>
        <w:rPr>
          <w:rStyle w:val="18"/>
          <w:rFonts w:hint="default" w:ascii="Times New Roman" w:hAnsi="Times New Roman" w:eastAsia="黑体" w:cs="Times New Roman"/>
          <w:b w:val="0"/>
          <w:bCs/>
          <w:i w:val="0"/>
          <w:caps w:val="0"/>
          <w:snapToGrid/>
          <w:color w:val="333333"/>
          <w:spacing w:val="8"/>
          <w:kern w:val="2"/>
          <w:sz w:val="32"/>
          <w:szCs w:val="32"/>
          <w:shd w:val="clear" w:color="auto" w:fill="FFFFFF"/>
          <w:lang w:val="en-US" w:eastAsia="zh-CN" w:bidi="ar-SA"/>
        </w:rPr>
      </w:pPr>
      <w:r>
        <w:rPr>
          <w:rStyle w:val="18"/>
          <w:rFonts w:hint="default" w:ascii="Times New Roman" w:hAnsi="Times New Roman" w:eastAsia="黑体" w:cs="Times New Roman"/>
          <w:b w:val="0"/>
          <w:bCs/>
          <w:i w:val="0"/>
          <w:caps w:val="0"/>
          <w:snapToGrid/>
          <w:color w:val="333333"/>
          <w:spacing w:val="8"/>
          <w:kern w:val="2"/>
          <w:sz w:val="32"/>
          <w:szCs w:val="32"/>
          <w:shd w:val="clear" w:color="auto" w:fill="FFFFFF"/>
          <w:lang w:val="en-US" w:eastAsia="zh-CN" w:bidi="ar-SA"/>
        </w:rPr>
        <w:t>二、工作目标</w:t>
      </w:r>
    </w:p>
    <w:p w14:paraId="2E19F675">
      <w:pPr>
        <w:keepNext w:val="0"/>
        <w:keepLines w:val="0"/>
        <w:pageBreakBefore w:val="0"/>
        <w:widowControl w:val="0"/>
        <w:suppressAutoHyphens/>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32"/>
          <w:szCs w:val="32"/>
          <w:lang w:val="en-US" w:eastAsia="zh-CN" w:bidi="ar-SA"/>
        </w:rPr>
        <w:t>进一步推进全区开放环境建设，</w:t>
      </w:r>
      <w:r>
        <w:rPr>
          <w:rFonts w:hint="default" w:ascii="Times New Roman" w:hAnsi="Times New Roman" w:eastAsia="仿宋_GB2312" w:cs="Times New Roman"/>
          <w:snapToGrid/>
          <w:color w:val="auto"/>
          <w:kern w:val="0"/>
          <w:sz w:val="32"/>
          <w:szCs w:val="32"/>
          <w:u w:val="none"/>
          <w:lang w:val="en-US" w:eastAsia="zh-CN" w:bidi="ar"/>
        </w:rPr>
        <w:t>加快推进外资、内资与产业相结合，着力引进龙头企业和标志性项目，加快发展总部经济，逐步扩大外资企业市场准入，加快打造国际化的服务环境。</w:t>
      </w:r>
    </w:p>
    <w:p w14:paraId="561D922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50" w:firstLineChars="200"/>
        <w:jc w:val="both"/>
        <w:textAlignment w:val="auto"/>
        <w:rPr>
          <w:rFonts w:hint="default" w:ascii="Times New Roman" w:hAnsi="Times New Roman" w:eastAsia="黑体" w:cs="Times New Roman"/>
        </w:rPr>
      </w:pPr>
      <w:r>
        <w:rPr>
          <w:rStyle w:val="18"/>
          <w:rFonts w:hint="default" w:ascii="Times New Roman" w:hAnsi="Times New Roman" w:eastAsia="黑体" w:cs="Times New Roman"/>
          <w:b w:val="0"/>
          <w:bCs/>
          <w:i w:val="0"/>
          <w:caps w:val="0"/>
          <w:snapToGrid/>
          <w:color w:val="333333"/>
          <w:spacing w:val="8"/>
          <w:kern w:val="2"/>
          <w:sz w:val="32"/>
          <w:szCs w:val="32"/>
          <w:shd w:val="clear" w:color="auto" w:fill="FFFFFF"/>
          <w:lang w:val="en-US" w:eastAsia="zh-CN" w:bidi="ar-SA"/>
        </w:rPr>
        <w:t>三、重点任务</w:t>
      </w:r>
    </w:p>
    <w:p w14:paraId="5A5898E4">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（一）培育外贸竞争新优势</w:t>
      </w:r>
    </w:p>
    <w:p w14:paraId="79434F46">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1.促进对外贸易保稳提质，推动贸易高质量发展。一是优化 结构，加快发展贸易新业态新模式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推动外贸企业、外贸综合服务企业集聚发展。二是引培主体，拓展面向</w:t>
      </w:r>
      <w:r>
        <w:rPr>
          <w:rFonts w:hint="default" w:ascii="Times New Roman" w:hAnsi="Times New Roman" w:eastAsia="仿宋_GB2312" w:cs="Times New Roman"/>
          <w:sz w:val="32"/>
          <w:szCs w:val="32"/>
          <w:lang w:eastAsia="zh-CN"/>
        </w:rPr>
        <w:t>国际</w:t>
      </w:r>
      <w:r>
        <w:rPr>
          <w:rFonts w:hint="default" w:ascii="Times New Roman" w:hAnsi="Times New Roman" w:eastAsia="仿宋_GB2312" w:cs="Times New Roman"/>
          <w:sz w:val="32"/>
          <w:szCs w:val="32"/>
        </w:rPr>
        <w:t>的货物贸易与合作，打造面向东盟的跨境产业链。三是创新动能，加快建设国际贸易企业集聚区，推动跨境电商</w:t>
      </w:r>
      <w:r>
        <w:rPr>
          <w:rFonts w:hint="default" w:ascii="Times New Roman" w:hAnsi="Times New Roman" w:eastAsia="仿宋_GB2312" w:cs="Times New Roman"/>
          <w:sz w:val="32"/>
          <w:szCs w:val="32"/>
          <w:lang w:eastAsia="zh-CN"/>
        </w:rPr>
        <w:t>发展</w:t>
      </w:r>
      <w:r>
        <w:rPr>
          <w:rFonts w:hint="default" w:ascii="Times New Roman" w:hAnsi="Times New Roman" w:eastAsia="仿宋_GB2312" w:cs="Times New Roman"/>
          <w:sz w:val="32"/>
          <w:szCs w:val="32"/>
        </w:rPr>
        <w:t>。</w:t>
      </w:r>
    </w:p>
    <w:p w14:paraId="11F6940A">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牵头单位：区商务投促局</w:t>
      </w:r>
    </w:p>
    <w:p w14:paraId="4F212CF2">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2AF4C4A6">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sz w:val="32"/>
          <w:szCs w:val="32"/>
        </w:rPr>
        <w:t>加强文化市场主体培育。实施昆明市文化创意产业种子企业培育工程，支持“专精特新”文化创意企业梯次发展，培育一批具有出口能力或潜力的文化创意种子企业</w:t>
      </w:r>
      <w:r>
        <w:rPr>
          <w:rFonts w:hint="default" w:ascii="Times New Roman" w:hAnsi="Times New Roman" w:eastAsia="仿宋_GB2312" w:cs="Times New Roman"/>
          <w:sz w:val="32"/>
          <w:szCs w:val="32"/>
          <w:lang w:eastAsia="zh-CN"/>
        </w:rPr>
        <w:t>。</w:t>
      </w:r>
    </w:p>
    <w:p w14:paraId="52C962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委宣传部</w:t>
      </w:r>
    </w:p>
    <w:p w14:paraId="57B8FF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责任单位：</w:t>
      </w:r>
      <w:r>
        <w:rPr>
          <w:rFonts w:hint="eastAsia" w:eastAsia="仿宋_GB2312" w:cs="Times New Roman"/>
          <w:sz w:val="32"/>
          <w:szCs w:val="32"/>
          <w:lang w:eastAsia="zh-CN"/>
        </w:rPr>
        <w:t>区</w:t>
      </w:r>
      <w:r>
        <w:rPr>
          <w:rFonts w:hint="eastAsia" w:cs="Times New Roman"/>
          <w:sz w:val="32"/>
          <w:szCs w:val="32"/>
          <w:lang w:eastAsia="zh-CN"/>
        </w:rPr>
        <w:t>文化和旅游局</w:t>
      </w:r>
      <w:r>
        <w:rPr>
          <w:rFonts w:hint="eastAsia" w:eastAsia="仿宋_GB2312" w:cs="Times New Roman"/>
          <w:sz w:val="32"/>
          <w:szCs w:val="32"/>
          <w:lang w:eastAsia="zh-CN"/>
        </w:rPr>
        <w:t>、</w:t>
      </w:r>
      <w:r>
        <w:rPr>
          <w:rFonts w:hint="default" w:ascii="Times New Roman" w:hAnsi="Times New Roman" w:eastAsia="仿宋_GB2312" w:cs="Times New Roman"/>
          <w:color w:val="auto"/>
          <w:sz w:val="32"/>
          <w:szCs w:val="32"/>
          <w:lang w:val="en-US" w:eastAsia="zh-CN"/>
        </w:rPr>
        <w:t>区商务投促局</w:t>
      </w:r>
    </w:p>
    <w:p w14:paraId="0B3B7A23">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3C4F0956">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sz w:val="32"/>
          <w:szCs w:val="32"/>
        </w:rPr>
        <w:t>扩大对外文化贸易。鼓励和支持文化创意企业，鼓励有条件的文化企业创新对外合作方式，优化资源、品牌和营销渠道，面向国际市场开发产品、提供服务，提高境外投资质量效益，支持扩大与南亚东南亚国家的文化贸易、合作交流的 有关活动及项目。</w:t>
      </w:r>
    </w:p>
    <w:p w14:paraId="7DC167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委宣传部</w:t>
      </w:r>
    </w:p>
    <w:p w14:paraId="47897F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责任单位：</w:t>
      </w:r>
      <w:r>
        <w:rPr>
          <w:rFonts w:hint="eastAsia" w:eastAsia="仿宋_GB2312" w:cs="Times New Roman"/>
          <w:sz w:val="32"/>
          <w:szCs w:val="32"/>
          <w:lang w:eastAsia="zh-CN"/>
        </w:rPr>
        <w:t>区</w:t>
      </w:r>
      <w:r>
        <w:rPr>
          <w:rFonts w:hint="eastAsia" w:cs="Times New Roman"/>
          <w:sz w:val="32"/>
          <w:szCs w:val="32"/>
          <w:lang w:eastAsia="zh-CN"/>
        </w:rPr>
        <w:t>文化和旅游局</w:t>
      </w:r>
      <w:r>
        <w:rPr>
          <w:rFonts w:hint="eastAsia" w:eastAsia="仿宋_GB2312" w:cs="Times New Roman"/>
          <w:sz w:val="32"/>
          <w:szCs w:val="32"/>
          <w:lang w:eastAsia="zh-CN"/>
        </w:rPr>
        <w:t>、</w:t>
      </w:r>
      <w:r>
        <w:rPr>
          <w:rFonts w:hint="default" w:ascii="Times New Roman" w:hAnsi="Times New Roman" w:eastAsia="仿宋_GB2312" w:cs="Times New Roman"/>
          <w:color w:val="auto"/>
          <w:sz w:val="32"/>
          <w:szCs w:val="32"/>
          <w:lang w:val="en-US" w:eastAsia="zh-CN"/>
        </w:rPr>
        <w:t>区商务投促局</w:t>
      </w:r>
    </w:p>
    <w:p w14:paraId="075D3CC5">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38CFFFC8">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sz w:val="32"/>
          <w:szCs w:val="32"/>
        </w:rPr>
        <w:t>加强跨区域市场监管一体化合作。加强与省内省外各州市 市场监管部门政务合作，实施市场主体登记注册“跨区通办”、行政许可“通办互认”、知识产权“协同合作”、质量发展“资源共享”。</w:t>
      </w:r>
    </w:p>
    <w:p w14:paraId="27EE5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市场监管局</w:t>
      </w:r>
    </w:p>
    <w:p w14:paraId="4B17537B">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27A278C4">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sz w:val="32"/>
          <w:szCs w:val="32"/>
        </w:rPr>
        <w:t>大力发展口岸经济，打好沿边和跨境“两张牌”，积极发展转口贸易、跨境贸易、服务贸易。</w:t>
      </w:r>
    </w:p>
    <w:p w14:paraId="51FF186C">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color w:val="auto"/>
          <w:sz w:val="32"/>
          <w:szCs w:val="32"/>
          <w:lang w:val="en-US" w:eastAsia="zh-CN"/>
        </w:rPr>
        <w:t>区商务投促局</w:t>
      </w:r>
    </w:p>
    <w:p w14:paraId="056A672E">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103CDB75">
      <w:pPr>
        <w:keepNext w:val="0"/>
        <w:keepLines w:val="0"/>
        <w:pageBreakBefore w:val="0"/>
        <w:widowControl/>
        <w:suppressLineNumbers w:val="0"/>
        <w:kinsoku/>
        <w:wordWrap/>
        <w:overflowPunct/>
        <w:topLinePunct w:val="0"/>
        <w:autoSpaceDE/>
        <w:autoSpaceDN/>
        <w:bidi w:val="0"/>
        <w:adjustRightInd/>
        <w:snapToGrid/>
        <w:spacing w:line="560" w:lineRule="exact"/>
        <w:ind w:firstLine="598"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color w:val="000000"/>
          <w:kern w:val="0"/>
          <w:sz w:val="31"/>
          <w:szCs w:val="31"/>
          <w:lang w:val="en-US" w:eastAsia="zh-CN" w:bidi="ar"/>
        </w:rPr>
        <w:t>（二）培育引资综合竞争优势</w:t>
      </w:r>
    </w:p>
    <w:p w14:paraId="368CD564">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将引进外资、市外资金与促进产业转型升级相结合，着力引进龙头企业和标志性项目。</w:t>
      </w:r>
      <w:r>
        <w:rPr>
          <w:rFonts w:hint="default" w:ascii="Times New Roman" w:hAnsi="Times New Roman" w:eastAsia="仿宋_GB2312" w:cs="Times New Roman"/>
          <w:sz w:val="32"/>
          <w:szCs w:val="32"/>
          <w:lang w:eastAsia="zh-CN"/>
        </w:rPr>
        <w:t>完成</w:t>
      </w:r>
      <w:r>
        <w:rPr>
          <w:rFonts w:hint="default" w:ascii="Times New Roman" w:hAnsi="Times New Roman" w:eastAsia="仿宋_GB2312" w:cs="Times New Roman"/>
          <w:sz w:val="32"/>
          <w:szCs w:val="32"/>
        </w:rPr>
        <w:t>省外产业到位资金</w:t>
      </w:r>
      <w:r>
        <w:rPr>
          <w:rFonts w:hint="default" w:ascii="Times New Roman" w:hAnsi="Times New Roman" w:eastAsia="仿宋_GB2312" w:cs="Times New Roman"/>
          <w:sz w:val="32"/>
          <w:szCs w:val="32"/>
          <w:lang w:val="en-US" w:eastAsia="zh-CN"/>
        </w:rPr>
        <w:t>50亿</w:t>
      </w:r>
      <w:r>
        <w:rPr>
          <w:rFonts w:hint="default" w:ascii="Times New Roman" w:hAnsi="Times New Roman" w:eastAsia="仿宋_GB2312" w:cs="Times New Roman"/>
          <w:color w:val="auto"/>
          <w:sz w:val="32"/>
          <w:szCs w:val="32"/>
          <w:lang w:val="en-US" w:eastAsia="zh-CN"/>
        </w:rPr>
        <w:t>元、实际利用外资500万美元。</w:t>
      </w:r>
    </w:p>
    <w:p w14:paraId="1D68E12F">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牵头单位：区商务投促局</w:t>
      </w:r>
    </w:p>
    <w:p w14:paraId="6EBDF41B">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50B554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加大科技合作交流和科技“双招双引”力度。构建“大开放、大合作、大未来”科技创新工作新局面，主动融入国家开放大局。积极赴有关企业进行招商引资，并积极谋划吸引国境外有关高校、科研院所、企业到</w:t>
      </w:r>
      <w:r>
        <w:rPr>
          <w:rFonts w:hint="default" w:ascii="Times New Roman" w:hAnsi="Times New Roman" w:eastAsia="仿宋_GB2312" w:cs="Times New Roman"/>
          <w:sz w:val="32"/>
          <w:szCs w:val="32"/>
          <w:lang w:eastAsia="zh-CN"/>
        </w:rPr>
        <w:t>东川</w:t>
      </w:r>
      <w:r>
        <w:rPr>
          <w:rFonts w:hint="default" w:ascii="Times New Roman" w:hAnsi="Times New Roman" w:eastAsia="仿宋_GB2312" w:cs="Times New Roman"/>
          <w:sz w:val="32"/>
          <w:szCs w:val="32"/>
        </w:rPr>
        <w:t>联合建设实验室、研发中心、建立分支机构和项目投资。</w:t>
      </w:r>
    </w:p>
    <w:p w14:paraId="785E98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eastAsia" w:eastAsia="仿宋_GB2312" w:cs="Times New Roman"/>
          <w:sz w:val="32"/>
          <w:szCs w:val="32"/>
          <w:lang w:eastAsia="zh-CN"/>
        </w:rPr>
        <w:t>工科信局</w:t>
      </w:r>
    </w:p>
    <w:p w14:paraId="0C24ADF3">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48268E7B">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依法、有序加大医疗卫生领域对外开放力度，认真梳理医疗卫生招商信息，积极开展医疗卫生领域招商引资工作。将中医药、院内制剂、民族医药等具有优势特色中医药服务辐射南亚东南亚。</w:t>
      </w:r>
    </w:p>
    <w:p w14:paraId="7CAC94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局</w:t>
      </w:r>
    </w:p>
    <w:p w14:paraId="180216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责任单位：区商务投促局</w:t>
      </w:r>
    </w:p>
    <w:p w14:paraId="589C1674">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50D3D4A5">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sz w:val="32"/>
          <w:szCs w:val="32"/>
        </w:rPr>
        <w:t>全面执行国家利用外资政策，着力提升外商投资便利化、法治化水平，加强外商投资项目备案和事中事后监管服务工作，落实外商投资项目备案定期报告制度。</w:t>
      </w:r>
    </w:p>
    <w:p w14:paraId="480297F1">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发展改革</w:t>
      </w:r>
      <w:r>
        <w:rPr>
          <w:rFonts w:hint="default" w:ascii="Times New Roman" w:hAnsi="Times New Roman" w:eastAsia="仿宋_GB2312" w:cs="Times New Roman"/>
          <w:sz w:val="32"/>
          <w:szCs w:val="32"/>
          <w:lang w:eastAsia="zh-CN"/>
        </w:rPr>
        <w:t>局</w:t>
      </w:r>
    </w:p>
    <w:p w14:paraId="2377F9B7">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完成时限：2023年12月31日前</w:t>
      </w:r>
    </w:p>
    <w:p w14:paraId="11FD67EC">
      <w:pPr>
        <w:keepNext w:val="0"/>
        <w:keepLines w:val="0"/>
        <w:pageBreakBefore w:val="0"/>
        <w:widowControl/>
        <w:suppressLineNumbers w:val="0"/>
        <w:kinsoku/>
        <w:wordWrap/>
        <w:overflowPunct/>
        <w:topLinePunct w:val="0"/>
        <w:autoSpaceDE/>
        <w:autoSpaceDN/>
        <w:bidi w:val="0"/>
        <w:adjustRightInd/>
        <w:snapToGrid/>
        <w:spacing w:line="560" w:lineRule="exact"/>
        <w:ind w:firstLine="598"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color w:val="000000"/>
          <w:kern w:val="0"/>
          <w:sz w:val="31"/>
          <w:szCs w:val="31"/>
          <w:lang w:val="en-US" w:eastAsia="zh-CN" w:bidi="ar"/>
        </w:rPr>
        <w:t>（三）优化物流市场信息服务</w:t>
      </w:r>
    </w:p>
    <w:p w14:paraId="4C4FEA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积极推进铁路运输“快速通关”常态化，不断提升铁路口岸作业效率和通关便利化水平。推动水公铁多式联运信息共享，充分发挥各种运输方式优势，实现各种运输方式协调发展。</w:t>
      </w:r>
    </w:p>
    <w:p w14:paraId="3D8263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eastAsia" w:eastAsia="仿宋_GB2312" w:cs="Times New Roman"/>
          <w:sz w:val="32"/>
          <w:szCs w:val="32"/>
          <w:lang w:eastAsia="zh-CN"/>
        </w:rPr>
        <w:t>区工科信</w:t>
      </w:r>
      <w:r>
        <w:rPr>
          <w:rFonts w:hint="default" w:ascii="Times New Roman" w:hAnsi="Times New Roman" w:eastAsia="仿宋_GB2312" w:cs="Times New Roman"/>
          <w:sz w:val="32"/>
          <w:szCs w:val="32"/>
        </w:rPr>
        <w:t>局</w:t>
      </w:r>
    </w:p>
    <w:p w14:paraId="65D564C3">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责任单位：区</w:t>
      </w:r>
      <w:r>
        <w:rPr>
          <w:rFonts w:hint="default" w:ascii="Times New Roman" w:hAnsi="Times New Roman" w:eastAsia="仿宋_GB2312" w:cs="Times New Roman"/>
          <w:sz w:val="32"/>
          <w:szCs w:val="32"/>
        </w:rPr>
        <w:t>发展改革</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商务</w:t>
      </w:r>
      <w:r>
        <w:rPr>
          <w:rFonts w:hint="default" w:ascii="Times New Roman" w:hAnsi="Times New Roman" w:eastAsia="仿宋_GB2312" w:cs="Times New Roman"/>
          <w:sz w:val="32"/>
          <w:szCs w:val="32"/>
          <w:lang w:eastAsia="zh-CN"/>
        </w:rPr>
        <w:t>投促</w:t>
      </w:r>
      <w:r>
        <w:rPr>
          <w:rFonts w:hint="default" w:ascii="Times New Roman" w:hAnsi="Times New Roman" w:eastAsia="仿宋_GB2312" w:cs="Times New Roman"/>
          <w:sz w:val="32"/>
          <w:szCs w:val="32"/>
        </w:rPr>
        <w:t>局</w:t>
      </w:r>
    </w:p>
    <w:p w14:paraId="5699E94C">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6FDCC91A">
      <w:pPr>
        <w:keepNext w:val="0"/>
        <w:keepLines w:val="0"/>
        <w:pageBreakBefore w:val="0"/>
        <w:widowControl/>
        <w:suppressLineNumbers w:val="0"/>
        <w:kinsoku/>
        <w:wordWrap/>
        <w:overflowPunct/>
        <w:topLinePunct w:val="0"/>
        <w:autoSpaceDE/>
        <w:autoSpaceDN/>
        <w:bidi w:val="0"/>
        <w:adjustRightInd/>
        <w:snapToGrid/>
        <w:spacing w:line="560" w:lineRule="exact"/>
        <w:ind w:firstLine="598"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color w:val="000000"/>
          <w:kern w:val="0"/>
          <w:sz w:val="31"/>
          <w:szCs w:val="31"/>
          <w:lang w:val="en-US" w:eastAsia="zh-CN" w:bidi="ar"/>
        </w:rPr>
        <w:t>（四）推动口岸城市建设</w:t>
      </w:r>
    </w:p>
    <w:p w14:paraId="37372B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推广使用国际贸易“单一窗口”</w:t>
      </w:r>
      <w:r>
        <w:rPr>
          <w:rFonts w:hint="default" w:ascii="Times New Roman" w:hAnsi="Times New Roman" w:eastAsia="仿宋_GB2312" w:cs="Times New Roman"/>
          <w:sz w:val="32"/>
          <w:szCs w:val="32"/>
          <w:lang w:eastAsia="zh-CN"/>
        </w:rPr>
        <w:t>。</w:t>
      </w:r>
    </w:p>
    <w:p w14:paraId="49E313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区商务投促局</w:t>
      </w:r>
    </w:p>
    <w:p w14:paraId="6A0355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责任单位：区发展改革局</w:t>
      </w:r>
    </w:p>
    <w:p w14:paraId="7652242B">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完成时限：2023年12月31日前</w:t>
      </w:r>
    </w:p>
    <w:p w14:paraId="399EB563">
      <w:pPr>
        <w:keepNext w:val="0"/>
        <w:keepLines w:val="0"/>
        <w:pageBreakBefore w:val="0"/>
        <w:widowControl/>
        <w:suppressLineNumbers w:val="0"/>
        <w:kinsoku/>
        <w:wordWrap/>
        <w:overflowPunct/>
        <w:topLinePunct w:val="0"/>
        <w:autoSpaceDE/>
        <w:autoSpaceDN/>
        <w:bidi w:val="0"/>
        <w:adjustRightInd/>
        <w:snapToGrid/>
        <w:spacing w:line="560" w:lineRule="exact"/>
        <w:ind w:firstLine="598" w:firstLineChars="200"/>
        <w:jc w:val="left"/>
        <w:textAlignment w:val="auto"/>
        <w:rPr>
          <w:rFonts w:hint="default" w:ascii="Times New Roman" w:hAnsi="Times New Roman" w:eastAsia="楷体_GB2312" w:cs="Times New Roman"/>
        </w:rPr>
      </w:pPr>
      <w:r>
        <w:rPr>
          <w:rFonts w:hint="default" w:ascii="Times New Roman" w:hAnsi="Times New Roman" w:eastAsia="楷体_GB2312" w:cs="Times New Roman"/>
          <w:color w:val="000000"/>
          <w:kern w:val="0"/>
          <w:sz w:val="31"/>
          <w:szCs w:val="31"/>
          <w:lang w:val="en-US" w:eastAsia="zh-CN" w:bidi="ar"/>
        </w:rPr>
        <w:t>（五）打造国际化的服务环境</w:t>
      </w:r>
    </w:p>
    <w:p w14:paraId="108DBD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开辟境外人员就医紧急救助通道。在开展对外医疗工作过程中，外籍危重患者享受同等医疗服务。</w:t>
      </w:r>
    </w:p>
    <w:p w14:paraId="437E32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局</w:t>
      </w:r>
    </w:p>
    <w:p w14:paraId="10EBA788">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41475796">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13.</w:t>
      </w:r>
      <w:r>
        <w:rPr>
          <w:rFonts w:hint="default" w:ascii="Times New Roman" w:hAnsi="Times New Roman" w:eastAsia="仿宋_GB2312" w:cs="Times New Roman"/>
          <w:sz w:val="32"/>
          <w:szCs w:val="32"/>
        </w:rPr>
        <w:t>鼓励和支持南亚东南亚和“一带一路”合作伙伴学生</w:t>
      </w:r>
      <w:r>
        <w:rPr>
          <w:rFonts w:hint="default" w:ascii="Times New Roman" w:hAnsi="Times New Roman" w:eastAsia="仿宋_GB2312" w:cs="Times New Roman"/>
          <w:sz w:val="32"/>
          <w:szCs w:val="32"/>
          <w:lang w:eastAsia="zh-CN"/>
        </w:rPr>
        <w:t>到东川</w:t>
      </w:r>
      <w:r>
        <w:rPr>
          <w:rFonts w:hint="default" w:ascii="Times New Roman" w:hAnsi="Times New Roman" w:eastAsia="仿宋_GB2312" w:cs="Times New Roman"/>
          <w:sz w:val="32"/>
          <w:szCs w:val="32"/>
        </w:rPr>
        <w:t>就学。</w:t>
      </w:r>
    </w:p>
    <w:p w14:paraId="785966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教育体育局</w:t>
      </w:r>
    </w:p>
    <w:p w14:paraId="0BD4E10D">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5B2C32A9">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14.</w:t>
      </w:r>
      <w:r>
        <w:rPr>
          <w:rFonts w:hint="default" w:ascii="Times New Roman" w:hAnsi="Times New Roman" w:eastAsia="仿宋_GB2312" w:cs="Times New Roman"/>
          <w:sz w:val="32"/>
          <w:szCs w:val="32"/>
        </w:rPr>
        <w:t>完善出入境服务管理体系。</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创新立体化配套制度，为企业“走出去”提供政策支撑。依托国家移民管理机构热线12367、昆明公安出入境双语服务平台，了解企业面临的问题，面对面听取企业意见建议，为企业“走出去”提供政策指导和咨询，提升惠企政策宣传的广度和深度。</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创立全方位优化办事流程，为证件签发提供便利支持，通过打造“15分钟便民利企办事圈”、实时开设企业专窗、推出上门服务、“四免”服务（免填表、免复印、免照片、免费快递）、“周六办证服务”等服务，提高群众 满意率。</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创立多渠道预警机制，为外派人员提供权益保障。以“安家昆明”微信小程序为载体，应用电子化《云南省居住证》，实现居住证业务“掌上办”“自助办”，实现外地来昆群众办理居住证“零成本”“零跑腿”。通过优化流动人口服务水平，让外地来昆群众享受到更多本地便利的服务。</w:t>
      </w:r>
    </w:p>
    <w:p w14:paraId="3652B6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公安局</w:t>
      </w:r>
    </w:p>
    <w:p w14:paraId="687DA1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b w:val="0"/>
          <w:kern w:val="2"/>
          <w:sz w:val="32"/>
          <w:szCs w:val="32"/>
          <w:lang w:val="en-US" w:eastAsia="zh-CN" w:bidi="ar-SA"/>
        </w:rPr>
        <w:t>完成时限：2023年12月31日前</w:t>
      </w:r>
    </w:p>
    <w:p w14:paraId="13A943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探索建立外国人就业创业相关机制，建立归国高层次人才创办企业便捷通道，优化外国人来昆工作便捷服务，鼓励外国人才</w:t>
      </w:r>
      <w:r>
        <w:rPr>
          <w:rFonts w:hint="default" w:ascii="Times New Roman" w:hAnsi="Times New Roman" w:eastAsia="仿宋_GB2312" w:cs="Times New Roman"/>
          <w:sz w:val="32"/>
          <w:szCs w:val="32"/>
          <w:lang w:eastAsia="zh-CN"/>
        </w:rPr>
        <w:t>到东川</w:t>
      </w:r>
      <w:r>
        <w:rPr>
          <w:rFonts w:hint="default" w:ascii="Times New Roman" w:hAnsi="Times New Roman" w:eastAsia="仿宋_GB2312" w:cs="Times New Roman"/>
          <w:sz w:val="32"/>
          <w:szCs w:val="32"/>
        </w:rPr>
        <w:t>就业创业。</w:t>
      </w:r>
    </w:p>
    <w:p w14:paraId="0A1FB1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区人社局</w:t>
      </w:r>
    </w:p>
    <w:p w14:paraId="3CED1B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责任单位：区</w:t>
      </w:r>
      <w:r>
        <w:rPr>
          <w:rFonts w:hint="eastAsia" w:eastAsia="仿宋_GB2312" w:cs="Times New Roman"/>
          <w:sz w:val="32"/>
          <w:szCs w:val="32"/>
          <w:lang w:eastAsia="zh-CN"/>
        </w:rPr>
        <w:t>工科信局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公安局</w:t>
      </w:r>
    </w:p>
    <w:p w14:paraId="1C8B0F6C">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完成时限：2023年12月31日前</w:t>
      </w:r>
    </w:p>
    <w:p w14:paraId="649F4E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优化城市国际语言环境，持续提升</w:t>
      </w:r>
      <w:r>
        <w:rPr>
          <w:rFonts w:hint="eastAsia" w:ascii="Times New Roman" w:hAnsi="Times New Roman" w:eastAsia="仿宋_GB2312" w:cs="Times New Roman"/>
          <w:sz w:val="32"/>
          <w:szCs w:val="32"/>
          <w:lang w:eastAsia="zh-CN"/>
        </w:rPr>
        <w:t>区政务服务中心</w:t>
      </w:r>
      <w:r>
        <w:rPr>
          <w:rFonts w:hint="default" w:ascii="Times New Roman" w:hAnsi="Times New Roman" w:eastAsia="仿宋_GB2312" w:cs="Times New Roman"/>
          <w:sz w:val="32"/>
          <w:szCs w:val="32"/>
        </w:rPr>
        <w:t>外事政务服务能力和水平，为外籍人士提供高效、优质、便利的政务服务。</w:t>
      </w:r>
    </w:p>
    <w:p w14:paraId="758E8F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牵头单位：区</w:t>
      </w:r>
      <w:r>
        <w:rPr>
          <w:rFonts w:hint="default" w:ascii="Times New Roman" w:hAnsi="Times New Roman" w:eastAsia="仿宋_GB2312" w:cs="Times New Roman"/>
          <w:sz w:val="32"/>
          <w:szCs w:val="32"/>
        </w:rPr>
        <w:t>政务服务局</w:t>
      </w:r>
    </w:p>
    <w:p w14:paraId="4E1FC1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sz w:val="32"/>
          <w:szCs w:val="32"/>
        </w:rPr>
        <w:t>责任单位：</w:t>
      </w:r>
      <w:r>
        <w:rPr>
          <w:rFonts w:hint="default" w:ascii="Times New Roman" w:hAnsi="Times New Roman" w:eastAsia="仿宋_GB2312" w:cs="Times New Roman"/>
          <w:b w:val="0"/>
          <w:bCs w:val="0"/>
          <w:snapToGrid w:val="0"/>
          <w:color w:val="auto"/>
          <w:spacing w:val="0"/>
          <w:w w:val="100"/>
          <w:kern w:val="10"/>
          <w:sz w:val="32"/>
          <w:szCs w:val="32"/>
          <w:lang w:eastAsia="zh-CN"/>
        </w:rPr>
        <w:t>区委外事办</w:t>
      </w:r>
    </w:p>
    <w:p w14:paraId="3005A355">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完成时限：2023年12月31日前</w:t>
      </w:r>
    </w:p>
    <w:p w14:paraId="41F6A2B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推进多层次区域交流合作</w:t>
      </w:r>
    </w:p>
    <w:p w14:paraId="0176A9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优化南亚东南亚国际友城布局，争取更好更实发挥国际友城重要节点作用，加强“民心相通”，深化拓展友城合作领域。以南亚东南亚国家和“一带一路”沿线城市为重点，加大友城合作力度，推动友城交往提质增效。</w:t>
      </w:r>
    </w:p>
    <w:p w14:paraId="35B4DE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sz w:val="32"/>
          <w:szCs w:val="32"/>
          <w:lang w:eastAsia="zh-CN"/>
        </w:rPr>
        <w:t>牵头单位：</w:t>
      </w:r>
      <w:r>
        <w:rPr>
          <w:rFonts w:hint="default" w:ascii="Times New Roman" w:hAnsi="Times New Roman" w:eastAsia="仿宋_GB2312" w:cs="Times New Roman"/>
          <w:b w:val="0"/>
          <w:bCs w:val="0"/>
          <w:snapToGrid w:val="0"/>
          <w:color w:val="auto"/>
          <w:spacing w:val="0"/>
          <w:w w:val="100"/>
          <w:kern w:val="10"/>
          <w:sz w:val="32"/>
          <w:szCs w:val="32"/>
          <w:lang w:eastAsia="zh-CN"/>
        </w:rPr>
        <w:t>区委外事办</w:t>
      </w:r>
    </w:p>
    <w:p w14:paraId="63D513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完成时限：2023年12月31日前</w:t>
      </w:r>
    </w:p>
    <w:p w14:paraId="33CE0A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rPr>
        <w:t>搭建对外交流平台。充分发挥对外文化交流活动的作用，探索对外文化交流合作商机。</w:t>
      </w:r>
    </w:p>
    <w:p w14:paraId="761ABA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委宣传部</w:t>
      </w:r>
    </w:p>
    <w:p w14:paraId="16BD84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责任单位：区</w:t>
      </w:r>
      <w:r>
        <w:rPr>
          <w:rFonts w:hint="eastAsia" w:ascii="Times New Roman" w:hAnsi="Times New Roman" w:cs="Times New Roman"/>
          <w:sz w:val="32"/>
          <w:szCs w:val="32"/>
          <w:lang w:eastAsia="zh-CN"/>
        </w:rPr>
        <w:t>文化和旅游局</w:t>
      </w:r>
    </w:p>
    <w:p w14:paraId="2F72F7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color w:val="auto"/>
          <w:sz w:val="32"/>
          <w:szCs w:val="32"/>
          <w:lang w:val="en-US" w:eastAsia="zh-CN"/>
        </w:rPr>
        <w:t>完成时限：2023年12月31日前</w:t>
      </w:r>
    </w:p>
    <w:p w14:paraId="2BEDD7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持续推进科技合作交流平台搭建，拓展科技创新合作新渠道。开展国际（对外）科技合作基地建设，与南亚东南亚、金砖国家、“一带一路”合作伙伴</w:t>
      </w:r>
      <w:bookmarkStart w:id="0" w:name="_GoBack"/>
      <w:bookmarkEnd w:id="0"/>
      <w:r>
        <w:rPr>
          <w:rFonts w:hint="default" w:ascii="Times New Roman" w:hAnsi="Times New Roman" w:eastAsia="仿宋_GB2312" w:cs="Times New Roman"/>
          <w:sz w:val="32"/>
          <w:szCs w:val="32"/>
        </w:rPr>
        <w:t>建立通畅的国际科技合作交流渠道。</w:t>
      </w:r>
    </w:p>
    <w:p w14:paraId="2356CB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牵头</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区</w:t>
      </w:r>
      <w:r>
        <w:rPr>
          <w:rFonts w:hint="eastAsia" w:eastAsia="仿宋_GB2312" w:cs="Times New Roman"/>
          <w:sz w:val="32"/>
          <w:szCs w:val="32"/>
          <w:lang w:eastAsia="zh-CN"/>
        </w:rPr>
        <w:t>工科信局</w:t>
      </w:r>
    </w:p>
    <w:p w14:paraId="479523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完成时限：2023年12月31日前</w:t>
      </w:r>
    </w:p>
    <w:p w14:paraId="623D25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四、工作要求</w:t>
      </w:r>
    </w:p>
    <w:p w14:paraId="1EDFF5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Style w:val="26"/>
          <w:rFonts w:hint="default" w:ascii="Times New Roman" w:hAnsi="Times New Roman" w:eastAsia="楷体_GB2312" w:cs="Times New Roman"/>
          <w:b w:val="0"/>
          <w:bCs w:val="0"/>
          <w:snapToGrid w:val="0"/>
          <w:color w:val="000000"/>
          <w:lang w:val="en-US" w:eastAsia="zh-CN" w:bidi="ar"/>
        </w:rPr>
      </w:pPr>
      <w:r>
        <w:rPr>
          <w:rStyle w:val="26"/>
          <w:rFonts w:hint="default" w:ascii="Times New Roman" w:hAnsi="Times New Roman" w:eastAsia="楷体_GB2312" w:cs="Times New Roman"/>
          <w:b w:val="0"/>
          <w:bCs w:val="0"/>
          <w:snapToGrid w:val="0"/>
          <w:color w:val="000000"/>
          <w:lang w:val="en-US" w:eastAsia="zh-CN" w:bidi="ar"/>
        </w:rPr>
        <w:t>（一）加强统筹协调，完善体制机制</w:t>
      </w:r>
    </w:p>
    <w:p w14:paraId="5F9B26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val="0"/>
          <w:snapToGrid/>
          <w:color w:val="auto"/>
          <w:kern w:val="0"/>
          <w:sz w:val="32"/>
          <w:szCs w:val="32"/>
          <w:u w:val="none"/>
          <w:lang w:val="en-US" w:eastAsia="zh-CN" w:bidi="ar"/>
        </w:rPr>
        <w:t>发挥东川区优化营商环境开放环境专项组作用，</w:t>
      </w:r>
      <w:r>
        <w:rPr>
          <w:rFonts w:hint="default" w:ascii="Times New Roman" w:hAnsi="Times New Roman" w:eastAsia="仿宋_GB2312" w:cs="Times New Roman"/>
          <w:b w:val="0"/>
          <w:bCs w:val="0"/>
          <w:snapToGrid/>
          <w:color w:val="auto"/>
          <w:kern w:val="0"/>
          <w:sz w:val="32"/>
          <w:szCs w:val="32"/>
          <w:u w:val="none"/>
          <w:lang w:eastAsia="zh-CN" w:bidi="ar"/>
        </w:rPr>
        <w:t>建立产业环境联络员机制，由各责任单位抽选熟悉相关业务的同志，负责开放环境专项组有关工作。各部门密切协作，形成合力，共同做好开放环境有关工作，</w:t>
      </w:r>
      <w:r>
        <w:rPr>
          <w:rFonts w:hint="default" w:ascii="Times New Roman" w:hAnsi="Times New Roman" w:eastAsia="仿宋_GB2312" w:cs="Times New Roman"/>
          <w:b w:val="0"/>
          <w:bCs/>
          <w:sz w:val="32"/>
          <w:szCs w:val="32"/>
          <w:lang w:eastAsia="zh-CN"/>
        </w:rPr>
        <w:t>建立定期会研制度，区商务投促局牵头每季度至少召开一次专题会议研究开放环境工作。建立报告工作制度，及时收集各责任单位履职情况，重大事项、重要问题。</w:t>
      </w:r>
    </w:p>
    <w:p w14:paraId="741AC7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楷体_GB2312" w:cs="Times New Roman"/>
          <w:b w:val="0"/>
          <w:bCs/>
          <w:sz w:val="32"/>
          <w:szCs w:val="32"/>
          <w:lang w:eastAsia="zh-CN"/>
        </w:rPr>
      </w:pPr>
      <w:r>
        <w:rPr>
          <w:rFonts w:hint="default" w:ascii="Times New Roman" w:hAnsi="Times New Roman" w:eastAsia="楷体_GB2312" w:cs="Times New Roman"/>
          <w:b w:val="0"/>
          <w:bCs/>
          <w:sz w:val="32"/>
          <w:szCs w:val="32"/>
          <w:lang w:eastAsia="zh-CN"/>
        </w:rPr>
        <w:t>（二）细化工作措施，压实责任分工</w:t>
      </w:r>
    </w:p>
    <w:p w14:paraId="300C76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区级有关部门要结合部门职能职责，明确职责任务，细化工作举措，积极探索创新方式方法，确保工作方案各项任务落实见效。按照优化提升营商环境三年攻坚目标要求，各牵头单位要定期调度工作推进情况，及时化解困难问题，责任单位于每季度末月10日前将部门开放环境建设工作开展情况（包含但不限于工作进展情况、取得 成效、存在问题及下步打算等）报各项工作牵头单位，由牵头单位每季度月末</w:t>
      </w:r>
      <w:r>
        <w:rPr>
          <w:rFonts w:hint="default" w:ascii="Times New Roman" w:hAnsi="Times New Roman" w:eastAsia="仿宋_GB2312" w:cs="Times New Roman"/>
          <w:b w:val="0"/>
          <w:bCs/>
          <w:sz w:val="32"/>
          <w:szCs w:val="32"/>
          <w:lang w:val="en-US" w:eastAsia="zh-CN"/>
        </w:rPr>
        <w:t>12</w:t>
      </w:r>
      <w:r>
        <w:rPr>
          <w:rFonts w:hint="default" w:ascii="Times New Roman" w:hAnsi="Times New Roman" w:eastAsia="仿宋_GB2312" w:cs="Times New Roman"/>
          <w:b w:val="0"/>
          <w:bCs/>
          <w:sz w:val="32"/>
          <w:szCs w:val="32"/>
          <w:lang w:eastAsia="zh-CN"/>
        </w:rPr>
        <w:t>日前报区商务投促局，区商务投促局负责汇总上报区营商环境办及市开放环境牵头部门。</w:t>
      </w:r>
    </w:p>
    <w:p w14:paraId="19A5F2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楷体_GB2312" w:cs="Times New Roman"/>
          <w:b w:val="0"/>
          <w:bCs/>
          <w:sz w:val="32"/>
          <w:szCs w:val="32"/>
          <w:lang w:eastAsia="zh-CN"/>
        </w:rPr>
      </w:pPr>
      <w:r>
        <w:rPr>
          <w:rFonts w:hint="default" w:ascii="Times New Roman" w:hAnsi="Times New Roman" w:eastAsia="楷体_GB2312" w:cs="Times New Roman"/>
          <w:b w:val="0"/>
          <w:bCs/>
          <w:sz w:val="32"/>
          <w:szCs w:val="32"/>
          <w:lang w:eastAsia="zh-CN"/>
        </w:rPr>
        <w:t>（三）加强政策宣贯，营造良好氛围</w:t>
      </w:r>
    </w:p>
    <w:p w14:paraId="43AD44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加强开放环境相关政策文件宣贯工作，利用新媒体、“两微一抖”等创新宣传方式多渠道将政策文件传达给市场主体。营造“人人都是营商环境、事事关乎营商环境、处处彰显营商环境”的浓厚氛围。</w:t>
      </w:r>
    </w:p>
    <w:p w14:paraId="30FA8568">
      <w:pPr>
        <w:pStyle w:val="5"/>
        <w:keepNext w:val="0"/>
        <w:keepLines w:val="0"/>
        <w:pageBreakBefore w:val="0"/>
        <w:kinsoku/>
        <w:wordWrap/>
        <w:overflowPunct/>
        <w:topLinePunct w:val="0"/>
        <w:autoSpaceDE/>
        <w:autoSpaceDN/>
        <w:bidi w:val="0"/>
        <w:adjustRightInd/>
        <w:snapToGrid/>
        <w:spacing w:line="560" w:lineRule="exact"/>
        <w:textAlignment w:val="auto"/>
        <w:rPr>
          <w:rFonts w:hint="default"/>
          <w:lang w:val="en-US" w:eastAsia="zh-CN"/>
        </w:rPr>
      </w:pPr>
    </w:p>
    <w:sectPr>
      <w:footerReference r:id="rId3" w:type="default"/>
      <w:pgSz w:w="11907" w:h="16840"/>
      <w:pgMar w:top="2098" w:right="1474" w:bottom="1984" w:left="1587" w:header="1247" w:footer="1644" w:gutter="0"/>
      <w:pgNumType w:fmt="decimal"/>
      <w:cols w:space="720" w:num="1"/>
      <w:docGrid w:type="linesAndChars" w:linePitch="567" w:charSpace="-23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金山简标宋">
    <w:altName w:val="宋体"/>
    <w:panose1 w:val="0201060900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NBCDEE+E-BZ">
    <w:altName w:val="宋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8CE51">
    <w:pPr>
      <w:pStyle w:val="11"/>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3DA8A0">
                          <w:pPr>
                            <w:pStyle w:val="11"/>
                            <w:rPr>
                              <w:rFonts w:hint="eastAsia" w:eastAsia="仿宋_GB2312"/>
                              <w:sz w:val="28"/>
                              <w:szCs w:val="28"/>
                              <w:lang w:eastAsia="zh-CN"/>
                            </w:rPr>
                          </w:pPr>
                          <w:r>
                            <w:rPr>
                              <w:rFonts w:hint="eastAsia"/>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r>
                            <w:rPr>
                              <w:rFonts w:hint="eastAsia"/>
                              <w:sz w:val="28"/>
                              <w:szCs w:val="28"/>
                              <w:lang w:eastAsia="zh-CN"/>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F3DA8A0">
                    <w:pPr>
                      <w:pStyle w:val="11"/>
                      <w:rPr>
                        <w:rFonts w:hint="eastAsia" w:eastAsia="仿宋_GB2312"/>
                        <w:sz w:val="28"/>
                        <w:szCs w:val="28"/>
                        <w:lang w:eastAsia="zh-CN"/>
                      </w:rPr>
                    </w:pPr>
                    <w:r>
                      <w:rPr>
                        <w:rFonts w:hint="eastAsia"/>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r>
                      <w:rPr>
                        <w:rFonts w:hint="eastAsia"/>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08A6EC"/>
    <w:multiLevelType w:val="singleLevel"/>
    <w:tmpl w:val="C108A6EC"/>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drawingGridHorizontalSpacing w:val="154"/>
  <w:drawingGridVerticalSpacing w:val="567"/>
  <w:displayHorizontalDrawingGridEvery w:val="0"/>
  <w:displayVerticalDrawingGridEvery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19A"/>
    <w:rsid w:val="00024EB3"/>
    <w:rsid w:val="00033FF2"/>
    <w:rsid w:val="00037B6C"/>
    <w:rsid w:val="00046C44"/>
    <w:rsid w:val="00075A1F"/>
    <w:rsid w:val="0008365C"/>
    <w:rsid w:val="00085269"/>
    <w:rsid w:val="00090994"/>
    <w:rsid w:val="00095D35"/>
    <w:rsid w:val="000962BA"/>
    <w:rsid w:val="000A2CED"/>
    <w:rsid w:val="000A3320"/>
    <w:rsid w:val="000C44D7"/>
    <w:rsid w:val="000D4667"/>
    <w:rsid w:val="000D537C"/>
    <w:rsid w:val="000D6FBE"/>
    <w:rsid w:val="000E71B8"/>
    <w:rsid w:val="000E747C"/>
    <w:rsid w:val="000E7DC9"/>
    <w:rsid w:val="000F0806"/>
    <w:rsid w:val="000F0FB1"/>
    <w:rsid w:val="000F2DB5"/>
    <w:rsid w:val="000F4EC9"/>
    <w:rsid w:val="0011230E"/>
    <w:rsid w:val="001127B0"/>
    <w:rsid w:val="00112ABB"/>
    <w:rsid w:val="001248AD"/>
    <w:rsid w:val="00124D95"/>
    <w:rsid w:val="00126773"/>
    <w:rsid w:val="001323E3"/>
    <w:rsid w:val="0013292F"/>
    <w:rsid w:val="00132C09"/>
    <w:rsid w:val="00155DE2"/>
    <w:rsid w:val="00172318"/>
    <w:rsid w:val="0019442E"/>
    <w:rsid w:val="001A125A"/>
    <w:rsid w:val="001A1837"/>
    <w:rsid w:val="001A5F1B"/>
    <w:rsid w:val="001B1EEE"/>
    <w:rsid w:val="001C4580"/>
    <w:rsid w:val="001C56D4"/>
    <w:rsid w:val="001D1905"/>
    <w:rsid w:val="001F67B5"/>
    <w:rsid w:val="001F7F7C"/>
    <w:rsid w:val="002058AA"/>
    <w:rsid w:val="0020724C"/>
    <w:rsid w:val="0021588B"/>
    <w:rsid w:val="00224592"/>
    <w:rsid w:val="002253B2"/>
    <w:rsid w:val="00232E66"/>
    <w:rsid w:val="0024015D"/>
    <w:rsid w:val="0024189C"/>
    <w:rsid w:val="00264FB9"/>
    <w:rsid w:val="002676AB"/>
    <w:rsid w:val="00267D0A"/>
    <w:rsid w:val="00281A49"/>
    <w:rsid w:val="00281A97"/>
    <w:rsid w:val="0028669E"/>
    <w:rsid w:val="0028737A"/>
    <w:rsid w:val="00290E1E"/>
    <w:rsid w:val="00297035"/>
    <w:rsid w:val="002A1B05"/>
    <w:rsid w:val="002A3E02"/>
    <w:rsid w:val="002B2EBE"/>
    <w:rsid w:val="002C06CD"/>
    <w:rsid w:val="002D77E8"/>
    <w:rsid w:val="002E7073"/>
    <w:rsid w:val="002F5E13"/>
    <w:rsid w:val="00300284"/>
    <w:rsid w:val="00300D54"/>
    <w:rsid w:val="00301619"/>
    <w:rsid w:val="00313BDA"/>
    <w:rsid w:val="003261D6"/>
    <w:rsid w:val="00330A84"/>
    <w:rsid w:val="00334713"/>
    <w:rsid w:val="00340C9A"/>
    <w:rsid w:val="003431DC"/>
    <w:rsid w:val="00344BA8"/>
    <w:rsid w:val="003555B6"/>
    <w:rsid w:val="003616A7"/>
    <w:rsid w:val="00367FB1"/>
    <w:rsid w:val="003705C7"/>
    <w:rsid w:val="00385AD0"/>
    <w:rsid w:val="003949D6"/>
    <w:rsid w:val="003A153D"/>
    <w:rsid w:val="003A5A5A"/>
    <w:rsid w:val="003B0F21"/>
    <w:rsid w:val="003B5010"/>
    <w:rsid w:val="003B568E"/>
    <w:rsid w:val="003B5CFA"/>
    <w:rsid w:val="003C4E3B"/>
    <w:rsid w:val="003C7E35"/>
    <w:rsid w:val="003E0D83"/>
    <w:rsid w:val="003E3686"/>
    <w:rsid w:val="003E5B38"/>
    <w:rsid w:val="003E7B71"/>
    <w:rsid w:val="003F1C6F"/>
    <w:rsid w:val="0040337C"/>
    <w:rsid w:val="004038AB"/>
    <w:rsid w:val="00403B79"/>
    <w:rsid w:val="00406CE4"/>
    <w:rsid w:val="00424A81"/>
    <w:rsid w:val="00426BB6"/>
    <w:rsid w:val="0043261C"/>
    <w:rsid w:val="00444C67"/>
    <w:rsid w:val="00445B0A"/>
    <w:rsid w:val="0044693F"/>
    <w:rsid w:val="00450A59"/>
    <w:rsid w:val="00455298"/>
    <w:rsid w:val="004600EF"/>
    <w:rsid w:val="00461405"/>
    <w:rsid w:val="00470CE1"/>
    <w:rsid w:val="00481EF3"/>
    <w:rsid w:val="004825E5"/>
    <w:rsid w:val="00485604"/>
    <w:rsid w:val="0049109C"/>
    <w:rsid w:val="00494E22"/>
    <w:rsid w:val="004A029D"/>
    <w:rsid w:val="004A709E"/>
    <w:rsid w:val="004B5E85"/>
    <w:rsid w:val="004F2970"/>
    <w:rsid w:val="004F5ED4"/>
    <w:rsid w:val="0050101F"/>
    <w:rsid w:val="00503B07"/>
    <w:rsid w:val="00505D13"/>
    <w:rsid w:val="00507281"/>
    <w:rsid w:val="00511971"/>
    <w:rsid w:val="00511D13"/>
    <w:rsid w:val="005157DF"/>
    <w:rsid w:val="005233CC"/>
    <w:rsid w:val="005261E8"/>
    <w:rsid w:val="005354F0"/>
    <w:rsid w:val="00537C1D"/>
    <w:rsid w:val="005462BA"/>
    <w:rsid w:val="00547753"/>
    <w:rsid w:val="00552399"/>
    <w:rsid w:val="005676BA"/>
    <w:rsid w:val="00567CC8"/>
    <w:rsid w:val="00571A01"/>
    <w:rsid w:val="00573585"/>
    <w:rsid w:val="00574960"/>
    <w:rsid w:val="00593185"/>
    <w:rsid w:val="00595996"/>
    <w:rsid w:val="005A1D9A"/>
    <w:rsid w:val="005A2E53"/>
    <w:rsid w:val="005B11E3"/>
    <w:rsid w:val="005B7507"/>
    <w:rsid w:val="005D2B06"/>
    <w:rsid w:val="005D3098"/>
    <w:rsid w:val="005E41A7"/>
    <w:rsid w:val="005E6283"/>
    <w:rsid w:val="00600CFA"/>
    <w:rsid w:val="00605001"/>
    <w:rsid w:val="00610AEC"/>
    <w:rsid w:val="00610E51"/>
    <w:rsid w:val="006143EE"/>
    <w:rsid w:val="0062147D"/>
    <w:rsid w:val="00630FFA"/>
    <w:rsid w:val="00635E33"/>
    <w:rsid w:val="00643353"/>
    <w:rsid w:val="00646DA4"/>
    <w:rsid w:val="00647297"/>
    <w:rsid w:val="00647EE8"/>
    <w:rsid w:val="00656076"/>
    <w:rsid w:val="006570AC"/>
    <w:rsid w:val="00665654"/>
    <w:rsid w:val="00666E78"/>
    <w:rsid w:val="00672381"/>
    <w:rsid w:val="00674709"/>
    <w:rsid w:val="00687191"/>
    <w:rsid w:val="006A06F9"/>
    <w:rsid w:val="006A7996"/>
    <w:rsid w:val="006B7138"/>
    <w:rsid w:val="006C5861"/>
    <w:rsid w:val="006D5C8E"/>
    <w:rsid w:val="006D7E5C"/>
    <w:rsid w:val="006E5B59"/>
    <w:rsid w:val="006E66BD"/>
    <w:rsid w:val="006F1A31"/>
    <w:rsid w:val="006F21F9"/>
    <w:rsid w:val="006F540E"/>
    <w:rsid w:val="00702E6B"/>
    <w:rsid w:val="00706040"/>
    <w:rsid w:val="00711222"/>
    <w:rsid w:val="00712303"/>
    <w:rsid w:val="00712C92"/>
    <w:rsid w:val="00714710"/>
    <w:rsid w:val="00715343"/>
    <w:rsid w:val="00716E96"/>
    <w:rsid w:val="007314B0"/>
    <w:rsid w:val="00734134"/>
    <w:rsid w:val="00753628"/>
    <w:rsid w:val="007613D5"/>
    <w:rsid w:val="00764CC2"/>
    <w:rsid w:val="007674B9"/>
    <w:rsid w:val="00777BB4"/>
    <w:rsid w:val="00783132"/>
    <w:rsid w:val="0079353B"/>
    <w:rsid w:val="007A47AF"/>
    <w:rsid w:val="007A4EB0"/>
    <w:rsid w:val="007B3805"/>
    <w:rsid w:val="007C0C0F"/>
    <w:rsid w:val="007C3261"/>
    <w:rsid w:val="007C5D85"/>
    <w:rsid w:val="007E120E"/>
    <w:rsid w:val="007F22F2"/>
    <w:rsid w:val="008018C6"/>
    <w:rsid w:val="00803726"/>
    <w:rsid w:val="00810997"/>
    <w:rsid w:val="0081716E"/>
    <w:rsid w:val="008270B1"/>
    <w:rsid w:val="00830935"/>
    <w:rsid w:val="0083164F"/>
    <w:rsid w:val="008318DE"/>
    <w:rsid w:val="00834562"/>
    <w:rsid w:val="00835891"/>
    <w:rsid w:val="0084092A"/>
    <w:rsid w:val="00846205"/>
    <w:rsid w:val="0084691F"/>
    <w:rsid w:val="008530EE"/>
    <w:rsid w:val="0085502B"/>
    <w:rsid w:val="008564ED"/>
    <w:rsid w:val="00856D5C"/>
    <w:rsid w:val="00857062"/>
    <w:rsid w:val="00865049"/>
    <w:rsid w:val="0086684E"/>
    <w:rsid w:val="008728DA"/>
    <w:rsid w:val="008861C8"/>
    <w:rsid w:val="00886E17"/>
    <w:rsid w:val="008879D7"/>
    <w:rsid w:val="0089654C"/>
    <w:rsid w:val="00896689"/>
    <w:rsid w:val="00896FBD"/>
    <w:rsid w:val="008A0F47"/>
    <w:rsid w:val="008A71AA"/>
    <w:rsid w:val="008B129B"/>
    <w:rsid w:val="008B5877"/>
    <w:rsid w:val="008C51B8"/>
    <w:rsid w:val="008D1AC1"/>
    <w:rsid w:val="008D5B00"/>
    <w:rsid w:val="008D7095"/>
    <w:rsid w:val="008D7C8C"/>
    <w:rsid w:val="008E47BC"/>
    <w:rsid w:val="008E4ED6"/>
    <w:rsid w:val="008E69FF"/>
    <w:rsid w:val="008E7EEB"/>
    <w:rsid w:val="008F04B4"/>
    <w:rsid w:val="008F220F"/>
    <w:rsid w:val="008F347E"/>
    <w:rsid w:val="008F55E1"/>
    <w:rsid w:val="008F6B29"/>
    <w:rsid w:val="00902011"/>
    <w:rsid w:val="009050EF"/>
    <w:rsid w:val="00907852"/>
    <w:rsid w:val="00915915"/>
    <w:rsid w:val="00916E3A"/>
    <w:rsid w:val="00925590"/>
    <w:rsid w:val="00946949"/>
    <w:rsid w:val="009514C6"/>
    <w:rsid w:val="00951DF0"/>
    <w:rsid w:val="00955F0F"/>
    <w:rsid w:val="0096144F"/>
    <w:rsid w:val="00964B02"/>
    <w:rsid w:val="00982953"/>
    <w:rsid w:val="00992A25"/>
    <w:rsid w:val="009A149C"/>
    <w:rsid w:val="009A229E"/>
    <w:rsid w:val="009A2C69"/>
    <w:rsid w:val="009A340F"/>
    <w:rsid w:val="009C230D"/>
    <w:rsid w:val="009C5776"/>
    <w:rsid w:val="009D444F"/>
    <w:rsid w:val="009D69B6"/>
    <w:rsid w:val="009E0044"/>
    <w:rsid w:val="009E04EE"/>
    <w:rsid w:val="009E5DD8"/>
    <w:rsid w:val="009E6538"/>
    <w:rsid w:val="009E7C51"/>
    <w:rsid w:val="00A01A71"/>
    <w:rsid w:val="00A055D2"/>
    <w:rsid w:val="00A073DC"/>
    <w:rsid w:val="00A11627"/>
    <w:rsid w:val="00A16410"/>
    <w:rsid w:val="00A22CE3"/>
    <w:rsid w:val="00A23034"/>
    <w:rsid w:val="00A27376"/>
    <w:rsid w:val="00A3064D"/>
    <w:rsid w:val="00A31671"/>
    <w:rsid w:val="00A33280"/>
    <w:rsid w:val="00A44854"/>
    <w:rsid w:val="00A46A57"/>
    <w:rsid w:val="00A5332D"/>
    <w:rsid w:val="00A54546"/>
    <w:rsid w:val="00A56935"/>
    <w:rsid w:val="00A66FDA"/>
    <w:rsid w:val="00A71732"/>
    <w:rsid w:val="00A84047"/>
    <w:rsid w:val="00A84E3C"/>
    <w:rsid w:val="00A85589"/>
    <w:rsid w:val="00A856DD"/>
    <w:rsid w:val="00A85F7B"/>
    <w:rsid w:val="00A9663B"/>
    <w:rsid w:val="00AA1217"/>
    <w:rsid w:val="00AA1E44"/>
    <w:rsid w:val="00AB23E6"/>
    <w:rsid w:val="00AB3749"/>
    <w:rsid w:val="00AC78D1"/>
    <w:rsid w:val="00AD6A89"/>
    <w:rsid w:val="00AE515B"/>
    <w:rsid w:val="00AF6105"/>
    <w:rsid w:val="00AF661C"/>
    <w:rsid w:val="00AF75A5"/>
    <w:rsid w:val="00B034DB"/>
    <w:rsid w:val="00B13FCC"/>
    <w:rsid w:val="00B22BAA"/>
    <w:rsid w:val="00B240B6"/>
    <w:rsid w:val="00B275E3"/>
    <w:rsid w:val="00B30E93"/>
    <w:rsid w:val="00B363B0"/>
    <w:rsid w:val="00B46510"/>
    <w:rsid w:val="00B64D2E"/>
    <w:rsid w:val="00B71F84"/>
    <w:rsid w:val="00B7351B"/>
    <w:rsid w:val="00B77DAF"/>
    <w:rsid w:val="00B93AB6"/>
    <w:rsid w:val="00B93AF7"/>
    <w:rsid w:val="00B964BB"/>
    <w:rsid w:val="00B97ABE"/>
    <w:rsid w:val="00BA06DD"/>
    <w:rsid w:val="00BA1D11"/>
    <w:rsid w:val="00BB7E76"/>
    <w:rsid w:val="00BC1D4E"/>
    <w:rsid w:val="00BC2915"/>
    <w:rsid w:val="00BD3291"/>
    <w:rsid w:val="00BE46CB"/>
    <w:rsid w:val="00BF7B38"/>
    <w:rsid w:val="00C04D53"/>
    <w:rsid w:val="00C21433"/>
    <w:rsid w:val="00C2186E"/>
    <w:rsid w:val="00C235E9"/>
    <w:rsid w:val="00C23812"/>
    <w:rsid w:val="00C305A1"/>
    <w:rsid w:val="00C34BF3"/>
    <w:rsid w:val="00C65B39"/>
    <w:rsid w:val="00C75785"/>
    <w:rsid w:val="00C8366C"/>
    <w:rsid w:val="00C86DC9"/>
    <w:rsid w:val="00C916AA"/>
    <w:rsid w:val="00C952D1"/>
    <w:rsid w:val="00CA3DCE"/>
    <w:rsid w:val="00CA7EF1"/>
    <w:rsid w:val="00CB0F0B"/>
    <w:rsid w:val="00CB5363"/>
    <w:rsid w:val="00CC1BBF"/>
    <w:rsid w:val="00CC2C91"/>
    <w:rsid w:val="00CC608E"/>
    <w:rsid w:val="00CC6303"/>
    <w:rsid w:val="00CC737B"/>
    <w:rsid w:val="00CD2EC5"/>
    <w:rsid w:val="00CD78D1"/>
    <w:rsid w:val="00CE0663"/>
    <w:rsid w:val="00CE3684"/>
    <w:rsid w:val="00CE396C"/>
    <w:rsid w:val="00CE3C5B"/>
    <w:rsid w:val="00CF0E48"/>
    <w:rsid w:val="00CF30BA"/>
    <w:rsid w:val="00CF3658"/>
    <w:rsid w:val="00CF3B4E"/>
    <w:rsid w:val="00D01B03"/>
    <w:rsid w:val="00D042CD"/>
    <w:rsid w:val="00D05D9F"/>
    <w:rsid w:val="00D06446"/>
    <w:rsid w:val="00D07A7D"/>
    <w:rsid w:val="00D16FAE"/>
    <w:rsid w:val="00D2337A"/>
    <w:rsid w:val="00D25F36"/>
    <w:rsid w:val="00D35BBC"/>
    <w:rsid w:val="00D371F2"/>
    <w:rsid w:val="00D37FE5"/>
    <w:rsid w:val="00D55D2B"/>
    <w:rsid w:val="00D561AC"/>
    <w:rsid w:val="00D72AAA"/>
    <w:rsid w:val="00D75C85"/>
    <w:rsid w:val="00D75CE1"/>
    <w:rsid w:val="00D763FC"/>
    <w:rsid w:val="00D82576"/>
    <w:rsid w:val="00D86659"/>
    <w:rsid w:val="00DB4F6A"/>
    <w:rsid w:val="00DC2D11"/>
    <w:rsid w:val="00DC32FB"/>
    <w:rsid w:val="00DC70D9"/>
    <w:rsid w:val="00DD1C4D"/>
    <w:rsid w:val="00DD66B2"/>
    <w:rsid w:val="00DD79A0"/>
    <w:rsid w:val="00DF02FE"/>
    <w:rsid w:val="00DF4760"/>
    <w:rsid w:val="00DF51EF"/>
    <w:rsid w:val="00E043B5"/>
    <w:rsid w:val="00E06A72"/>
    <w:rsid w:val="00E122E3"/>
    <w:rsid w:val="00E12577"/>
    <w:rsid w:val="00E1699E"/>
    <w:rsid w:val="00E3032E"/>
    <w:rsid w:val="00E348B2"/>
    <w:rsid w:val="00E41C52"/>
    <w:rsid w:val="00E43F96"/>
    <w:rsid w:val="00E45C84"/>
    <w:rsid w:val="00E53B3B"/>
    <w:rsid w:val="00E5782A"/>
    <w:rsid w:val="00E57E6A"/>
    <w:rsid w:val="00E60496"/>
    <w:rsid w:val="00E62AC9"/>
    <w:rsid w:val="00E6328C"/>
    <w:rsid w:val="00E66A78"/>
    <w:rsid w:val="00E679B1"/>
    <w:rsid w:val="00E72983"/>
    <w:rsid w:val="00E84230"/>
    <w:rsid w:val="00E8501F"/>
    <w:rsid w:val="00E8514F"/>
    <w:rsid w:val="00E85B11"/>
    <w:rsid w:val="00E85E7F"/>
    <w:rsid w:val="00E86DB7"/>
    <w:rsid w:val="00E91F00"/>
    <w:rsid w:val="00EA0D2D"/>
    <w:rsid w:val="00EA0D3D"/>
    <w:rsid w:val="00EA2AC4"/>
    <w:rsid w:val="00EA6E3C"/>
    <w:rsid w:val="00EB0AB6"/>
    <w:rsid w:val="00EB3D2E"/>
    <w:rsid w:val="00ED2694"/>
    <w:rsid w:val="00ED3B52"/>
    <w:rsid w:val="00ED531B"/>
    <w:rsid w:val="00ED6ECD"/>
    <w:rsid w:val="00EE2530"/>
    <w:rsid w:val="00EE4AE8"/>
    <w:rsid w:val="00EF4746"/>
    <w:rsid w:val="00F00F27"/>
    <w:rsid w:val="00F03D90"/>
    <w:rsid w:val="00F10E3C"/>
    <w:rsid w:val="00F135E3"/>
    <w:rsid w:val="00F2365D"/>
    <w:rsid w:val="00F3423D"/>
    <w:rsid w:val="00F354EF"/>
    <w:rsid w:val="00F35C70"/>
    <w:rsid w:val="00F4615A"/>
    <w:rsid w:val="00F50C5C"/>
    <w:rsid w:val="00F62CA7"/>
    <w:rsid w:val="00F64113"/>
    <w:rsid w:val="00F6597A"/>
    <w:rsid w:val="00F65E17"/>
    <w:rsid w:val="00F766F8"/>
    <w:rsid w:val="00F76BE0"/>
    <w:rsid w:val="00F9085F"/>
    <w:rsid w:val="00F91F61"/>
    <w:rsid w:val="00F92CA2"/>
    <w:rsid w:val="00F97547"/>
    <w:rsid w:val="00FA7A1C"/>
    <w:rsid w:val="00FC5980"/>
    <w:rsid w:val="00FD2A1A"/>
    <w:rsid w:val="00FD61A8"/>
    <w:rsid w:val="00FE424A"/>
    <w:rsid w:val="00FF2A15"/>
    <w:rsid w:val="00FF3E18"/>
    <w:rsid w:val="00FF78A4"/>
    <w:rsid w:val="02354607"/>
    <w:rsid w:val="043C3CAF"/>
    <w:rsid w:val="047E6128"/>
    <w:rsid w:val="0B6F59CA"/>
    <w:rsid w:val="0B706B76"/>
    <w:rsid w:val="0D9E1BFB"/>
    <w:rsid w:val="0E8211A4"/>
    <w:rsid w:val="0F787A7F"/>
    <w:rsid w:val="10332192"/>
    <w:rsid w:val="123D47AD"/>
    <w:rsid w:val="12710C32"/>
    <w:rsid w:val="154E28CF"/>
    <w:rsid w:val="15D259B1"/>
    <w:rsid w:val="16161096"/>
    <w:rsid w:val="163F749E"/>
    <w:rsid w:val="19EC74E9"/>
    <w:rsid w:val="1A4540FC"/>
    <w:rsid w:val="1B092B7E"/>
    <w:rsid w:val="1C81493E"/>
    <w:rsid w:val="1CDA1193"/>
    <w:rsid w:val="1D643979"/>
    <w:rsid w:val="1DD92D98"/>
    <w:rsid w:val="20C20EC4"/>
    <w:rsid w:val="22D163E7"/>
    <w:rsid w:val="25197EFC"/>
    <w:rsid w:val="2B4E6B87"/>
    <w:rsid w:val="2C0A6269"/>
    <w:rsid w:val="2D116119"/>
    <w:rsid w:val="2E056DB8"/>
    <w:rsid w:val="2E325B58"/>
    <w:rsid w:val="2E7D07E0"/>
    <w:rsid w:val="2F491BC2"/>
    <w:rsid w:val="305C6C7D"/>
    <w:rsid w:val="31CF6CC4"/>
    <w:rsid w:val="3238390F"/>
    <w:rsid w:val="33D955C3"/>
    <w:rsid w:val="34673BC3"/>
    <w:rsid w:val="357C0066"/>
    <w:rsid w:val="361E0880"/>
    <w:rsid w:val="36BA220D"/>
    <w:rsid w:val="37B66AEE"/>
    <w:rsid w:val="382D2B87"/>
    <w:rsid w:val="384F6DEF"/>
    <w:rsid w:val="38567800"/>
    <w:rsid w:val="3C1F58FB"/>
    <w:rsid w:val="3F503611"/>
    <w:rsid w:val="3FD937C6"/>
    <w:rsid w:val="3FDC474A"/>
    <w:rsid w:val="4093072D"/>
    <w:rsid w:val="43714D7C"/>
    <w:rsid w:val="4509358C"/>
    <w:rsid w:val="49BC1C56"/>
    <w:rsid w:val="4A894734"/>
    <w:rsid w:val="4BE87FD9"/>
    <w:rsid w:val="4BFB0284"/>
    <w:rsid w:val="4E216298"/>
    <w:rsid w:val="4E9742CE"/>
    <w:rsid w:val="4FA36A59"/>
    <w:rsid w:val="56497315"/>
    <w:rsid w:val="56B66FC8"/>
    <w:rsid w:val="5B6527BB"/>
    <w:rsid w:val="5B866B19"/>
    <w:rsid w:val="5EC06D29"/>
    <w:rsid w:val="5EDA51FD"/>
    <w:rsid w:val="6436096B"/>
    <w:rsid w:val="65B43979"/>
    <w:rsid w:val="66643F8E"/>
    <w:rsid w:val="68AA0D5B"/>
    <w:rsid w:val="6AA56EDD"/>
    <w:rsid w:val="6E713952"/>
    <w:rsid w:val="70AD4796"/>
    <w:rsid w:val="72156DB0"/>
    <w:rsid w:val="721E46B3"/>
    <w:rsid w:val="76F90CBB"/>
    <w:rsid w:val="772416F4"/>
    <w:rsid w:val="79F67AB5"/>
    <w:rsid w:val="7B02289A"/>
    <w:rsid w:val="7B04646A"/>
    <w:rsid w:val="7B271068"/>
    <w:rsid w:val="7BB3485D"/>
    <w:rsid w:val="7C5D0D20"/>
    <w:rsid w:val="7CA061AE"/>
    <w:rsid w:val="7CBF38BF"/>
    <w:rsid w:val="7E3741F5"/>
    <w:rsid w:val="7F594363"/>
    <w:rsid w:val="7FBF6F8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1"/>
    <w:basedOn w:val="1"/>
    <w:next w:val="1"/>
    <w:qFormat/>
    <w:uiPriority w:val="9"/>
    <w:pPr>
      <w:spacing w:before="100" w:beforeAutospacing="1" w:after="100" w:afterAutospacing="1"/>
      <w:jc w:val="left"/>
      <w:outlineLvl w:val="0"/>
    </w:pPr>
    <w:rPr>
      <w:rFonts w:hint="eastAsia" w:ascii="宋体" w:hAnsi="宋体"/>
      <w:b/>
      <w:kern w:val="44"/>
      <w:sz w:val="48"/>
      <w:szCs w:val="48"/>
    </w:rPr>
  </w:style>
  <w:style w:type="paragraph" w:styleId="2">
    <w:name w:val="heading 2"/>
    <w:basedOn w:val="1"/>
    <w:next w:val="1"/>
    <w:link w:val="26"/>
    <w:unhideWhenUsed/>
    <w:qFormat/>
    <w:uiPriority w:val="0"/>
    <w:pPr>
      <w:keepNext/>
      <w:keepLines/>
      <w:adjustRightInd w:val="0"/>
      <w:outlineLvl w:val="1"/>
    </w:pPr>
    <w:rPr>
      <w:rFonts w:ascii="Arial" w:hAnsi="Arial"/>
      <w:bCs/>
      <w:szCs w:val="32"/>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Document Map"/>
    <w:basedOn w:val="1"/>
    <w:semiHidden/>
    <w:qFormat/>
    <w:uiPriority w:val="0"/>
    <w:pPr>
      <w:shd w:val="clear" w:color="auto" w:fill="000080"/>
    </w:pPr>
  </w:style>
  <w:style w:type="paragraph" w:styleId="5">
    <w:name w:val="Body Text"/>
    <w:basedOn w:val="1"/>
    <w:qFormat/>
    <w:uiPriority w:val="0"/>
    <w:pPr>
      <w:jc w:val="center"/>
    </w:pPr>
    <w:rPr>
      <w:rFonts w:eastAsia="方正大标宋简体"/>
      <w:bCs/>
      <w:color w:val="FF0000"/>
      <w:sz w:val="36"/>
    </w:rPr>
  </w:style>
  <w:style w:type="paragraph" w:styleId="6">
    <w:name w:val="Body Text Indent"/>
    <w:basedOn w:val="1"/>
    <w:qFormat/>
    <w:uiPriority w:val="0"/>
    <w:pPr>
      <w:ind w:firstLine="182" w:firstLineChars="65"/>
    </w:pPr>
    <w:rPr>
      <w:rFonts w:ascii="仿宋_GB2312"/>
      <w:sz w:val="28"/>
    </w:rPr>
  </w:style>
  <w:style w:type="paragraph" w:styleId="7">
    <w:name w:val="Plain Text"/>
    <w:basedOn w:val="1"/>
    <w:qFormat/>
    <w:uiPriority w:val="0"/>
    <w:rPr>
      <w:rFonts w:ascii="宋体" w:hAnsi="Courier New" w:eastAsia="宋体" w:cs="Courier New"/>
      <w:sz w:val="21"/>
      <w:szCs w:val="21"/>
    </w:rPr>
  </w:style>
  <w:style w:type="paragraph" w:styleId="8">
    <w:name w:val="Date"/>
    <w:basedOn w:val="1"/>
    <w:next w:val="1"/>
    <w:qFormat/>
    <w:uiPriority w:val="0"/>
    <w:pPr>
      <w:ind w:left="100" w:leftChars="2500"/>
    </w:pPr>
    <w:rPr>
      <w:rFonts w:eastAsia="宋体"/>
      <w:sz w:val="21"/>
      <w:szCs w:val="24"/>
    </w:rPr>
  </w:style>
  <w:style w:type="paragraph" w:styleId="9">
    <w:name w:val="Body Text Indent 2"/>
    <w:basedOn w:val="1"/>
    <w:qFormat/>
    <w:uiPriority w:val="0"/>
    <w:pPr>
      <w:ind w:left="1083" w:leftChars="351"/>
    </w:pPr>
    <w:rPr>
      <w:rFonts w:ascii="仿宋_GB2312"/>
      <w:sz w:val="2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rPr>
      <w:sz w:val="24"/>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character" w:styleId="20">
    <w:name w:val="Emphasis"/>
    <w:basedOn w:val="17"/>
    <w:qFormat/>
    <w:uiPriority w:val="0"/>
    <w:rPr>
      <w:i/>
      <w:iCs/>
    </w:rPr>
  </w:style>
  <w:style w:type="character" w:styleId="21">
    <w:name w:val="Hyperlink"/>
    <w:qFormat/>
    <w:uiPriority w:val="0"/>
    <w:rPr>
      <w:color w:val="0000FF"/>
      <w:u w:val="single"/>
    </w:rPr>
  </w:style>
  <w:style w:type="character" w:customStyle="1" w:styleId="22">
    <w:name w:val="公文签发日期"/>
    <w:basedOn w:val="17"/>
    <w:qFormat/>
    <w:uiPriority w:val="0"/>
    <w:rPr>
      <w:rFonts w:eastAsia="仿宋_GB2312"/>
      <w:sz w:val="32"/>
    </w:rPr>
  </w:style>
  <w:style w:type="character" w:customStyle="1" w:styleId="23">
    <w:name w:val="发往单位"/>
    <w:basedOn w:val="17"/>
    <w:qFormat/>
    <w:uiPriority w:val="0"/>
    <w:rPr>
      <w:rFonts w:ascii="仿宋_GB2312"/>
    </w:rPr>
  </w:style>
  <w:style w:type="character" w:customStyle="1" w:styleId="24">
    <w:name w:val="公文标题"/>
    <w:basedOn w:val="17"/>
    <w:qFormat/>
    <w:uiPriority w:val="0"/>
    <w:rPr>
      <w:rFonts w:eastAsia="金山简标宋"/>
      <w:sz w:val="44"/>
    </w:rPr>
  </w:style>
  <w:style w:type="character" w:customStyle="1" w:styleId="25">
    <w:name w:val="公文主送"/>
    <w:basedOn w:val="17"/>
    <w:qFormat/>
    <w:uiPriority w:val="0"/>
    <w:rPr>
      <w:rFonts w:ascii="Times New Roman" w:hAnsi="Times New Roman" w:eastAsia="仿宋_GB2312" w:cs="Times New Roman"/>
      <w:sz w:val="32"/>
    </w:rPr>
  </w:style>
  <w:style w:type="character" w:customStyle="1" w:styleId="26">
    <w:name w:val="标题 2 Char"/>
    <w:link w:val="2"/>
    <w:qFormat/>
    <w:uiPriority w:val="0"/>
    <w:rPr>
      <w:rFonts w:ascii="Arial" w:hAnsi="Arial"/>
      <w:bCs/>
      <w:szCs w:val="32"/>
    </w:rPr>
  </w:style>
  <w:style w:type="character" w:customStyle="1" w:styleId="27">
    <w:name w:val="公文文号"/>
    <w:basedOn w:val="17"/>
    <w:qFormat/>
    <w:uiPriority w:val="0"/>
    <w:rPr>
      <w:rFonts w:ascii="Verdana" w:hAnsi="Verdana" w:eastAsia="仿宋_GB2312" w:cs="Verdana"/>
      <w:kern w:val="0"/>
      <w:sz w:val="32"/>
      <w:lang w:eastAsia="en-US"/>
    </w:rPr>
  </w:style>
  <w:style w:type="character" w:customStyle="1" w:styleId="28">
    <w:name w:val="刊物正文"/>
    <w:basedOn w:val="17"/>
    <w:qFormat/>
    <w:uiPriority w:val="0"/>
    <w:rPr>
      <w:rFonts w:eastAsia="仿宋_GB2312"/>
      <w:sz w:val="30"/>
    </w:rPr>
  </w:style>
  <w:style w:type="paragraph" w:customStyle="1" w:styleId="29">
    <w:name w:val="默认段落字体 Para Char Char Char Char Char Char Char"/>
    <w:basedOn w:val="1"/>
    <w:qFormat/>
    <w:uiPriority w:val="0"/>
    <w:rPr>
      <w:rFonts w:eastAsia="宋体"/>
      <w:sz w:val="21"/>
    </w:rPr>
  </w:style>
  <w:style w:type="paragraph" w:customStyle="1" w:styleId="30">
    <w:name w:val="CM14"/>
    <w:basedOn w:val="1"/>
    <w:next w:val="1"/>
    <w:qFormat/>
    <w:uiPriority w:val="0"/>
    <w:pPr>
      <w:autoSpaceDE w:val="0"/>
      <w:autoSpaceDN w:val="0"/>
      <w:jc w:val="left"/>
    </w:pPr>
    <w:rPr>
      <w:rFonts w:ascii="NBCDEE+E-BZ" w:hAnsi="NBCDEE+E-BZ" w:eastAsia="NBCDEE+E-BZ" w:cs="宋体"/>
      <w:color w:val="000000"/>
      <w:kern w:val="0"/>
      <w:sz w:val="24"/>
      <w:szCs w:val="24"/>
    </w:rPr>
  </w:style>
  <w:style w:type="paragraph" w:customStyle="1" w:styleId="31">
    <w:name w:val="无间隔1"/>
    <w:qFormat/>
    <w:uiPriority w:val="99"/>
    <w:pPr>
      <w:widowControl w:val="0"/>
      <w:jc w:val="both"/>
    </w:pPr>
    <w:rPr>
      <w:rFonts w:ascii="Calibri" w:hAnsi="Calibri" w:eastAsia="宋体" w:cs="Calibri"/>
      <w:kern w:val="2"/>
      <w:sz w:val="21"/>
      <w:szCs w:val="21"/>
      <w:lang w:val="en-US" w:eastAsia="zh-CN" w:bidi="ar-SA"/>
    </w:rPr>
  </w:style>
  <w:style w:type="paragraph" w:customStyle="1" w:styleId="32">
    <w:name w:val="List Paragraph1"/>
    <w:basedOn w:val="1"/>
    <w:qFormat/>
    <w:uiPriority w:val="34"/>
    <w:pPr>
      <w:ind w:firstLine="420" w:firstLineChars="200"/>
    </w:pPr>
  </w:style>
  <w:style w:type="paragraph" w:customStyle="1" w:styleId="33">
    <w:name w:val="UserStyle_0"/>
    <w:basedOn w:val="1"/>
    <w:qFormat/>
    <w:uiPriority w:val="0"/>
    <w:pPr>
      <w:ind w:firstLine="566" w:firstLineChars="202"/>
      <w:jc w:val="both"/>
      <w:textAlignment w:val="baseline"/>
    </w:pPr>
    <w:rPr>
      <w:rFonts w:ascii="Calibri" w:hAnsi="Calibri"/>
      <w:kern w:val="2"/>
      <w:sz w:val="21"/>
      <w:szCs w:val="28"/>
      <w:lang w:val="en-US" w:eastAsia="zh-CN" w:bidi="ar-SA"/>
    </w:rPr>
  </w:style>
  <w:style w:type="paragraph" w:customStyle="1" w:styleId="34">
    <w:name w:val="正文 New"/>
    <w:next w:val="35"/>
    <w:qFormat/>
    <w:uiPriority w:val="99"/>
    <w:pPr>
      <w:widowControl w:val="0"/>
      <w:jc w:val="both"/>
    </w:pPr>
    <w:rPr>
      <w:rFonts w:ascii="Calibri" w:hAnsi="Calibri" w:eastAsia="宋体" w:cs="黑体"/>
      <w:kern w:val="2"/>
      <w:sz w:val="21"/>
      <w:szCs w:val="22"/>
      <w:lang w:val="en-US" w:eastAsia="zh-CN" w:bidi="ar-SA"/>
    </w:rPr>
  </w:style>
  <w:style w:type="paragraph" w:customStyle="1" w:styleId="35">
    <w:name w:val="实施方案正文"/>
    <w:basedOn w:val="34"/>
    <w:qFormat/>
    <w:uiPriority w:val="0"/>
    <w:pPr>
      <w:ind w:firstLine="566" w:firstLineChars="202"/>
    </w:pPr>
    <w:rPr>
      <w:rFonts w:ascii="Calibri" w:hAnsi="Calibri" w:eastAsia="宋体" w:cs="Times New Roman"/>
      <w:szCs w:val="28"/>
    </w:rPr>
  </w:style>
  <w:style w:type="paragraph" w:customStyle="1" w:styleId="36">
    <w:name w:val="默认段落字体 Para Char Char Char Char Char Char Char Char Char1 Char Char Char Char Char Char Char"/>
    <w:basedOn w:val="4"/>
    <w:qFormat/>
    <w:uiPriority w:val="0"/>
    <w:rPr>
      <w:rFonts w:eastAsia="宋体"/>
      <w:sz w:val="21"/>
    </w:rPr>
  </w:style>
  <w:style w:type="paragraph" w:customStyle="1" w:styleId="37">
    <w:name w:val="TOAHeading"/>
    <w:basedOn w:val="1"/>
    <w:next w:val="1"/>
    <w:qFormat/>
    <w:uiPriority w:val="0"/>
    <w:pPr>
      <w:jc w:val="both"/>
      <w:textAlignment w:val="baseline"/>
    </w:pPr>
    <w:rPr>
      <w:rFonts w:ascii="Arial" w:hAnsi="Arial" w:eastAsia="仿宋"/>
      <w:kern w:val="2"/>
      <w:sz w:val="32"/>
      <w:szCs w:val="24"/>
      <w:lang w:val="en-US" w:eastAsia="zh-CN" w:bidi="ar-SA"/>
    </w:rPr>
  </w:style>
  <w:style w:type="paragraph" w:customStyle="1" w:styleId="38">
    <w:name w:val="Char Char Char1 Char"/>
    <w:basedOn w:val="1"/>
    <w:semiHidden/>
    <w:qFormat/>
    <w:uiPriority w:val="0"/>
    <w:rPr>
      <w:rFonts w:eastAsia="宋体"/>
      <w:sz w:val="21"/>
      <w:szCs w:val="24"/>
    </w:rPr>
  </w:style>
  <w:style w:type="paragraph" w:customStyle="1" w:styleId="39">
    <w:name w:val="Char Char Char Char Char Char Char Char Char Char Char Char Char Char Char Char Char Char Char Char Char Char Char Char Char Char Char Char Char Char Char Char Char"/>
    <w:basedOn w:val="1"/>
    <w:qFormat/>
    <w:uiPriority w:val="0"/>
    <w:pPr>
      <w:widowControl/>
      <w:spacing w:after="160" w:afterLines="0" w:line="240" w:lineRule="exact"/>
      <w:jc w:val="left"/>
    </w:pPr>
  </w:style>
  <w:style w:type="paragraph" w:customStyle="1" w:styleId="40">
    <w:name w:val=" Char Char Char"/>
    <w:basedOn w:val="1"/>
    <w:qFormat/>
    <w:uiPriority w:val="0"/>
    <w:rPr>
      <w:rFonts w:eastAsia="宋体"/>
      <w:sz w:val="21"/>
      <w:szCs w:val="24"/>
    </w:rPr>
  </w:style>
  <w:style w:type="paragraph" w:customStyle="1" w:styleId="41">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2">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43">
    <w:name w:val="Normal Indent1"/>
    <w:qFormat/>
    <w:uiPriority w:val="0"/>
    <w:pPr>
      <w:widowControl w:val="0"/>
      <w:ind w:firstLine="420" w:firstLineChars="200"/>
      <w:jc w:val="both"/>
    </w:pPr>
    <w:rPr>
      <w:rFonts w:ascii="宋体" w:hAnsi="宋体" w:eastAsia="宋体" w:cs="宋体"/>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WPS%20Office\12.1.0.26895\office6\&#26118;&#21150;&#3689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昆办通</Template>
  <Company> </Company>
  <Pages>10</Pages>
  <Words>3435</Words>
  <Characters>3605</Characters>
  <Lines>21</Lines>
  <Paragraphs>6</Paragraphs>
  <TotalTime>3</TotalTime>
  <ScaleCrop>false</ScaleCrop>
  <LinksUpToDate>false</LinksUpToDate>
  <CharactersWithSpaces>3627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2019-01-10T09:15:00Z</dcterms:created>
  <dc:creator>杨秀峰</dc:creator>
  <cp:lastModifiedBy>符号</cp:lastModifiedBy>
  <cp:lastPrinted>2022-03-29T08:36:00Z</cp:lastPrinted>
  <dcterms:modified xsi:type="dcterms:W3CDTF">2026-07-17T09:13:08Z</dcterms:modified>
  <dc:title>                                            </dc:title>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D2C59257B7E0475F81F0A661BED4EB0E_13</vt:lpwstr>
  </property>
  <property fmtid="{D5CDD505-2E9C-101B-9397-08002B2CF9AE}" pid="4" name="KSOTemplateDocerSaveRecord">
    <vt:lpwstr>eyJoZGlkIjoiOGQyZDRkZmFlNWM0MDliNWRhYTQ0Nzc4MzE5NmI0MjQiLCJ1c2VySWQiOiIzNjE2NjA5NTcifQ==</vt:lpwstr>
  </property>
</Properties>
</file>