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85EDB3">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宋体" w:hAnsi="宋体" w:eastAsia="方正小标宋简体"/>
          <w:bCs/>
          <w:snapToGrid w:val="0"/>
          <w:kern w:val="0"/>
          <w:sz w:val="44"/>
          <w:szCs w:val="44"/>
          <w:lang w:eastAsia="zh-CN"/>
        </w:rPr>
      </w:pPr>
      <w:r>
        <w:rPr>
          <w:rFonts w:hint="eastAsia" w:ascii="宋体" w:hAnsi="宋体" w:eastAsia="方正小标宋简体"/>
          <w:bCs/>
          <w:snapToGrid w:val="0"/>
          <w:kern w:val="0"/>
          <w:sz w:val="44"/>
          <w:szCs w:val="44"/>
          <w:lang w:eastAsia="zh-CN"/>
        </w:rPr>
        <w:t>昆明市东川区发展和改革局</w:t>
      </w:r>
    </w:p>
    <w:p w14:paraId="54688490">
      <w:pPr>
        <w:pStyle w:val="7"/>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napToGrid w:val="0"/>
          <w:kern w:val="0"/>
          <w:sz w:val="44"/>
          <w:szCs w:val="44"/>
          <w:lang w:val="en-US" w:eastAsia="zh-CN"/>
        </w:rPr>
        <w:t>关于</w:t>
      </w:r>
      <w:r>
        <w:rPr>
          <w:rFonts w:hint="eastAsia" w:ascii="方正小标宋简体" w:hAnsi="方正小标宋简体" w:eastAsia="方正小标宋简体" w:cs="方正小标宋简体"/>
          <w:snapToGrid w:val="0"/>
          <w:kern w:val="0"/>
          <w:sz w:val="44"/>
          <w:szCs w:val="44"/>
          <w:lang w:eastAsia="zh-CN"/>
        </w:rPr>
        <w:t>印发《东川区打造“产业环境”2023年工作方案》</w:t>
      </w:r>
      <w:r>
        <w:rPr>
          <w:rFonts w:hint="eastAsia" w:ascii="方正小标宋简体" w:hAnsi="方正小标宋简体" w:eastAsia="方正小标宋简体" w:cs="方正小标宋简体"/>
          <w:sz w:val="44"/>
          <w:szCs w:val="44"/>
        </w:rPr>
        <w:t>的通知</w:t>
      </w:r>
    </w:p>
    <w:p w14:paraId="2CD61FC2">
      <w:pPr>
        <w:spacing w:line="0" w:lineRule="atLeast"/>
        <w:jc w:val="center"/>
        <w:rPr>
          <w:rFonts w:hint="eastAsia" w:eastAsia="方正小标宋简体"/>
          <w:sz w:val="44"/>
          <w:szCs w:val="44"/>
        </w:rPr>
      </w:pPr>
    </w:p>
    <w:p w14:paraId="6FB14E33">
      <w:pPr>
        <w:keepNext w:val="0"/>
        <w:keepLines w:val="0"/>
        <w:pageBreakBefore w:val="0"/>
        <w:widowControl w:val="0"/>
        <w:tabs>
          <w:tab w:val="left" w:pos="590"/>
        </w:tabs>
        <w:kinsoku/>
        <w:wordWrap/>
        <w:autoSpaceDN/>
        <w:bidi w:val="0"/>
        <w:spacing w:line="560" w:lineRule="exact"/>
        <w:textAlignment w:val="auto"/>
        <w:rPr>
          <w:rFonts w:hint="eastAsia" w:ascii="楷体_GB2312" w:hAnsi="楷体_GB2312" w:eastAsia="楷体_GB2312" w:cs="楷体_GB2312"/>
          <w:kern w:val="21"/>
          <w:sz w:val="32"/>
          <w:szCs w:val="32"/>
          <w:lang w:val="en-US" w:eastAsia="zh-CN"/>
        </w:rPr>
      </w:pPr>
      <w:r>
        <w:rPr>
          <w:rFonts w:hint="eastAsia" w:ascii="楷体_GB2312" w:hAnsi="楷体_GB2312" w:eastAsia="楷体_GB2312" w:cs="楷体_GB2312"/>
          <w:kern w:val="21"/>
          <w:sz w:val="32"/>
          <w:szCs w:val="32"/>
          <w:lang w:val="en-US" w:eastAsia="zh-CN"/>
        </w:rPr>
        <w:t>区委宣传部、区工科信局、区民政局、区住建局、区农业农村局、区商务投促局、区</w:t>
      </w:r>
      <w:bookmarkStart w:id="0" w:name="_GoBack"/>
      <w:bookmarkEnd w:id="0"/>
      <w:r>
        <w:rPr>
          <w:rFonts w:hint="eastAsia" w:ascii="楷体_GB2312" w:hAnsi="楷体_GB2312" w:eastAsia="楷体_GB2312" w:cs="楷体_GB2312"/>
          <w:kern w:val="21"/>
          <w:sz w:val="32"/>
          <w:szCs w:val="32"/>
          <w:lang w:val="en-US" w:eastAsia="zh-CN"/>
        </w:rPr>
        <w:t>文化和旅游局、区卫生健康局、区金融办、区科协，各产业链牵头单位，园区管委会，各乡镇（街道）：</w:t>
      </w:r>
    </w:p>
    <w:p w14:paraId="2E2D9117">
      <w:pPr>
        <w:keepNext w:val="0"/>
        <w:keepLines w:val="0"/>
        <w:pageBreakBefore w:val="0"/>
        <w:widowControl w:val="0"/>
        <w:tabs>
          <w:tab w:val="left" w:pos="590"/>
        </w:tabs>
        <w:kinsoku/>
        <w:wordWrap/>
        <w:autoSpaceDN/>
        <w:bidi w:val="0"/>
        <w:spacing w:line="560" w:lineRule="exact"/>
        <w:ind w:firstLine="640" w:firstLineChars="200"/>
        <w:textAlignment w:val="auto"/>
        <w:rPr>
          <w:rFonts w:hint="eastAsia" w:ascii="楷体_GB2312" w:hAnsi="楷体_GB2312" w:eastAsia="楷体_GB2312" w:cs="楷体_GB2312"/>
          <w:kern w:val="21"/>
          <w:sz w:val="32"/>
          <w:szCs w:val="32"/>
          <w:lang w:val="en-US" w:eastAsia="zh-CN"/>
        </w:rPr>
      </w:pPr>
      <w:r>
        <w:rPr>
          <w:rFonts w:hint="eastAsia" w:ascii="楷体_GB2312" w:hAnsi="楷体_GB2312" w:eastAsia="楷体_GB2312" w:cs="楷体_GB2312"/>
          <w:kern w:val="21"/>
          <w:sz w:val="32"/>
          <w:szCs w:val="32"/>
          <w:lang w:val="en-US" w:eastAsia="zh-CN"/>
        </w:rPr>
        <w:t>为做好产业发展营商环境相关工作，现将《东川区打造“产业环境”2023年工作方案》印发给你们，请认真抓好贯彻落实。</w:t>
      </w:r>
    </w:p>
    <w:p w14:paraId="4078DA2A">
      <w:pPr>
        <w:keepNext w:val="0"/>
        <w:keepLines w:val="0"/>
        <w:pageBreakBefore w:val="0"/>
        <w:widowControl w:val="0"/>
        <w:tabs>
          <w:tab w:val="left" w:pos="590"/>
        </w:tabs>
        <w:kinsoku/>
        <w:wordWrap/>
        <w:autoSpaceDN/>
        <w:bidi w:val="0"/>
        <w:spacing w:line="560" w:lineRule="exact"/>
        <w:textAlignment w:val="auto"/>
        <w:rPr>
          <w:rFonts w:hint="eastAsia" w:ascii="楷体_GB2312" w:hAnsi="楷体_GB2312" w:eastAsia="楷体_GB2312" w:cs="楷体_GB2312"/>
          <w:kern w:val="21"/>
          <w:sz w:val="32"/>
          <w:szCs w:val="32"/>
          <w:lang w:val="en-US" w:eastAsia="zh-CN"/>
        </w:rPr>
      </w:pPr>
      <w:r>
        <w:rPr>
          <w:rFonts w:hint="eastAsia" w:ascii="楷体_GB2312" w:hAnsi="楷体_GB2312" w:eastAsia="楷体_GB2312" w:cs="楷体_GB2312"/>
          <w:kern w:val="21"/>
          <w:sz w:val="32"/>
          <w:szCs w:val="32"/>
          <w:lang w:val="en-US" w:eastAsia="zh-CN"/>
        </w:rPr>
        <w:t xml:space="preserve">                  </w:t>
      </w:r>
    </w:p>
    <w:p w14:paraId="0961C7B2">
      <w:pPr>
        <w:keepNext w:val="0"/>
        <w:keepLines w:val="0"/>
        <w:pageBreakBefore w:val="0"/>
        <w:widowControl w:val="0"/>
        <w:tabs>
          <w:tab w:val="left" w:pos="590"/>
        </w:tabs>
        <w:kinsoku/>
        <w:wordWrap/>
        <w:autoSpaceDN/>
        <w:bidi w:val="0"/>
        <w:spacing w:line="560" w:lineRule="exact"/>
        <w:jc w:val="center"/>
        <w:textAlignment w:val="auto"/>
        <w:rPr>
          <w:rFonts w:hint="default" w:ascii="楷体_GB2312" w:hAnsi="楷体_GB2312" w:eastAsia="楷体_GB2312" w:cs="楷体_GB2312"/>
          <w:kern w:val="21"/>
          <w:sz w:val="32"/>
          <w:szCs w:val="32"/>
          <w:lang w:val="en-US" w:eastAsia="zh-CN"/>
        </w:rPr>
      </w:pPr>
      <w:r>
        <w:rPr>
          <w:rFonts w:hint="eastAsia" w:ascii="楷体_GB2312" w:hAnsi="楷体_GB2312" w:eastAsia="楷体_GB2312" w:cs="楷体_GB2312"/>
          <w:kern w:val="21"/>
          <w:sz w:val="32"/>
          <w:szCs w:val="32"/>
          <w:lang w:val="en-US" w:eastAsia="zh-CN"/>
        </w:rPr>
        <w:t xml:space="preserve">                       昆明市东川区发展和改革局 </w:t>
      </w:r>
    </w:p>
    <w:p w14:paraId="1411172C">
      <w:pPr>
        <w:spacing w:line="520" w:lineRule="exact"/>
        <w:ind w:firstLine="640" w:firstLineChars="200"/>
        <w:rPr>
          <w:rFonts w:ascii="Times New Roman" w:hAnsi="Times New Roman" w:eastAsia="方正小标宋简体"/>
          <w:spacing w:val="-11"/>
          <w:sz w:val="44"/>
          <w:szCs w:val="44"/>
        </w:rPr>
      </w:pPr>
      <w:r>
        <w:rPr>
          <w:rFonts w:hint="eastAsia" w:ascii="楷体_GB2312" w:hAnsi="楷体_GB2312" w:eastAsia="楷体_GB2312" w:cs="楷体_GB2312"/>
          <w:kern w:val="21"/>
          <w:sz w:val="32"/>
          <w:szCs w:val="32"/>
          <w:lang w:val="en-US" w:eastAsia="zh-CN"/>
        </w:rPr>
        <w:t xml:space="preserve">                            </w:t>
      </w:r>
      <w:r>
        <w:rPr>
          <w:rFonts w:hint="default" w:ascii="Times New Roman" w:hAnsi="Times New Roman" w:eastAsia="楷体_GB2312" w:cs="Times New Roman"/>
          <w:kern w:val="21"/>
          <w:sz w:val="32"/>
          <w:szCs w:val="32"/>
          <w:lang w:val="en-US" w:eastAsia="zh-CN"/>
        </w:rPr>
        <w:t>2023</w:t>
      </w:r>
      <w:r>
        <w:rPr>
          <w:rFonts w:hint="eastAsia" w:ascii="楷体_GB2312" w:hAnsi="楷体_GB2312" w:eastAsia="楷体_GB2312" w:cs="楷体_GB2312"/>
          <w:kern w:val="21"/>
          <w:sz w:val="32"/>
          <w:szCs w:val="32"/>
          <w:lang w:val="en-US" w:eastAsia="zh-CN"/>
        </w:rPr>
        <w:t>年</w:t>
      </w:r>
      <w:r>
        <w:rPr>
          <w:rFonts w:hint="eastAsia" w:ascii="Times New Roman" w:hAnsi="Times New Roman" w:eastAsia="楷体_GB2312" w:cs="Times New Roman"/>
          <w:kern w:val="21"/>
          <w:sz w:val="32"/>
          <w:szCs w:val="32"/>
          <w:lang w:val="en-US" w:eastAsia="zh-CN"/>
        </w:rPr>
        <w:t>5</w:t>
      </w:r>
      <w:r>
        <w:rPr>
          <w:rFonts w:hint="eastAsia" w:ascii="楷体_GB2312" w:hAnsi="楷体_GB2312" w:eastAsia="楷体_GB2312" w:cs="楷体_GB2312"/>
          <w:kern w:val="21"/>
          <w:sz w:val="32"/>
          <w:szCs w:val="32"/>
          <w:lang w:val="en-US" w:eastAsia="zh-CN"/>
        </w:rPr>
        <w:t>月6日</w:t>
      </w:r>
    </w:p>
    <w:p w14:paraId="68CBC724">
      <w:pPr>
        <w:widowControl/>
        <w:spacing w:line="520" w:lineRule="exact"/>
        <w:jc w:val="center"/>
        <w:rPr>
          <w:rFonts w:hint="eastAsia" w:ascii="Times New Roman" w:hAnsi="Times New Roman" w:eastAsia="方正小标宋简体" w:cs="方正小标宋简体"/>
          <w:sz w:val="44"/>
          <w:szCs w:val="44"/>
        </w:rPr>
        <w:sectPr>
          <w:footerReference r:id="rId3" w:type="default"/>
          <w:footerReference r:id="rId4" w:type="even"/>
          <w:pgSz w:w="11906" w:h="16838"/>
          <w:pgMar w:top="2098" w:right="1531" w:bottom="1984" w:left="1531" w:header="850" w:footer="1587" w:gutter="0"/>
          <w:paperSrc/>
          <w:pgNumType w:fmt="decimal"/>
          <w:cols w:space="720" w:num="1"/>
          <w:rtlGutter w:val="0"/>
          <w:docGrid w:type="lines" w:linePitch="312" w:charSpace="0"/>
        </w:sectPr>
      </w:pPr>
    </w:p>
    <w:p w14:paraId="7D0E2DCE">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p>
    <w:p w14:paraId="40E7B29B">
      <w:pPr>
        <w:pStyle w:val="7"/>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kern w:val="0"/>
          <w:sz w:val="44"/>
          <w:szCs w:val="44"/>
          <w:lang w:eastAsia="zh-CN"/>
        </w:rPr>
      </w:pPr>
      <w:r>
        <w:rPr>
          <w:rFonts w:hint="eastAsia" w:ascii="方正小标宋简体" w:hAnsi="方正小标宋简体" w:eastAsia="方正小标宋简体" w:cs="方正小标宋简体"/>
          <w:snapToGrid w:val="0"/>
          <w:kern w:val="0"/>
          <w:sz w:val="44"/>
          <w:szCs w:val="44"/>
          <w:lang w:eastAsia="zh-CN"/>
        </w:rPr>
        <w:t>东川区打造“产业环境”2023年工作方案</w:t>
      </w:r>
    </w:p>
    <w:p w14:paraId="0DAC91D4">
      <w:pPr>
        <w:keepNext w:val="0"/>
        <w:keepLines w:val="0"/>
        <w:pageBreakBefore w:val="0"/>
        <w:kinsoku/>
        <w:wordWrap/>
        <w:overflowPunct/>
        <w:topLinePunct/>
        <w:autoSpaceDE w:val="0"/>
        <w:autoSpaceDN/>
        <w:bidi w:val="0"/>
        <w:adjustRightInd w:val="0"/>
        <w:snapToGrid w:val="0"/>
        <w:spacing w:line="560" w:lineRule="exact"/>
        <w:ind w:firstLine="640" w:firstLineChars="200"/>
        <w:textAlignment w:val="auto"/>
        <w:rPr>
          <w:rFonts w:hint="eastAsia" w:ascii="Times New Roman" w:hAnsi="Times New Roman" w:eastAsia="仿宋_GB2312" w:cs="Times New Roman"/>
          <w:snapToGrid w:val="0"/>
          <w:color w:val="000000"/>
          <w:kern w:val="0"/>
          <w:sz w:val="32"/>
          <w:szCs w:val="32"/>
          <w:lang w:val="en-US" w:eastAsia="zh-CN"/>
        </w:rPr>
      </w:pPr>
    </w:p>
    <w:p w14:paraId="1B662BD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snapToGrid w:val="0"/>
          <w:color w:val="000000"/>
          <w:kern w:val="0"/>
          <w:sz w:val="32"/>
          <w:szCs w:val="32"/>
          <w:lang w:val="en-US" w:eastAsia="zh-CN"/>
        </w:rPr>
        <w:t>根据《中共昆明市东川区委办公室  昆明市东川区人民政府办公室关于印发东川区全面优化提升营商环境三年攻坚行动方案（2022—2024年）的通知》（东办发〔2022〕12号）要求，优化产业发展</w:t>
      </w:r>
      <w:r>
        <w:rPr>
          <w:rFonts w:hint="default" w:ascii="Times New Roman" w:hAnsi="Times New Roman" w:eastAsia="仿宋_GB2312" w:cs="Times New Roman"/>
          <w:color w:val="000000"/>
          <w:kern w:val="0"/>
          <w:sz w:val="32"/>
          <w:szCs w:val="32"/>
          <w:lang w:val="en-US" w:eastAsia="zh-CN" w:bidi="ar-SA"/>
        </w:rPr>
        <w:t>营商环境，现结合我</w:t>
      </w:r>
      <w:r>
        <w:rPr>
          <w:rFonts w:hint="eastAsia" w:ascii="Times New Roman" w:hAnsi="Times New Roman" w:eastAsia="仿宋_GB2312" w:cs="Times New Roman"/>
          <w:color w:val="000000"/>
          <w:kern w:val="0"/>
          <w:sz w:val="32"/>
          <w:szCs w:val="32"/>
          <w:lang w:val="en-US" w:eastAsia="zh-CN" w:bidi="ar-SA"/>
        </w:rPr>
        <w:t>区</w:t>
      </w:r>
      <w:r>
        <w:rPr>
          <w:rFonts w:hint="default" w:ascii="Times New Roman" w:hAnsi="Times New Roman" w:eastAsia="仿宋_GB2312" w:cs="Times New Roman"/>
          <w:color w:val="000000"/>
          <w:kern w:val="0"/>
          <w:sz w:val="32"/>
          <w:szCs w:val="32"/>
          <w:lang w:val="en-US" w:eastAsia="zh-CN" w:bidi="ar-SA"/>
        </w:rPr>
        <w:t>实际制定本</w:t>
      </w:r>
      <w:r>
        <w:rPr>
          <w:rFonts w:hint="eastAsia" w:ascii="Times New Roman" w:hAnsi="Times New Roman" w:eastAsia="仿宋_GB2312" w:cs="Times New Roman"/>
          <w:color w:val="000000"/>
          <w:kern w:val="0"/>
          <w:sz w:val="32"/>
          <w:szCs w:val="32"/>
          <w:lang w:val="en-US" w:eastAsia="zh-CN" w:bidi="ar-SA"/>
        </w:rPr>
        <w:t>工作方案</w:t>
      </w:r>
      <w:r>
        <w:rPr>
          <w:rFonts w:hint="default" w:ascii="Times New Roman" w:hAnsi="Times New Roman" w:eastAsia="仿宋_GB2312" w:cs="Times New Roman"/>
          <w:color w:val="000000"/>
          <w:kern w:val="0"/>
          <w:sz w:val="32"/>
          <w:szCs w:val="32"/>
          <w:lang w:val="en-US" w:eastAsia="zh-CN" w:bidi="ar-SA"/>
        </w:rPr>
        <w:t>。</w:t>
      </w:r>
    </w:p>
    <w:p w14:paraId="5B19766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Style w:val="11"/>
          <w:rFonts w:hint="default" w:ascii="黑体" w:hAnsi="黑体" w:eastAsia="黑体" w:cs="黑体"/>
          <w:b w:val="0"/>
          <w:bCs/>
          <w:i w:val="0"/>
          <w:caps w:val="0"/>
          <w:snapToGrid/>
          <w:color w:val="333333"/>
          <w:spacing w:val="8"/>
          <w:kern w:val="2"/>
          <w:sz w:val="32"/>
          <w:szCs w:val="32"/>
          <w:shd w:val="clear" w:color="auto" w:fill="FFFFFF"/>
          <w:lang w:val="en-US" w:eastAsia="zh-CN" w:bidi="ar-SA"/>
        </w:rPr>
      </w:pPr>
      <w:r>
        <w:rPr>
          <w:rStyle w:val="11"/>
          <w:rFonts w:hint="default" w:ascii="黑体" w:hAnsi="黑体" w:eastAsia="黑体" w:cs="黑体"/>
          <w:b w:val="0"/>
          <w:bCs/>
          <w:i w:val="0"/>
          <w:caps w:val="0"/>
          <w:snapToGrid/>
          <w:color w:val="333333"/>
          <w:spacing w:val="8"/>
          <w:kern w:val="2"/>
          <w:sz w:val="32"/>
          <w:szCs w:val="32"/>
          <w:shd w:val="clear" w:color="auto" w:fill="FFFFFF"/>
          <w:lang w:val="en-US" w:eastAsia="zh-CN" w:bidi="ar-SA"/>
        </w:rPr>
        <w:t>一、指导思想</w:t>
      </w:r>
    </w:p>
    <w:p w14:paraId="0370B5EF">
      <w:pPr>
        <w:keepNext w:val="0"/>
        <w:keepLines w:val="0"/>
        <w:pageBreakBefore w:val="0"/>
        <w:kinsoku/>
        <w:wordWrap/>
        <w:overflowPunct/>
        <w:topLinePunct/>
        <w:autoSpaceDE w:val="0"/>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坚持以习近平新时代中国特色社会主义思想为指导，深入贯彻党的二十大精神，全面贯彻习近平总书记考察云南重要讲话精神，完整、准确、全面贯彻新发展理念，服务和融入新发展格局，发挥区位、开放和资源优势，着力打造引领高质量发展的产业环境，围绕重点产业链实施“链长制”，谋划实施一批重大产业项目，推动</w:t>
      </w:r>
      <w:r>
        <w:rPr>
          <w:rFonts w:hint="eastAsia" w:ascii="Times New Roman" w:hAnsi="Times New Roman" w:eastAsia="仿宋_GB2312" w:cs="Times New Roman"/>
          <w:snapToGrid w:val="0"/>
          <w:color w:val="000000"/>
          <w:kern w:val="0"/>
          <w:sz w:val="32"/>
          <w:szCs w:val="32"/>
          <w:lang w:val="en-US" w:eastAsia="zh-CN"/>
        </w:rPr>
        <w:t>东川</w:t>
      </w:r>
      <w:r>
        <w:rPr>
          <w:rFonts w:hint="default" w:ascii="Times New Roman" w:hAnsi="Times New Roman" w:eastAsia="仿宋_GB2312" w:cs="Times New Roman"/>
          <w:snapToGrid w:val="0"/>
          <w:color w:val="000000"/>
          <w:kern w:val="0"/>
          <w:sz w:val="32"/>
          <w:szCs w:val="32"/>
          <w:lang w:val="en-US" w:eastAsia="zh-CN"/>
        </w:rPr>
        <w:t>经济社会实现高质量跨越式发展。</w:t>
      </w:r>
    </w:p>
    <w:p w14:paraId="447A4B2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Style w:val="11"/>
          <w:rFonts w:hint="default" w:ascii="黑体" w:hAnsi="黑体" w:eastAsia="黑体" w:cs="黑体"/>
          <w:b w:val="0"/>
          <w:bCs/>
          <w:i w:val="0"/>
          <w:caps w:val="0"/>
          <w:snapToGrid/>
          <w:color w:val="333333"/>
          <w:spacing w:val="8"/>
          <w:kern w:val="2"/>
          <w:sz w:val="32"/>
          <w:szCs w:val="32"/>
          <w:shd w:val="clear" w:color="auto" w:fill="FFFFFF"/>
          <w:lang w:val="en-US" w:eastAsia="zh-CN" w:bidi="ar-SA"/>
        </w:rPr>
      </w:pPr>
      <w:r>
        <w:rPr>
          <w:rStyle w:val="11"/>
          <w:rFonts w:hint="eastAsia" w:ascii="黑体" w:hAnsi="黑体" w:eastAsia="黑体" w:cs="黑体"/>
          <w:b w:val="0"/>
          <w:bCs/>
          <w:i w:val="0"/>
          <w:caps w:val="0"/>
          <w:snapToGrid/>
          <w:color w:val="333333"/>
          <w:spacing w:val="8"/>
          <w:kern w:val="2"/>
          <w:sz w:val="32"/>
          <w:szCs w:val="32"/>
          <w:shd w:val="clear" w:color="auto" w:fill="FFFFFF"/>
          <w:lang w:val="en-US" w:eastAsia="zh-CN" w:bidi="ar-SA"/>
        </w:rPr>
        <w:t>二、工作目标</w:t>
      </w:r>
    </w:p>
    <w:p w14:paraId="76018BEE">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000000"/>
          <w:kern w:val="0"/>
          <w:sz w:val="32"/>
          <w:szCs w:val="32"/>
          <w:lang w:val="en-US" w:eastAsia="zh-CN" w:bidi="ar-SA"/>
        </w:rPr>
      </w:pPr>
      <w:r>
        <w:rPr>
          <w:rFonts w:hint="eastAsia" w:ascii="Times New Roman" w:hAnsi="Times New Roman" w:eastAsia="仿宋_GB2312" w:cs="Times New Roman"/>
          <w:snapToGrid/>
          <w:color w:val="000000"/>
          <w:kern w:val="0"/>
          <w:sz w:val="32"/>
          <w:szCs w:val="32"/>
          <w:lang w:val="en-US" w:eastAsia="zh-CN" w:bidi="ar-SA"/>
        </w:rPr>
        <w:t>进一步推进全区产业环境建设</w:t>
      </w:r>
      <w:r>
        <w:rPr>
          <w:rFonts w:hint="default" w:ascii="Times New Roman" w:hAnsi="Times New Roman" w:eastAsia="仿宋_GB2312" w:cs="Times New Roman"/>
          <w:snapToGrid/>
          <w:color w:val="000000"/>
          <w:kern w:val="0"/>
          <w:sz w:val="32"/>
          <w:szCs w:val="32"/>
          <w:lang w:val="en-US" w:eastAsia="zh-CN" w:bidi="ar-SA"/>
        </w:rPr>
        <w:t>，</w:t>
      </w:r>
      <w:r>
        <w:rPr>
          <w:rFonts w:hint="eastAsia" w:ascii="Times New Roman" w:hAnsi="Times New Roman" w:eastAsia="仿宋_GB2312" w:cs="Times New Roman"/>
          <w:snapToGrid/>
          <w:color w:val="auto"/>
          <w:kern w:val="0"/>
          <w:sz w:val="32"/>
          <w:szCs w:val="32"/>
          <w:u w:val="none"/>
          <w:lang w:val="en-US" w:eastAsia="zh-CN" w:bidi="ar"/>
        </w:rPr>
        <w:t>加快构建以</w:t>
      </w:r>
      <w:r>
        <w:rPr>
          <w:rFonts w:hint="default" w:ascii="Times New Roman" w:hAnsi="Times New Roman" w:eastAsia="仿宋_GB2312" w:cs="Times New Roman"/>
          <w:b w:val="0"/>
          <w:bCs w:val="0"/>
          <w:snapToGrid/>
          <w:color w:val="auto"/>
          <w:kern w:val="0"/>
          <w:sz w:val="32"/>
          <w:szCs w:val="32"/>
          <w:u w:val="none"/>
          <w:lang w:bidi="ar"/>
        </w:rPr>
        <w:t>数字经济为引领</w:t>
      </w:r>
      <w:r>
        <w:rPr>
          <w:rFonts w:hint="eastAsia" w:ascii="Times New Roman" w:hAnsi="Times New Roman" w:eastAsia="仿宋_GB2312" w:cs="Times New Roman"/>
          <w:b w:val="0"/>
          <w:bCs w:val="0"/>
          <w:snapToGrid/>
          <w:color w:val="auto"/>
          <w:kern w:val="0"/>
          <w:sz w:val="32"/>
          <w:szCs w:val="32"/>
          <w:u w:val="none"/>
          <w:lang w:eastAsia="zh-CN" w:bidi="ar"/>
        </w:rPr>
        <w:t>、现代服务业为主导、先进制造业为支撑、现代农业为基础的现代产业体系。</w:t>
      </w:r>
      <w:r>
        <w:rPr>
          <w:rFonts w:hint="eastAsia" w:ascii="Times New Roman" w:hAnsi="Times New Roman" w:eastAsia="仿宋_GB2312" w:cs="Times New Roman"/>
          <w:b w:val="0"/>
          <w:bCs w:val="0"/>
          <w:snapToGrid/>
          <w:color w:val="auto"/>
          <w:kern w:val="0"/>
          <w:sz w:val="32"/>
          <w:szCs w:val="32"/>
          <w:u w:val="none"/>
          <w:lang w:val="en-US" w:eastAsia="zh-CN" w:bidi="ar"/>
        </w:rPr>
        <w:t>大力加强绿色工业建设，实施开发区振兴三年行动，进一步优化园区规划布局、管理体制和运营模式，科学合理确定园区主导产业，</w:t>
      </w:r>
      <w:r>
        <w:rPr>
          <w:rFonts w:hint="eastAsia" w:ascii="Times New Roman" w:hAnsi="Times New Roman" w:eastAsia="仿宋_GB2312" w:cs="Times New Roman"/>
          <w:b w:val="0"/>
          <w:bCs w:val="0"/>
          <w:snapToGrid/>
          <w:color w:val="auto"/>
          <w:kern w:val="0"/>
          <w:sz w:val="32"/>
          <w:szCs w:val="32"/>
          <w:u w:val="none"/>
          <w:lang w:eastAsia="zh-CN" w:bidi="ar"/>
        </w:rPr>
        <w:t>推动链式发展，以产业招商，以产业换资源，进一步加大新兴产业导入力度</w:t>
      </w:r>
      <w:r>
        <w:rPr>
          <w:rFonts w:hint="eastAsia" w:ascii="Times New Roman" w:hAnsi="Times New Roman" w:eastAsia="仿宋_GB2312" w:cs="Times New Roman"/>
          <w:b w:val="0"/>
          <w:bCs w:val="0"/>
          <w:snapToGrid/>
          <w:color w:val="auto"/>
          <w:kern w:val="0"/>
          <w:sz w:val="32"/>
          <w:szCs w:val="32"/>
          <w:u w:val="none"/>
          <w:lang w:val="en-US" w:eastAsia="zh-CN" w:bidi="ar"/>
        </w:rPr>
        <w:t>。围绕13条产业链体系，</w:t>
      </w:r>
      <w:r>
        <w:rPr>
          <w:rFonts w:hint="eastAsia" w:ascii="Times New Roman" w:hAnsi="Times New Roman" w:eastAsia="仿宋_GB2312" w:cs="仿宋_GB2312"/>
          <w:snapToGrid/>
          <w:color w:val="auto"/>
          <w:spacing w:val="0"/>
          <w:kern w:val="2"/>
          <w:sz w:val="32"/>
          <w:szCs w:val="32"/>
        </w:rPr>
        <w:t>实施</w:t>
      </w:r>
      <w:r>
        <w:rPr>
          <w:rFonts w:hint="eastAsia" w:ascii="Times New Roman" w:hAnsi="Times New Roman" w:eastAsia="仿宋_GB2312" w:cs="仿宋_GB2312"/>
          <w:snapToGrid/>
          <w:color w:val="auto"/>
          <w:spacing w:val="0"/>
          <w:kern w:val="2"/>
          <w:sz w:val="32"/>
          <w:szCs w:val="32"/>
          <w:lang w:eastAsia="zh-CN"/>
        </w:rPr>
        <w:t>“</w:t>
      </w:r>
      <w:r>
        <w:rPr>
          <w:rFonts w:hint="eastAsia" w:ascii="Times New Roman" w:hAnsi="Times New Roman" w:eastAsia="仿宋_GB2312" w:cs="仿宋_GB2312"/>
          <w:snapToGrid/>
          <w:color w:val="auto"/>
          <w:spacing w:val="0"/>
          <w:kern w:val="2"/>
          <w:sz w:val="32"/>
          <w:szCs w:val="32"/>
        </w:rPr>
        <w:t>壮链</w:t>
      </w:r>
      <w:r>
        <w:rPr>
          <w:rFonts w:hint="eastAsia" w:ascii="Times New Roman" w:hAnsi="Times New Roman" w:eastAsia="仿宋_GB2312" w:cs="仿宋_GB2312"/>
          <w:snapToGrid/>
          <w:color w:val="auto"/>
          <w:spacing w:val="0"/>
          <w:kern w:val="2"/>
          <w:sz w:val="32"/>
          <w:szCs w:val="32"/>
          <w:lang w:eastAsia="zh-CN"/>
        </w:rPr>
        <w:t>”“</w:t>
      </w:r>
      <w:r>
        <w:rPr>
          <w:rFonts w:hint="eastAsia" w:ascii="Times New Roman" w:hAnsi="Times New Roman" w:eastAsia="仿宋_GB2312" w:cs="仿宋_GB2312"/>
          <w:snapToGrid/>
          <w:color w:val="auto"/>
          <w:spacing w:val="0"/>
          <w:kern w:val="2"/>
          <w:sz w:val="32"/>
          <w:szCs w:val="32"/>
        </w:rPr>
        <w:t>补链</w:t>
      </w:r>
      <w:r>
        <w:rPr>
          <w:rFonts w:hint="eastAsia" w:ascii="Times New Roman" w:hAnsi="Times New Roman" w:eastAsia="仿宋_GB2312" w:cs="仿宋_GB2312"/>
          <w:snapToGrid/>
          <w:color w:val="auto"/>
          <w:spacing w:val="0"/>
          <w:kern w:val="2"/>
          <w:sz w:val="32"/>
          <w:szCs w:val="32"/>
          <w:lang w:eastAsia="zh-CN"/>
        </w:rPr>
        <w:t>”“</w:t>
      </w:r>
      <w:r>
        <w:rPr>
          <w:rFonts w:hint="eastAsia" w:ascii="Times New Roman" w:hAnsi="Times New Roman" w:eastAsia="仿宋_GB2312" w:cs="仿宋_GB2312"/>
          <w:snapToGrid/>
          <w:color w:val="auto"/>
          <w:spacing w:val="0"/>
          <w:kern w:val="2"/>
          <w:sz w:val="32"/>
          <w:szCs w:val="32"/>
        </w:rPr>
        <w:t>稳链</w:t>
      </w:r>
      <w:r>
        <w:rPr>
          <w:rFonts w:hint="eastAsia" w:ascii="Times New Roman" w:hAnsi="Times New Roman" w:eastAsia="仿宋_GB2312" w:cs="仿宋_GB2312"/>
          <w:snapToGrid/>
          <w:color w:val="auto"/>
          <w:spacing w:val="0"/>
          <w:kern w:val="2"/>
          <w:sz w:val="32"/>
          <w:szCs w:val="32"/>
          <w:lang w:eastAsia="zh-CN"/>
        </w:rPr>
        <w:t>”“</w:t>
      </w:r>
      <w:r>
        <w:rPr>
          <w:rFonts w:hint="eastAsia" w:ascii="Times New Roman" w:hAnsi="Times New Roman" w:eastAsia="仿宋_GB2312" w:cs="仿宋_GB2312"/>
          <w:snapToGrid/>
          <w:color w:val="auto"/>
          <w:spacing w:val="0"/>
          <w:kern w:val="2"/>
          <w:sz w:val="32"/>
          <w:szCs w:val="32"/>
        </w:rPr>
        <w:t>护链</w:t>
      </w:r>
      <w:r>
        <w:rPr>
          <w:rFonts w:hint="eastAsia" w:ascii="Times New Roman" w:hAnsi="Times New Roman" w:eastAsia="仿宋_GB2312" w:cs="仿宋_GB2312"/>
          <w:snapToGrid/>
          <w:color w:val="auto"/>
          <w:spacing w:val="0"/>
          <w:kern w:val="2"/>
          <w:sz w:val="32"/>
          <w:szCs w:val="32"/>
          <w:lang w:eastAsia="zh-CN"/>
        </w:rPr>
        <w:t>”</w:t>
      </w:r>
      <w:r>
        <w:rPr>
          <w:rFonts w:hint="eastAsia" w:ascii="Times New Roman" w:hAnsi="Times New Roman" w:eastAsia="仿宋_GB2312" w:cs="仿宋_GB2312"/>
          <w:snapToGrid/>
          <w:color w:val="auto"/>
          <w:spacing w:val="0"/>
          <w:kern w:val="2"/>
          <w:sz w:val="32"/>
          <w:szCs w:val="32"/>
        </w:rPr>
        <w:t>工程。</w:t>
      </w:r>
      <w:r>
        <w:rPr>
          <w:rFonts w:hint="eastAsia" w:ascii="Times New Roman" w:hAnsi="Times New Roman" w:eastAsia="仿宋_GB2312" w:cs="Times New Roman"/>
          <w:bCs w:val="0"/>
          <w:snapToGrid/>
          <w:color w:val="auto"/>
          <w:kern w:val="2"/>
          <w:sz w:val="32"/>
          <w:szCs w:val="24"/>
          <w:lang w:val="en-US" w:eastAsia="zh-CN" w:bidi="ar-SA"/>
        </w:rPr>
        <w:t>提升招商引资质效，</w:t>
      </w:r>
      <w:r>
        <w:rPr>
          <w:rFonts w:hint="default" w:ascii="Times New Roman" w:hAnsi="Times New Roman" w:eastAsia="仿宋_GB2312" w:cs="Times New Roman"/>
          <w:b w:val="0"/>
          <w:bCs/>
          <w:color w:val="auto"/>
          <w:sz w:val="32"/>
          <w:szCs w:val="32"/>
          <w:highlight w:val="none"/>
          <w:lang w:eastAsia="zh-CN"/>
        </w:rPr>
        <w:t>健全</w:t>
      </w:r>
      <w:r>
        <w:rPr>
          <w:rFonts w:hint="default" w:ascii="Times New Roman" w:hAnsi="Times New Roman" w:eastAsia="仿宋_GB2312" w:cs="Times New Roman"/>
          <w:b w:val="0"/>
          <w:bCs/>
          <w:color w:val="auto"/>
          <w:sz w:val="32"/>
          <w:szCs w:val="32"/>
          <w:highlight w:val="none"/>
        </w:rPr>
        <w:t>产业服务保障机制</w:t>
      </w:r>
      <w:r>
        <w:rPr>
          <w:rFonts w:hint="eastAsia" w:ascii="Times New Roman" w:hAnsi="Times New Roman" w:eastAsia="仿宋_GB2312" w:cs="Times New Roman"/>
          <w:bCs w:val="0"/>
          <w:snapToGrid/>
          <w:color w:val="auto"/>
          <w:kern w:val="2"/>
          <w:sz w:val="32"/>
          <w:szCs w:val="24"/>
          <w:lang w:val="en-US" w:eastAsia="zh-CN" w:bidi="ar-SA"/>
        </w:rPr>
        <w:t>，大力引进一批链主企业、总部企业、高新企业。</w:t>
      </w:r>
    </w:p>
    <w:p w14:paraId="75F5201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Style w:val="11"/>
          <w:rFonts w:hint="eastAsia" w:ascii="黑体" w:hAnsi="黑体" w:eastAsia="黑体" w:cs="黑体"/>
          <w:b w:val="0"/>
          <w:bCs/>
          <w:i w:val="0"/>
          <w:caps w:val="0"/>
          <w:snapToGrid/>
          <w:color w:val="333333"/>
          <w:spacing w:val="8"/>
          <w:kern w:val="2"/>
          <w:sz w:val="32"/>
          <w:szCs w:val="32"/>
          <w:shd w:val="clear" w:color="auto" w:fill="FFFFFF"/>
          <w:lang w:val="en-US" w:eastAsia="zh-CN" w:bidi="ar-SA"/>
        </w:rPr>
      </w:pPr>
      <w:r>
        <w:rPr>
          <w:rStyle w:val="11"/>
          <w:rFonts w:hint="eastAsia" w:ascii="黑体" w:hAnsi="黑体" w:eastAsia="黑体" w:cs="黑体"/>
          <w:b w:val="0"/>
          <w:bCs/>
          <w:i w:val="0"/>
          <w:caps w:val="0"/>
          <w:snapToGrid/>
          <w:color w:val="333333"/>
          <w:spacing w:val="8"/>
          <w:kern w:val="2"/>
          <w:sz w:val="32"/>
          <w:szCs w:val="32"/>
          <w:shd w:val="clear" w:color="auto" w:fill="FFFFFF"/>
          <w:lang w:val="en-US" w:eastAsia="zh-CN" w:bidi="ar-SA"/>
        </w:rPr>
        <w:t>三、重点任务</w:t>
      </w:r>
    </w:p>
    <w:p w14:paraId="57D6C3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napToGrid w:val="0"/>
          <w:color w:val="auto"/>
          <w:kern w:val="2"/>
          <w:sz w:val="32"/>
          <w:szCs w:val="32"/>
          <w:lang w:val="en-US" w:eastAsia="zh-CN"/>
        </w:rPr>
      </w:pPr>
      <w:r>
        <w:rPr>
          <w:rFonts w:hint="eastAsia" w:ascii="楷体_GB2312" w:hAnsi="楷体_GB2312" w:eastAsia="楷体_GB2312" w:cs="楷体_GB2312"/>
          <w:snapToGrid w:val="0"/>
          <w:color w:val="auto"/>
          <w:kern w:val="2"/>
          <w:sz w:val="32"/>
          <w:szCs w:val="32"/>
          <w:lang w:val="en-US" w:eastAsia="zh-CN"/>
        </w:rPr>
        <w:t>（一）加快</w:t>
      </w:r>
      <w:r>
        <w:rPr>
          <w:rFonts w:hint="default" w:ascii="楷体_GB2312" w:hAnsi="楷体_GB2312" w:eastAsia="楷体_GB2312" w:cs="楷体_GB2312"/>
          <w:snapToGrid w:val="0"/>
          <w:color w:val="auto"/>
          <w:kern w:val="2"/>
          <w:sz w:val="32"/>
          <w:szCs w:val="32"/>
          <w:lang w:val="en-US" w:eastAsia="zh-CN"/>
        </w:rPr>
        <w:t>发展现代产业体系</w:t>
      </w:r>
    </w:p>
    <w:p w14:paraId="25862E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napToGrid/>
          <w:color w:val="auto"/>
          <w:kern w:val="0"/>
          <w:sz w:val="32"/>
          <w:szCs w:val="32"/>
          <w:u w:val="none"/>
          <w:lang w:val="en-US" w:eastAsia="zh-CN" w:bidi="ar"/>
        </w:rPr>
      </w:pPr>
      <w:r>
        <w:rPr>
          <w:rFonts w:hint="eastAsia" w:ascii="Times New Roman" w:hAnsi="Times New Roman" w:eastAsia="仿宋_GB2312" w:cs="Times New Roman"/>
          <w:b w:val="0"/>
          <w:bCs w:val="0"/>
          <w:snapToGrid/>
          <w:color w:val="auto"/>
          <w:kern w:val="0"/>
          <w:sz w:val="32"/>
          <w:szCs w:val="32"/>
          <w:u w:val="none"/>
          <w:lang w:val="en-US" w:eastAsia="zh-CN" w:bidi="ar"/>
        </w:rPr>
        <w:t>1.</w:t>
      </w:r>
      <w:r>
        <w:rPr>
          <w:rFonts w:hint="eastAsia" w:ascii="Times New Roman" w:hAnsi="Times New Roman" w:eastAsia="仿宋_GB2312" w:cs="Times New Roman"/>
          <w:snapToGrid/>
          <w:color w:val="auto"/>
          <w:kern w:val="2"/>
          <w:sz w:val="32"/>
          <w:szCs w:val="24"/>
          <w:lang w:val="en-US" w:eastAsia="zh-CN"/>
        </w:rPr>
        <w:t>推动产业强区建设。东川区将深入贯彻落实《云南省产业强省三年行动》、《昆明市产业强市三年行动》，坚定不移地大抓产业、主抓工业，以“链长制”为抓手，统筹推进重点产业链加速发展，坚持做</w:t>
      </w:r>
      <w:r>
        <w:rPr>
          <w:rFonts w:hint="eastAsia" w:ascii="Times New Roman" w:hAnsi="Times New Roman" w:eastAsia="仿宋_GB2312" w:cs="Times New Roman"/>
          <w:b w:val="0"/>
          <w:bCs w:val="0"/>
          <w:snapToGrid/>
          <w:color w:val="auto"/>
          <w:kern w:val="0"/>
          <w:sz w:val="32"/>
          <w:szCs w:val="32"/>
          <w:u w:val="none"/>
          <w:lang w:val="en-US" w:eastAsia="zh-CN" w:bidi="ar"/>
        </w:rPr>
        <w:t>强工业、做优农业、做活文旅、做靓生态“四轮驱动”</w:t>
      </w:r>
      <w:r>
        <w:rPr>
          <w:rFonts w:hint="eastAsia" w:ascii="Times New Roman" w:hAnsi="Times New Roman" w:eastAsia="仿宋_GB2312" w:cs="Times New Roman"/>
          <w:snapToGrid/>
          <w:color w:val="auto"/>
          <w:kern w:val="2"/>
          <w:sz w:val="32"/>
          <w:szCs w:val="24"/>
          <w:lang w:val="en-US" w:eastAsia="zh-CN"/>
        </w:rPr>
        <w:t>，</w:t>
      </w:r>
      <w:r>
        <w:rPr>
          <w:rFonts w:hint="eastAsia" w:ascii="Times New Roman" w:hAnsi="Times New Roman" w:eastAsia="仿宋_GB2312" w:cs="Times New Roman"/>
          <w:snapToGrid/>
          <w:color w:val="auto"/>
          <w:kern w:val="0"/>
          <w:sz w:val="32"/>
          <w:szCs w:val="32"/>
          <w:u w:val="none"/>
          <w:lang w:val="en-US" w:eastAsia="zh-CN" w:bidi="ar"/>
        </w:rPr>
        <w:t>加快</w:t>
      </w:r>
      <w:r>
        <w:rPr>
          <w:rFonts w:hint="eastAsia" w:ascii="Times New Roman" w:hAnsi="Times New Roman" w:eastAsia="仿宋_GB2312" w:cs="Times New Roman"/>
          <w:b w:val="0"/>
          <w:bCs w:val="0"/>
          <w:snapToGrid/>
          <w:color w:val="auto"/>
          <w:kern w:val="0"/>
          <w:sz w:val="32"/>
          <w:szCs w:val="32"/>
          <w:u w:val="none"/>
          <w:lang w:val="en-US" w:eastAsia="zh-CN" w:bidi="ar"/>
        </w:rPr>
        <w:t>确保铜基新材料、新能源材料、稀贵金属材料、新型建材、再生资源加工等产业链取得明显成效，绿色食品、文旅、康养、商贸物流、装备制造、数字经济等产业链取得明显突破。</w:t>
      </w:r>
    </w:p>
    <w:p w14:paraId="11D7D14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：区发展改革局</w:t>
      </w:r>
    </w:p>
    <w:p w14:paraId="2432DEF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：产业环境专项组</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各成员</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单位</w:t>
      </w:r>
    </w:p>
    <w:p w14:paraId="4D0E5CC5">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color w:val="auto"/>
          <w:kern w:val="0"/>
          <w:sz w:val="32"/>
          <w:szCs w:val="32"/>
          <w:u w:val="none"/>
          <w:lang w:eastAsia="zh-CN" w:bidi="ar"/>
        </w:rPr>
      </w:pPr>
      <w:r>
        <w:rPr>
          <w:rFonts w:hint="eastAsia" w:ascii="Times New Roman" w:hAnsi="Times New Roman" w:eastAsia="仿宋_GB2312" w:cs="Times New Roman"/>
          <w:b w:val="0"/>
          <w:bCs w:val="0"/>
          <w:snapToGrid/>
          <w:color w:val="auto"/>
          <w:kern w:val="0"/>
          <w:sz w:val="32"/>
          <w:szCs w:val="32"/>
          <w:u w:val="none"/>
          <w:lang w:val="en-US" w:eastAsia="zh-CN" w:bidi="ar"/>
        </w:rPr>
        <w:t>2.实施重大项目建设。围绕重点产业链，精心谋划一批打基础利长远的大项目、好项目，绘制产业链图谱，为争取项目资金、招商引资做足充分准备。</w:t>
      </w:r>
      <w:r>
        <w:rPr>
          <w:rFonts w:hint="default" w:ascii="Times New Roman" w:hAnsi="Times New Roman" w:eastAsia="仿宋_GB2312" w:cs="Times New Roman"/>
          <w:b w:val="0"/>
          <w:bCs w:val="0"/>
          <w:snapToGrid/>
          <w:color w:val="auto"/>
          <w:kern w:val="0"/>
          <w:sz w:val="32"/>
          <w:szCs w:val="32"/>
          <w:u w:val="none"/>
          <w:lang w:eastAsia="zh-CN" w:bidi="ar"/>
        </w:rPr>
        <w:t>培育区域优势产业集群，加快形成以数字经济为引领、现代服务业为主导、先进制造业为支撑、现代农业为基础的现代产业体系。厘清东川土地存量、环境容量政策措施等要素保障家底，突出投资强度、亩均效益和科创能力，重点对接央企国企、行业龙头和三类“500强”，“引资、引技、引智”三位一体，精准招引一批投资强度高、产出效益高、科技含量高、产业关联度高的引擎性项目</w:t>
      </w:r>
      <w:r>
        <w:rPr>
          <w:rFonts w:hint="eastAsia" w:ascii="Times New Roman" w:hAnsi="Times New Roman" w:eastAsia="仿宋_GB2312" w:cs="Times New Roman"/>
          <w:b w:val="0"/>
          <w:bCs w:val="0"/>
          <w:snapToGrid/>
          <w:color w:val="auto"/>
          <w:kern w:val="0"/>
          <w:sz w:val="32"/>
          <w:szCs w:val="32"/>
          <w:u w:val="none"/>
          <w:lang w:eastAsia="zh-CN" w:bidi="ar"/>
        </w:rPr>
        <w:t>，</w:t>
      </w:r>
      <w:r>
        <w:rPr>
          <w:rFonts w:hint="default" w:ascii="Times New Roman" w:hAnsi="Times New Roman" w:eastAsia="仿宋_GB2312" w:cs="Times New Roman"/>
          <w:b w:val="0"/>
          <w:bCs w:val="0"/>
          <w:snapToGrid/>
          <w:color w:val="auto"/>
          <w:kern w:val="0"/>
          <w:sz w:val="32"/>
          <w:szCs w:val="32"/>
          <w:u w:val="none"/>
          <w:lang w:eastAsia="zh-CN" w:bidi="ar"/>
        </w:rPr>
        <w:t>加强推进产业类项目建设。</w:t>
      </w:r>
    </w:p>
    <w:p w14:paraId="3C4EEBB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：区发展改革局</w:t>
      </w:r>
    </w:p>
    <w:p w14:paraId="6B56EC9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：产业环境专项组</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各成员</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单位</w:t>
      </w:r>
    </w:p>
    <w:p w14:paraId="2478CC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napToGrid w:val="0"/>
          <w:color w:val="auto"/>
          <w:kern w:val="2"/>
          <w:sz w:val="32"/>
          <w:szCs w:val="32"/>
          <w:lang w:val="en-US" w:eastAsia="zh-CN"/>
        </w:rPr>
      </w:pPr>
      <w:r>
        <w:rPr>
          <w:rFonts w:hint="eastAsia" w:ascii="楷体_GB2312" w:hAnsi="楷体_GB2312" w:eastAsia="楷体_GB2312" w:cs="楷体_GB2312"/>
          <w:snapToGrid w:val="0"/>
          <w:color w:val="auto"/>
          <w:kern w:val="2"/>
          <w:sz w:val="32"/>
          <w:szCs w:val="32"/>
          <w:lang w:val="en-US" w:eastAsia="zh-CN"/>
        </w:rPr>
        <w:t>（二）</w:t>
      </w:r>
      <w:r>
        <w:rPr>
          <w:rFonts w:hint="default" w:ascii="楷体_GB2312" w:hAnsi="楷体_GB2312" w:eastAsia="楷体_GB2312" w:cs="楷体_GB2312"/>
          <w:snapToGrid w:val="0"/>
          <w:color w:val="auto"/>
          <w:kern w:val="2"/>
          <w:sz w:val="32"/>
          <w:szCs w:val="32"/>
          <w:lang w:val="en-US" w:eastAsia="zh-CN"/>
        </w:rPr>
        <w:t>大力加强绿色工业建设</w:t>
      </w:r>
    </w:p>
    <w:p w14:paraId="2500AC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lang w:val="en-US" w:eastAsia="zh-CN"/>
        </w:rPr>
      </w:pPr>
      <w:r>
        <w:rPr>
          <w:rFonts w:hint="eastAsia" w:ascii="Times New Roman" w:hAnsi="Times New Roman" w:eastAsia="仿宋_GB2312" w:cs="Times New Roman"/>
          <w:b w:val="0"/>
          <w:color w:val="auto"/>
          <w:sz w:val="32"/>
          <w:szCs w:val="32"/>
          <w:highlight w:val="none"/>
          <w:lang w:val="en-US" w:eastAsia="zh-CN"/>
        </w:rPr>
        <w:t>3.实施“工业强区”战略。</w:t>
      </w:r>
      <w:r>
        <w:rPr>
          <w:rFonts w:hint="default" w:ascii="Times New Roman" w:hAnsi="Times New Roman" w:eastAsia="仿宋_GB2312" w:cs="Times New Roman"/>
          <w:b w:val="0"/>
          <w:color w:val="auto"/>
          <w:sz w:val="32"/>
          <w:szCs w:val="32"/>
          <w:highlight w:val="none"/>
          <w:lang w:val="en-US" w:eastAsia="zh-CN"/>
        </w:rPr>
        <w:t>推动涉矿企业逐步走向绿色、循环、低碳发展模式。牢固树立</w:t>
      </w:r>
      <w:r>
        <w:rPr>
          <w:rFonts w:hint="eastAsia"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lang w:val="en-US" w:eastAsia="zh-CN"/>
        </w:rPr>
        <w:t>园区强则工业强、工业兴则东川兴</w:t>
      </w:r>
      <w:r>
        <w:rPr>
          <w:rFonts w:hint="eastAsia"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lang w:val="en-US" w:eastAsia="zh-CN"/>
        </w:rPr>
        <w:t>的理念</w:t>
      </w:r>
      <w:r>
        <w:rPr>
          <w:rFonts w:hint="default" w:ascii="Times New Roman" w:hAnsi="Times New Roman" w:eastAsia="仿宋_GB2312" w:cs="Times New Roman"/>
          <w:b w:val="0"/>
          <w:color w:val="auto"/>
          <w:sz w:val="32"/>
          <w:szCs w:val="32"/>
          <w:highlight w:val="none"/>
          <w:lang w:eastAsia="zh-CN"/>
        </w:rPr>
        <w:t>，打造绿色新型工业产业链和产业集群，鼓励优势选矿厂兼并重组，</w:t>
      </w:r>
      <w:r>
        <w:rPr>
          <w:rFonts w:hint="default" w:ascii="Times New Roman" w:hAnsi="Times New Roman" w:eastAsia="仿宋_GB2312" w:cs="Times New Roman"/>
          <w:b w:val="0"/>
          <w:color w:val="auto"/>
          <w:sz w:val="32"/>
          <w:szCs w:val="32"/>
          <w:highlight w:val="none"/>
          <w:lang w:val="en-US" w:eastAsia="zh-CN"/>
        </w:rPr>
        <w:t>围绕铜基新材料、稀贵金属、新型建材等产业链延链、强链、补链，力争到2024年全区规模以上工业总产值300亿元以上、工业增加值达40亿元以上，园区主营业务收入达200亿元。</w:t>
      </w:r>
    </w:p>
    <w:p w14:paraId="7E8CA2A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工科信</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08DFB36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val="en-US"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园区管委会</w:t>
      </w:r>
    </w:p>
    <w:p w14:paraId="1966B52C">
      <w:pPr>
        <w:keepNext w:val="0"/>
        <w:keepLines w:val="0"/>
        <w:pageBreakBefore w:val="0"/>
        <w:kinsoku/>
        <w:wordWrap/>
        <w:overflowPunct/>
        <w:autoSpaceDN/>
        <w:bidi w:val="0"/>
        <w:spacing w:line="560" w:lineRule="exact"/>
        <w:ind w:firstLine="640" w:firstLineChars="200"/>
        <w:textAlignment w:val="auto"/>
        <w:rPr>
          <w:rFonts w:hint="eastAsia" w:ascii="CESI仿宋-GB2312" w:hAnsi="CESI仿宋-GB2312" w:eastAsia="CESI仿宋-GB2312" w:cs="CESI仿宋-GB2312"/>
          <w:bCs/>
          <w:i w:val="0"/>
          <w:iCs w:val="0"/>
          <w:caps w:val="0"/>
          <w:color w:val="auto"/>
          <w:spacing w:val="0"/>
          <w:kern w:val="2"/>
          <w:sz w:val="32"/>
          <w:szCs w:val="32"/>
          <w:shd w:val="clear" w:color="auto" w:fill="FFFFFF"/>
          <w:lang w:val="en-US" w:eastAsia="zh-CN" w:bidi="ar-SA"/>
        </w:rPr>
      </w:pPr>
      <w:r>
        <w:rPr>
          <w:rFonts w:hint="eastAsia" w:ascii="Times New Roman" w:hAnsi="Times New Roman" w:eastAsia="仿宋_GB2312" w:cs="Times New Roman"/>
          <w:b w:val="0"/>
          <w:color w:val="auto"/>
          <w:sz w:val="32"/>
          <w:szCs w:val="32"/>
          <w:highlight w:val="none"/>
          <w:lang w:val="en-US" w:eastAsia="zh-CN"/>
        </w:rPr>
        <w:t>4.加快推进</w:t>
      </w:r>
      <w:r>
        <w:rPr>
          <w:rFonts w:hint="default" w:ascii="Times New Roman" w:hAnsi="Times New Roman" w:eastAsia="仿宋_GB2312" w:cs="Times New Roman"/>
          <w:b w:val="0"/>
          <w:color w:val="auto"/>
          <w:sz w:val="32"/>
          <w:szCs w:val="32"/>
          <w:highlight w:val="none"/>
          <w:lang w:val="en-US" w:eastAsia="zh-CN"/>
        </w:rPr>
        <w:t>园区</w:t>
      </w:r>
      <w:r>
        <w:rPr>
          <w:rFonts w:hint="eastAsia" w:ascii="Times New Roman" w:hAnsi="Times New Roman" w:eastAsia="仿宋_GB2312" w:cs="Times New Roman"/>
          <w:b w:val="0"/>
          <w:color w:val="auto"/>
          <w:sz w:val="32"/>
          <w:szCs w:val="32"/>
          <w:highlight w:val="none"/>
          <w:lang w:val="en-US" w:eastAsia="zh-CN"/>
        </w:rPr>
        <w:t>建设。</w:t>
      </w:r>
      <w:r>
        <w:rPr>
          <w:rFonts w:hint="default" w:ascii="Times New Roman" w:hAnsi="Times New Roman" w:eastAsia="仿宋_GB2312" w:cs="Times New Roman"/>
          <w:color w:val="auto"/>
          <w:sz w:val="32"/>
          <w:szCs w:val="32"/>
          <w:highlight w:val="none"/>
          <w:lang w:eastAsia="zh-CN"/>
        </w:rPr>
        <w:t>加快园区总规、规划环评过审，</w:t>
      </w:r>
      <w:r>
        <w:rPr>
          <w:rFonts w:hint="default" w:ascii="Times New Roman" w:hAnsi="Times New Roman" w:eastAsia="仿宋_GB2312" w:cs="Times New Roman"/>
          <w:color w:val="auto"/>
          <w:sz w:val="32"/>
          <w:szCs w:val="32"/>
          <w:highlight w:val="none"/>
        </w:rPr>
        <w:t>实施园区高质量发展三年行动计划，争取省级化工园区年内获批。持续推进“五好园区”建设，盘活</w:t>
      </w:r>
      <w:r>
        <w:rPr>
          <w:rFonts w:hint="default" w:ascii="Times New Roman" w:hAnsi="Times New Roman" w:eastAsia="仿宋_GB2312" w:cs="Times New Roman"/>
          <w:color w:val="auto"/>
          <w:sz w:val="32"/>
          <w:szCs w:val="32"/>
          <w:highlight w:val="none"/>
          <w:lang w:val="en-US" w:eastAsia="zh-CN"/>
        </w:rPr>
        <w:t>土地厂房，</w:t>
      </w:r>
      <w:r>
        <w:rPr>
          <w:rFonts w:hint="default" w:ascii="Times New Roman" w:hAnsi="Times New Roman" w:eastAsia="仿宋_GB2312" w:cs="Times New Roman"/>
          <w:color w:val="auto"/>
          <w:sz w:val="32"/>
          <w:szCs w:val="32"/>
          <w:highlight w:val="none"/>
          <w:lang w:eastAsia="zh-CN"/>
        </w:rPr>
        <w:t>年内完成</w:t>
      </w:r>
      <w:r>
        <w:rPr>
          <w:rFonts w:hint="default" w:ascii="Times New Roman" w:hAnsi="Times New Roman" w:eastAsia="仿宋_GB2312" w:cs="Times New Roman"/>
          <w:color w:val="auto"/>
          <w:sz w:val="32"/>
          <w:szCs w:val="32"/>
          <w:highlight w:val="none"/>
        </w:rPr>
        <w:t>出清僵尸企业5户。</w:t>
      </w:r>
      <w:r>
        <w:rPr>
          <w:rFonts w:hint="eastAsia" w:ascii="Times New Roman" w:hAnsi="Times New Roman" w:eastAsia="仿宋_GB2312" w:cs="Times New Roman"/>
          <w:bCs w:val="0"/>
          <w:color w:val="auto"/>
          <w:kern w:val="2"/>
          <w:sz w:val="32"/>
          <w:szCs w:val="24"/>
          <w:lang w:val="en-US" w:eastAsia="zh-CN" w:bidi="ar-SA"/>
        </w:rPr>
        <w:t>进一步优化园区管理体制和运营模式，科学合理确定园区主导产业，</w:t>
      </w:r>
      <w:r>
        <w:rPr>
          <w:rFonts w:hint="eastAsia" w:ascii="CESI仿宋-GB2312" w:hAnsi="CESI仿宋-GB2312" w:eastAsia="CESI仿宋-GB2312" w:cs="CESI仿宋-GB2312"/>
          <w:bCs/>
          <w:i w:val="0"/>
          <w:iCs w:val="0"/>
          <w:caps w:val="0"/>
          <w:color w:val="auto"/>
          <w:spacing w:val="0"/>
          <w:kern w:val="2"/>
          <w:sz w:val="32"/>
          <w:szCs w:val="32"/>
          <w:shd w:val="clear" w:color="auto" w:fill="FFFFFF"/>
          <w:lang w:val="en-US" w:eastAsia="zh-CN" w:bidi="ar-SA"/>
        </w:rPr>
        <w:t>推动链式发展，以产业招商，以产业换资源，进一步加大新兴产业导入力度</w:t>
      </w:r>
      <w:r>
        <w:rPr>
          <w:rFonts w:hint="eastAsia" w:ascii="Times New Roman" w:hAnsi="Times New Roman" w:eastAsia="仿宋_GB2312" w:cs="Times New Roman"/>
          <w:bCs w:val="0"/>
          <w:color w:val="auto"/>
          <w:kern w:val="2"/>
          <w:sz w:val="32"/>
          <w:szCs w:val="24"/>
          <w:lang w:val="en-US" w:eastAsia="zh-CN" w:bidi="ar-SA"/>
        </w:rPr>
        <w:t>。加快补齐园区基础配套短板，提升配套服务水平</w:t>
      </w:r>
      <w:r>
        <w:rPr>
          <w:rFonts w:hint="eastAsia" w:ascii="CESI仿宋-GB2312" w:hAnsi="CESI仿宋-GB2312" w:eastAsia="CESI仿宋-GB2312" w:cs="CESI仿宋-GB2312"/>
          <w:bCs/>
          <w:i w:val="0"/>
          <w:iCs w:val="0"/>
          <w:caps w:val="0"/>
          <w:color w:val="auto"/>
          <w:spacing w:val="0"/>
          <w:kern w:val="2"/>
          <w:sz w:val="32"/>
          <w:szCs w:val="32"/>
          <w:shd w:val="clear" w:color="auto" w:fill="FFFFFF"/>
          <w:lang w:val="en-US" w:eastAsia="zh-CN" w:bidi="ar-SA"/>
        </w:rPr>
        <w:t>。</w:t>
      </w:r>
    </w:p>
    <w:p w14:paraId="762583A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工科信</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3E66B3E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val="en-US"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园区管委会</w:t>
      </w:r>
    </w:p>
    <w:p w14:paraId="5BF789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napToGrid w:val="0"/>
          <w:color w:val="auto"/>
          <w:kern w:val="2"/>
          <w:sz w:val="32"/>
          <w:szCs w:val="32"/>
          <w:lang w:val="en-US" w:eastAsia="zh-CN"/>
        </w:rPr>
      </w:pPr>
      <w:r>
        <w:rPr>
          <w:rFonts w:hint="eastAsia" w:ascii="楷体_GB2312" w:hAnsi="楷体_GB2312" w:eastAsia="楷体_GB2312" w:cs="楷体_GB2312"/>
          <w:snapToGrid w:val="0"/>
          <w:color w:val="auto"/>
          <w:kern w:val="2"/>
          <w:sz w:val="32"/>
          <w:szCs w:val="32"/>
          <w:lang w:val="en-US" w:eastAsia="zh-CN"/>
        </w:rPr>
        <w:t>（三）</w:t>
      </w:r>
      <w:r>
        <w:rPr>
          <w:rFonts w:hint="default" w:ascii="楷体_GB2312" w:hAnsi="楷体_GB2312" w:eastAsia="楷体_GB2312" w:cs="楷体_GB2312"/>
          <w:snapToGrid w:val="0"/>
          <w:color w:val="auto"/>
          <w:kern w:val="2"/>
          <w:sz w:val="32"/>
          <w:szCs w:val="32"/>
          <w:lang w:val="en-US" w:eastAsia="zh-CN"/>
        </w:rPr>
        <w:t>扎实推进东川区产业链建设</w:t>
      </w:r>
    </w:p>
    <w:p w14:paraId="3D77A9AA">
      <w:pPr>
        <w:keepNext w:val="0"/>
        <w:keepLines w:val="0"/>
        <w:pageBreakBefore w:val="0"/>
        <w:kinsoku/>
        <w:wordWrap/>
        <w:overflowPunct/>
        <w:autoSpaceDN/>
        <w:bidi w:val="0"/>
        <w:spacing w:line="560" w:lineRule="exact"/>
        <w:ind w:firstLine="640" w:firstLineChars="200"/>
        <w:textAlignment w:val="auto"/>
        <w:rPr>
          <w:rFonts w:hint="default" w:ascii="Times New Roman" w:hAnsi="Times New Roman" w:eastAsia="仿宋_GB2312" w:cs="Times New Roman"/>
          <w:b w:val="0"/>
          <w:color w:val="auto"/>
          <w:sz w:val="32"/>
          <w:szCs w:val="32"/>
          <w:highlight w:val="none"/>
        </w:rPr>
      </w:pPr>
      <w:r>
        <w:rPr>
          <w:rFonts w:hint="eastAsia" w:ascii="Times New Roman" w:hAnsi="Times New Roman" w:eastAsia="仿宋_GB2312" w:cs="Times New Roman"/>
          <w:b w:val="0"/>
          <w:snapToGrid w:val="0"/>
          <w:color w:val="auto"/>
          <w:spacing w:val="0"/>
          <w:w w:val="100"/>
          <w:kern w:val="10"/>
          <w:sz w:val="32"/>
          <w:szCs w:val="32"/>
          <w:lang w:val="en-US" w:eastAsia="zh-CN"/>
        </w:rPr>
        <w:t>5.</w:t>
      </w:r>
      <w:r>
        <w:rPr>
          <w:rFonts w:hint="default" w:ascii="Times New Roman" w:hAnsi="Times New Roman" w:eastAsia="仿宋_GB2312" w:cs="Times New Roman"/>
          <w:b w:val="0"/>
          <w:snapToGrid w:val="0"/>
          <w:color w:val="auto"/>
          <w:spacing w:val="0"/>
          <w:w w:val="100"/>
          <w:kern w:val="10"/>
          <w:sz w:val="32"/>
          <w:szCs w:val="32"/>
          <w:lang w:eastAsia="zh-CN"/>
        </w:rPr>
        <w:t>着力打造</w:t>
      </w:r>
      <w:r>
        <w:rPr>
          <w:rFonts w:hint="default" w:ascii="Times New Roman" w:hAnsi="Times New Roman" w:eastAsia="仿宋_GB2312" w:cs="Times New Roman"/>
          <w:b w:val="0"/>
          <w:color w:val="auto"/>
          <w:sz w:val="32"/>
          <w:szCs w:val="32"/>
          <w:highlight w:val="none"/>
        </w:rPr>
        <w:t>东川区13条产业链。围绕13条产业链明确重大项目引进、重点企业培育、重点项目建设、关键人才引进等任务。深入实施产业链补链强链工程、重大技术改造工程、智能制造工程、服务型制造工程，打好产业基础高级化、产业链现代化的攻坚战，推动全</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产业质量变革、效率变革、动力变革。加快发展战略性新兴产业，培育生物工程、信息技术、新材料、绿色环保等战略性新兴产业，积极布局人工智能、先进通信网络、生命健康、柔性电子、量子信息等未来产业，促进互联网、云计算、大数据、物联网等数字技术与产业深度融合，推动产业结构主动调整和引领调整，加快形成一批布局合理、重点突出、各具特色的产业集群。</w:t>
      </w:r>
    </w:p>
    <w:p w14:paraId="4FCC800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发展改革</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79D5A23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lang w:val="en-US"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：各产业链牵头</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和责任</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单位</w:t>
      </w:r>
    </w:p>
    <w:p w14:paraId="160B97E1">
      <w:pPr>
        <w:keepNext w:val="0"/>
        <w:keepLines w:val="0"/>
        <w:pageBreakBefore w:val="0"/>
        <w:numPr>
          <w:ilvl w:val="0"/>
          <w:numId w:val="0"/>
        </w:numPr>
        <w:kinsoku/>
        <w:wordWrap/>
        <w:overflowPunct/>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lang w:eastAsia="zh-CN"/>
        </w:rPr>
      </w:pPr>
      <w:r>
        <w:rPr>
          <w:rFonts w:hint="eastAsia" w:ascii="Times New Roman" w:hAnsi="Times New Roman" w:eastAsia="仿宋_GB2312" w:cs="Times New Roman"/>
          <w:bCs w:val="0"/>
          <w:color w:val="auto"/>
          <w:kern w:val="2"/>
          <w:sz w:val="32"/>
          <w:szCs w:val="24"/>
          <w:lang w:val="en-US" w:eastAsia="zh-CN" w:bidi="ar-SA"/>
        </w:rPr>
        <w:t>6.发展壮大新兴产业。</w:t>
      </w:r>
      <w:r>
        <w:rPr>
          <w:rFonts w:hint="default" w:ascii="Times New Roman" w:hAnsi="Times New Roman" w:eastAsia="仿宋_GB2312" w:cs="Times New Roman"/>
          <w:color w:val="000000"/>
          <w:kern w:val="0"/>
          <w:sz w:val="32"/>
          <w:szCs w:val="32"/>
          <w:highlight w:val="none"/>
          <w:lang w:eastAsia="zh-CN"/>
        </w:rPr>
        <w:t>以光伏资源为引导，以</w:t>
      </w:r>
      <w:r>
        <w:rPr>
          <w:rFonts w:hint="default" w:ascii="Times New Roman" w:hAnsi="Times New Roman" w:eastAsia="仿宋_GB2312" w:cs="Times New Roman"/>
          <w:color w:val="000000"/>
          <w:kern w:val="0"/>
          <w:sz w:val="32"/>
          <w:szCs w:val="32"/>
          <w:highlight w:val="none"/>
        </w:rPr>
        <w:t>宇泽半导体项目</w:t>
      </w:r>
      <w:r>
        <w:rPr>
          <w:rFonts w:hint="default" w:ascii="Times New Roman" w:hAnsi="Times New Roman" w:eastAsia="仿宋_GB2312" w:cs="Times New Roman"/>
          <w:color w:val="000000"/>
          <w:kern w:val="0"/>
          <w:sz w:val="32"/>
          <w:szCs w:val="32"/>
          <w:highlight w:val="none"/>
          <w:lang w:eastAsia="zh-CN"/>
        </w:rPr>
        <w:t>、安徽旭合科技光伏组件项目为核心构建新能源产业布局</w:t>
      </w:r>
      <w:r>
        <w:rPr>
          <w:rFonts w:hint="default" w:ascii="Times New Roman" w:hAnsi="Times New Roman" w:eastAsia="仿宋_GB2312" w:cs="Times New Roman"/>
          <w:color w:val="auto"/>
          <w:sz w:val="32"/>
          <w:szCs w:val="32"/>
          <w:highlight w:val="none"/>
          <w:lang w:eastAsia="zh-CN"/>
        </w:rPr>
        <w:t>，持续引进上下游产业补全新能源产业链，</w:t>
      </w:r>
      <w:r>
        <w:rPr>
          <w:rFonts w:hint="default" w:ascii="Times New Roman" w:hAnsi="Times New Roman" w:eastAsia="仿宋_GB2312" w:cs="Times New Roman"/>
          <w:color w:val="000000"/>
          <w:kern w:val="0"/>
          <w:sz w:val="32"/>
          <w:szCs w:val="32"/>
          <w:highlight w:val="none"/>
        </w:rPr>
        <w:t>推动新能源产业发展取得重大突破。</w:t>
      </w:r>
      <w:r>
        <w:rPr>
          <w:rFonts w:hint="default" w:ascii="Times New Roman" w:hAnsi="Times New Roman" w:eastAsia="仿宋_GB2312" w:cs="Times New Roman"/>
          <w:color w:val="000000"/>
          <w:kern w:val="0"/>
          <w:sz w:val="32"/>
          <w:szCs w:val="32"/>
          <w:highlight w:val="none"/>
          <w:lang w:eastAsia="zh-CN"/>
        </w:rPr>
        <w:t>围绕工业资源综合利用基地定位，推动再生资源回收利用产业发展，</w:t>
      </w:r>
      <w:r>
        <w:rPr>
          <w:rFonts w:hint="default" w:ascii="Times New Roman" w:hAnsi="Times New Roman" w:eastAsia="仿宋_GB2312" w:cs="Times New Roman"/>
          <w:bCs/>
          <w:color w:val="000000"/>
          <w:sz w:val="32"/>
          <w:szCs w:val="32"/>
          <w:highlight w:val="none"/>
        </w:rPr>
        <w:t>用好专债资金，保障推动奥宇34万吨/年、中利铝业10万吨/年等再生资源综合利用项目建成投产</w:t>
      </w:r>
      <w:r>
        <w:rPr>
          <w:rFonts w:hint="default" w:ascii="Times New Roman" w:hAnsi="Times New Roman" w:eastAsia="仿宋_GB2312" w:cs="Times New Roman"/>
          <w:color w:val="000000"/>
          <w:kern w:val="0"/>
          <w:sz w:val="32"/>
          <w:szCs w:val="32"/>
          <w:highlight w:val="none"/>
          <w:lang w:eastAsia="zh-CN"/>
        </w:rPr>
        <w:t>，构建工业资源回收利用产业生态。</w:t>
      </w:r>
    </w:p>
    <w:p w14:paraId="4CC1B96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发展改革</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4FA5C3F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区工科信局、园区管委会</w:t>
      </w:r>
    </w:p>
    <w:p w14:paraId="6302132F">
      <w:pPr>
        <w:keepNext w:val="0"/>
        <w:keepLines w:val="0"/>
        <w:pageBreakBefore w:val="0"/>
        <w:numPr>
          <w:ilvl w:val="0"/>
          <w:numId w:val="0"/>
        </w:numPr>
        <w:kinsoku/>
        <w:wordWrap/>
        <w:overflowPunct/>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000000"/>
          <w:kern w:val="0"/>
          <w:sz w:val="32"/>
          <w:szCs w:val="32"/>
          <w:highlight w:val="none"/>
          <w:lang w:val="en-US" w:eastAsia="zh-CN"/>
        </w:rPr>
        <w:t>7.改造升级传统产业。</w:t>
      </w:r>
      <w:r>
        <w:rPr>
          <w:rFonts w:hint="default" w:ascii="Times New Roman" w:hAnsi="Times New Roman" w:eastAsia="仿宋_GB2312" w:cs="Times New Roman"/>
          <w:color w:val="auto"/>
          <w:sz w:val="32"/>
          <w:szCs w:val="32"/>
          <w:highlight w:val="none"/>
        </w:rPr>
        <w:t>坚持传统产业转型升级和新兴产业培育“双轮”驱动，</w:t>
      </w:r>
      <w:r>
        <w:rPr>
          <w:rFonts w:hint="default"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bCs/>
          <w:color w:val="auto"/>
          <w:sz w:val="32"/>
          <w:szCs w:val="32"/>
          <w:highlight w:val="none"/>
        </w:rPr>
        <w:t>金水铜</w:t>
      </w:r>
      <w:r>
        <w:rPr>
          <w:rFonts w:hint="default" w:ascii="Times New Roman" w:hAnsi="Times New Roman" w:eastAsia="仿宋_GB2312" w:cs="Times New Roman"/>
          <w:color w:val="auto"/>
          <w:sz w:val="32"/>
          <w:szCs w:val="32"/>
          <w:highlight w:val="none"/>
        </w:rPr>
        <w:t>20万吨阴极铜等项目</w:t>
      </w:r>
      <w:r>
        <w:rPr>
          <w:rFonts w:hint="default" w:ascii="Times New Roman" w:hAnsi="Times New Roman" w:eastAsia="仿宋_GB2312" w:cs="Times New Roman"/>
          <w:color w:val="auto"/>
          <w:sz w:val="32"/>
          <w:szCs w:val="32"/>
          <w:highlight w:val="none"/>
          <w:lang w:eastAsia="zh-CN"/>
        </w:rPr>
        <w:t>为基础</w:t>
      </w:r>
      <w:r>
        <w:rPr>
          <w:rFonts w:hint="default" w:ascii="Times New Roman" w:hAnsi="Times New Roman" w:eastAsia="仿宋_GB2312" w:cs="Times New Roman"/>
          <w:color w:val="auto"/>
          <w:sz w:val="32"/>
          <w:szCs w:val="32"/>
          <w:highlight w:val="none"/>
        </w:rPr>
        <w:t>延伸铜产业链，</w:t>
      </w:r>
      <w:r>
        <w:rPr>
          <w:rFonts w:hint="default"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bCs/>
          <w:color w:val="auto"/>
          <w:sz w:val="32"/>
          <w:szCs w:val="32"/>
          <w:highlight w:val="none"/>
        </w:rPr>
        <w:t>川金诺磷酸铁锂</w:t>
      </w:r>
      <w:r>
        <w:rPr>
          <w:rFonts w:hint="default" w:ascii="Times New Roman" w:hAnsi="Times New Roman" w:eastAsia="仿宋_GB2312" w:cs="Times New Roman"/>
          <w:color w:val="auto"/>
          <w:sz w:val="32"/>
          <w:szCs w:val="32"/>
          <w:highlight w:val="none"/>
        </w:rPr>
        <w:t>项目</w:t>
      </w:r>
      <w:r>
        <w:rPr>
          <w:rFonts w:hint="default" w:ascii="Times New Roman" w:hAnsi="Times New Roman" w:eastAsia="仿宋_GB2312" w:cs="Times New Roman"/>
          <w:color w:val="auto"/>
          <w:sz w:val="32"/>
          <w:szCs w:val="32"/>
          <w:highlight w:val="none"/>
          <w:lang w:eastAsia="zh-CN"/>
        </w:rPr>
        <w:t>、白龙潭磷矿技术改造等工程为主体</w:t>
      </w:r>
      <w:r>
        <w:rPr>
          <w:rFonts w:hint="default" w:ascii="Times New Roman" w:hAnsi="Times New Roman" w:eastAsia="仿宋_GB2312" w:cs="Times New Roman"/>
          <w:color w:val="auto"/>
          <w:sz w:val="32"/>
          <w:szCs w:val="32"/>
          <w:highlight w:val="none"/>
        </w:rPr>
        <w:t>延伸磷化工产业链。</w:t>
      </w:r>
    </w:p>
    <w:p w14:paraId="75F0C621">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工科信</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031741D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val="en-US"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园区管委会</w:t>
      </w:r>
    </w:p>
    <w:p w14:paraId="63FF317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bCs w:val="0"/>
          <w:color w:val="auto"/>
          <w:kern w:val="2"/>
          <w:sz w:val="32"/>
          <w:szCs w:val="24"/>
          <w:lang w:val="en-US" w:eastAsia="zh-CN" w:bidi="ar-SA"/>
        </w:rPr>
      </w:pPr>
      <w:r>
        <w:rPr>
          <w:rFonts w:hint="eastAsia" w:ascii="Times New Roman" w:hAnsi="Times New Roman" w:eastAsia="仿宋_GB2312" w:cs="Times New Roman"/>
          <w:b w:val="0"/>
          <w:snapToGrid w:val="0"/>
          <w:color w:val="auto"/>
          <w:spacing w:val="0"/>
          <w:w w:val="100"/>
          <w:kern w:val="10"/>
          <w:sz w:val="32"/>
          <w:szCs w:val="32"/>
          <w:lang w:val="en-US" w:eastAsia="zh-CN"/>
        </w:rPr>
        <w:t>8.</w:t>
      </w:r>
      <w:r>
        <w:rPr>
          <w:rFonts w:hint="eastAsia" w:ascii="Times New Roman" w:hAnsi="Times New Roman" w:eastAsia="仿宋_GB2312" w:cs="Times New Roman"/>
          <w:b w:val="0"/>
          <w:color w:val="auto"/>
          <w:sz w:val="32"/>
          <w:szCs w:val="32"/>
          <w:highlight w:val="none"/>
          <w:lang w:val="en-US" w:eastAsia="zh-CN"/>
        </w:rPr>
        <w:t>提升科技创新能力。</w:t>
      </w:r>
      <w:r>
        <w:rPr>
          <w:rFonts w:hint="default" w:ascii="Times New Roman" w:hAnsi="Times New Roman" w:eastAsia="仿宋_GB2312" w:cs="Times New Roman"/>
          <w:b w:val="0"/>
          <w:color w:val="auto"/>
          <w:sz w:val="32"/>
          <w:szCs w:val="32"/>
          <w:highlight w:val="none"/>
        </w:rPr>
        <w:t>以绿色化、智能化、服务化为主攻方向，加快新一代信息技术与传统产业深度融合，引入新经济要素新技术实施技改，全面重塑传统产业新优势。</w:t>
      </w:r>
      <w:r>
        <w:rPr>
          <w:rFonts w:hint="eastAsia" w:ascii="Times New Roman" w:hAnsi="Times New Roman" w:eastAsia="仿宋_GB2312" w:cs="Times New Roman"/>
          <w:bCs w:val="0"/>
          <w:color w:val="auto"/>
          <w:kern w:val="2"/>
          <w:sz w:val="32"/>
          <w:szCs w:val="24"/>
          <w:lang w:val="en-US" w:eastAsia="zh-CN" w:bidi="ar-SA"/>
        </w:rPr>
        <w:t>强化企业创新主体地位，培育3户高新技术企业、2户专精特新企业。</w:t>
      </w:r>
    </w:p>
    <w:p w14:paraId="0DBD8DB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工科信</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730555E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lang w:val="en-US"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园区管委会、区科协</w:t>
      </w:r>
    </w:p>
    <w:p w14:paraId="19F0B4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napToGrid w:val="0"/>
          <w:color w:val="auto"/>
          <w:kern w:val="2"/>
          <w:sz w:val="32"/>
          <w:szCs w:val="32"/>
          <w:lang w:val="en-US" w:eastAsia="zh-CN"/>
        </w:rPr>
      </w:pPr>
      <w:r>
        <w:rPr>
          <w:rFonts w:hint="eastAsia" w:ascii="楷体_GB2312" w:hAnsi="楷体_GB2312" w:eastAsia="楷体_GB2312" w:cs="楷体_GB2312"/>
          <w:snapToGrid w:val="0"/>
          <w:color w:val="auto"/>
          <w:kern w:val="2"/>
          <w:sz w:val="32"/>
          <w:szCs w:val="32"/>
          <w:lang w:val="en-US" w:eastAsia="zh-CN"/>
        </w:rPr>
        <w:t>（四）</w:t>
      </w:r>
      <w:r>
        <w:rPr>
          <w:rFonts w:hint="default" w:ascii="楷体_GB2312" w:hAnsi="楷体_GB2312" w:eastAsia="楷体_GB2312" w:cs="楷体_GB2312"/>
          <w:snapToGrid w:val="0"/>
          <w:color w:val="auto"/>
          <w:kern w:val="2"/>
          <w:sz w:val="32"/>
          <w:szCs w:val="32"/>
          <w:lang w:val="en-US" w:eastAsia="zh-CN"/>
        </w:rPr>
        <w:t>健全产业服务保障机制</w:t>
      </w:r>
    </w:p>
    <w:p w14:paraId="5B98B8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eastAsia" w:ascii="Times New Roman" w:hAnsi="Times New Roman" w:eastAsia="仿宋_GB2312" w:cs="Times New Roman"/>
          <w:snapToGrid/>
          <w:color w:val="auto"/>
          <w:kern w:val="2"/>
          <w:sz w:val="32"/>
          <w:szCs w:val="24"/>
          <w:lang w:val="en-US" w:eastAsia="zh-CN"/>
        </w:rPr>
        <w:t>9.大力推进产业链招商。提升产业链发展能力，依托招商数据库平台，开展产业链上下游招商，实现信息共享、合力招商。</w:t>
      </w:r>
      <w:r>
        <w:rPr>
          <w:rFonts w:hint="eastAsia" w:ascii="Times New Roman" w:hAnsi="Times New Roman" w:eastAsia="仿宋_GB2312" w:cs="Times New Roman"/>
          <w:bCs w:val="0"/>
          <w:color w:val="auto"/>
          <w:kern w:val="2"/>
          <w:sz w:val="32"/>
          <w:szCs w:val="24"/>
          <w:lang w:val="en-US" w:eastAsia="zh-CN" w:bidi="ar-SA"/>
        </w:rPr>
        <w:t>坚持“一把手”带头招商，实施产业链招商、集群化招商，</w:t>
      </w:r>
      <w:r>
        <w:rPr>
          <w:rFonts w:hint="default" w:ascii="Times New Roman" w:hAnsi="Times New Roman" w:eastAsia="仿宋_GB2312" w:cs="Times New Roman"/>
          <w:b w:val="0"/>
          <w:color w:val="auto"/>
          <w:sz w:val="32"/>
          <w:szCs w:val="32"/>
          <w:highlight w:val="none"/>
        </w:rPr>
        <w:t>力争通过2</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highlight w:val="none"/>
        </w:rPr>
        <w:t>3年，各产业链面向行业30强企业招引落地3</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highlight w:val="none"/>
        </w:rPr>
        <w:t>5个重大投资项目，培育一批龙头骨干企业，一批关键技术、拳头产品达到国内先进水平。</w:t>
      </w:r>
    </w:p>
    <w:p w14:paraId="15BD463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商务投促</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3D0E7C7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：各产业链牵头</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和责任</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单位</w:t>
      </w:r>
    </w:p>
    <w:p w14:paraId="715AF614">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做好产业服务保障。</w:t>
      </w:r>
      <w:r>
        <w:rPr>
          <w:rFonts w:hint="default" w:ascii="Times New Roman" w:hAnsi="Times New Roman" w:eastAsia="仿宋_GB2312" w:cs="Times New Roman"/>
          <w:b w:val="0"/>
          <w:bCs w:val="0"/>
          <w:color w:val="auto"/>
          <w:sz w:val="32"/>
          <w:szCs w:val="32"/>
          <w:highlight w:val="none"/>
          <w:lang w:eastAsia="zh-CN"/>
        </w:rPr>
        <w:t>围绕</w:t>
      </w:r>
      <w:r>
        <w:rPr>
          <w:rFonts w:hint="default" w:ascii="Times New Roman" w:hAnsi="Times New Roman" w:eastAsia="仿宋_GB2312" w:cs="Times New Roman"/>
          <w:b w:val="0"/>
          <w:bCs w:val="0"/>
          <w:color w:val="auto"/>
          <w:sz w:val="32"/>
          <w:szCs w:val="32"/>
          <w:highlight w:val="none"/>
          <w:lang w:val="en-US" w:eastAsia="zh-CN"/>
        </w:rPr>
        <w:t>13条产业链，</w:t>
      </w:r>
      <w:r>
        <w:rPr>
          <w:rFonts w:hint="default" w:ascii="Times New Roman" w:hAnsi="Times New Roman" w:eastAsia="仿宋_GB2312" w:cs="Times New Roman"/>
          <w:b w:val="0"/>
          <w:bCs w:val="0"/>
          <w:color w:val="auto"/>
          <w:sz w:val="32"/>
          <w:szCs w:val="32"/>
          <w:highlight w:val="none"/>
        </w:rPr>
        <w:t>紧盯项目从招引、落地到建设、生产、经营、壮大等各环节、全过程，</w:t>
      </w:r>
      <w:r>
        <w:rPr>
          <w:rFonts w:hint="eastAsia" w:ascii="Times New Roman" w:hAnsi="Times New Roman" w:eastAsia="仿宋_GB2312" w:cs="Times New Roman"/>
          <w:b w:val="0"/>
          <w:bCs w:val="0"/>
          <w:color w:val="auto"/>
          <w:sz w:val="32"/>
          <w:szCs w:val="32"/>
          <w:highlight w:val="none"/>
          <w:lang w:eastAsia="zh-CN"/>
        </w:rPr>
        <w:t>建立</w:t>
      </w:r>
      <w:r>
        <w:rPr>
          <w:rFonts w:hint="default" w:ascii="Times New Roman" w:hAnsi="Times New Roman" w:eastAsia="仿宋_GB2312" w:cs="Times New Roman"/>
          <w:b w:val="0"/>
          <w:bCs w:val="0"/>
          <w:color w:val="auto"/>
          <w:sz w:val="32"/>
          <w:szCs w:val="32"/>
          <w:highlight w:val="none"/>
        </w:rPr>
        <w:t>重点产业项目“一对一”专员</w:t>
      </w:r>
      <w:r>
        <w:rPr>
          <w:rFonts w:hint="eastAsia" w:ascii="Times New Roman" w:hAnsi="Times New Roman" w:eastAsia="仿宋_GB2312" w:cs="Times New Roman"/>
          <w:b w:val="0"/>
          <w:bCs w:val="0"/>
          <w:color w:val="auto"/>
          <w:sz w:val="32"/>
          <w:szCs w:val="32"/>
          <w:highlight w:val="none"/>
          <w:lang w:eastAsia="zh-CN"/>
        </w:rPr>
        <w:t>、骨干企业服务专班，</w:t>
      </w:r>
      <w:r>
        <w:rPr>
          <w:rFonts w:hint="default" w:ascii="Times New Roman" w:hAnsi="Times New Roman" w:eastAsia="仿宋_GB2312" w:cs="Times New Roman"/>
          <w:b w:val="0"/>
          <w:bCs w:val="0"/>
          <w:color w:val="auto"/>
          <w:sz w:val="32"/>
          <w:szCs w:val="32"/>
          <w:highlight w:val="none"/>
        </w:rPr>
        <w:t>主动</w:t>
      </w:r>
      <w:r>
        <w:rPr>
          <w:rFonts w:hint="eastAsia" w:ascii="Times New Roman" w:hAnsi="Times New Roman" w:eastAsia="仿宋_GB2312" w:cs="Times New Roman"/>
          <w:b w:val="0"/>
          <w:bCs w:val="0"/>
          <w:color w:val="auto"/>
          <w:sz w:val="32"/>
          <w:szCs w:val="32"/>
          <w:highlight w:val="none"/>
          <w:lang w:eastAsia="zh-CN"/>
        </w:rPr>
        <w:t>跟踪服务</w:t>
      </w:r>
      <w:r>
        <w:rPr>
          <w:rFonts w:hint="default" w:ascii="Times New Roman" w:hAnsi="Times New Roman" w:eastAsia="仿宋_GB2312" w:cs="Times New Roman"/>
          <w:b w:val="0"/>
          <w:bCs w:val="0"/>
          <w:color w:val="auto"/>
          <w:sz w:val="32"/>
          <w:szCs w:val="32"/>
          <w:highlight w:val="none"/>
        </w:rPr>
        <w:t>、投资审批全程免费代办、部门联动上门集成服务等措施，着力解决重点产业项目在政策支持、土地规划、建设环保等方面的问题，以及企业的市场准入、商事登记、行业许可等行政审批诉求，形成全程有人</w:t>
      </w:r>
      <w:r>
        <w:rPr>
          <w:rFonts w:hint="eastAsia" w:ascii="Times New Roman" w:hAnsi="Times New Roman" w:eastAsia="仿宋_GB2312" w:cs="Times New Roman"/>
          <w:b w:val="0"/>
          <w:bCs w:val="0"/>
          <w:color w:val="auto"/>
          <w:sz w:val="32"/>
          <w:szCs w:val="32"/>
          <w:highlight w:val="none"/>
          <w:lang w:eastAsia="zh-CN"/>
        </w:rPr>
        <w:t>跟踪服务</w:t>
      </w:r>
      <w:r>
        <w:rPr>
          <w:rFonts w:hint="default" w:ascii="Times New Roman" w:hAnsi="Times New Roman" w:eastAsia="仿宋_GB2312" w:cs="Times New Roman"/>
          <w:b w:val="0"/>
          <w:bCs w:val="0"/>
          <w:color w:val="auto"/>
          <w:sz w:val="32"/>
          <w:szCs w:val="32"/>
          <w:highlight w:val="none"/>
        </w:rPr>
        <w:t>、审批有人代办、部门联动响应、合力解决难题、项目快速落地发展的高效服务保障机制。</w:t>
      </w:r>
    </w:p>
    <w:p w14:paraId="579677A1">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发展改革</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局</w:t>
      </w:r>
    </w:p>
    <w:p w14:paraId="4CE0833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lang w:eastAsia="zh-CN"/>
        </w:rPr>
      </w:pPr>
      <w:r>
        <w:rPr>
          <w:rFonts w:hint="default" w:ascii="Times New Roman" w:hAnsi="Times New Roman" w:eastAsia="仿宋_GB2312" w:cs="Times New Roman"/>
          <w:b/>
          <w:bCs/>
          <w:snapToGrid w:val="0"/>
          <w:color w:val="auto"/>
          <w:spacing w:val="0"/>
          <w:w w:val="100"/>
          <w:kern w:val="10"/>
          <w:sz w:val="32"/>
          <w:szCs w:val="32"/>
          <w:highlight w:val="none"/>
          <w:lang w:eastAsia="zh-CN"/>
        </w:rPr>
        <w:t>责</w:t>
      </w:r>
      <w:r>
        <w:rPr>
          <w:rFonts w:hint="default" w:ascii="Times New Roman" w:hAnsi="Times New Roman" w:eastAsia="仿宋_GB2312" w:cs="Times New Roman"/>
          <w:b/>
          <w:bCs/>
          <w:snapToGrid w:val="0"/>
          <w:color w:val="auto"/>
          <w:spacing w:val="0"/>
          <w:w w:val="100"/>
          <w:kern w:val="10"/>
          <w:sz w:val="32"/>
          <w:szCs w:val="32"/>
          <w:highlight w:val="none"/>
          <w:lang w:val="en-US" w:eastAsia="zh-CN"/>
        </w:rPr>
        <w:t>任单位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：产业环境专项组</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各成员</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单位</w:t>
      </w:r>
    </w:p>
    <w:p w14:paraId="2C987939">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napToGrid/>
          <w:color w:val="auto"/>
          <w:kern w:val="2"/>
          <w:sz w:val="32"/>
          <w:szCs w:val="24"/>
          <w:lang w:val="en-US" w:eastAsia="zh-CN"/>
        </w:rPr>
      </w:pPr>
      <w:r>
        <w:rPr>
          <w:rFonts w:hint="eastAsia" w:ascii="黑体" w:hAnsi="黑体" w:eastAsia="黑体" w:cs="黑体"/>
          <w:snapToGrid/>
          <w:color w:val="auto"/>
          <w:kern w:val="2"/>
          <w:sz w:val="32"/>
          <w:szCs w:val="24"/>
          <w:lang w:val="en-US" w:eastAsia="zh-CN"/>
        </w:rPr>
        <w:t>四、保障措施</w:t>
      </w:r>
    </w:p>
    <w:p w14:paraId="4B812263">
      <w:pPr>
        <w:keepNext w:val="0"/>
        <w:keepLines w:val="0"/>
        <w:pageBreakBefore w:val="0"/>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Style w:val="14"/>
          <w:rFonts w:hint="eastAsia" w:ascii="楷体_GB2312" w:hAnsi="楷体_GB2312" w:eastAsia="楷体_GB2312" w:cs="楷体_GB2312"/>
          <w:b w:val="0"/>
          <w:bCs w:val="0"/>
          <w:snapToGrid w:val="0"/>
          <w:color w:val="000000"/>
          <w:lang w:val="en-US" w:eastAsia="zh-CN" w:bidi="ar"/>
        </w:rPr>
      </w:pPr>
      <w:r>
        <w:rPr>
          <w:rStyle w:val="14"/>
          <w:rFonts w:hint="default" w:ascii="楷体_GB2312" w:hAnsi="楷体_GB2312" w:eastAsia="楷体_GB2312" w:cs="楷体_GB2312"/>
          <w:b w:val="0"/>
          <w:bCs w:val="0"/>
          <w:snapToGrid w:val="0"/>
          <w:color w:val="000000"/>
          <w:lang w:val="en-US" w:eastAsia="zh-CN" w:bidi="ar"/>
        </w:rPr>
        <w:t>（</w:t>
      </w:r>
      <w:r>
        <w:rPr>
          <w:rStyle w:val="14"/>
          <w:rFonts w:hint="eastAsia" w:ascii="楷体_GB2312" w:hAnsi="楷体_GB2312" w:eastAsia="楷体_GB2312" w:cs="楷体_GB2312"/>
          <w:b w:val="0"/>
          <w:bCs w:val="0"/>
          <w:snapToGrid w:val="0"/>
          <w:color w:val="000000"/>
          <w:lang w:val="en-US" w:eastAsia="zh-CN" w:bidi="ar"/>
        </w:rPr>
        <w:t>一</w:t>
      </w:r>
      <w:r>
        <w:rPr>
          <w:rStyle w:val="14"/>
          <w:rFonts w:hint="default" w:ascii="楷体_GB2312" w:hAnsi="楷体_GB2312" w:eastAsia="楷体_GB2312" w:cs="楷体_GB2312"/>
          <w:b w:val="0"/>
          <w:bCs w:val="0"/>
          <w:snapToGrid w:val="0"/>
          <w:color w:val="000000"/>
          <w:lang w:val="en-US" w:eastAsia="zh-CN" w:bidi="ar"/>
        </w:rPr>
        <w:t>）</w:t>
      </w:r>
      <w:r>
        <w:rPr>
          <w:rStyle w:val="14"/>
          <w:rFonts w:hint="eastAsia" w:ascii="楷体_GB2312" w:hAnsi="楷体_GB2312" w:eastAsia="楷体_GB2312" w:cs="楷体_GB2312"/>
          <w:b w:val="0"/>
          <w:bCs w:val="0"/>
          <w:snapToGrid w:val="0"/>
          <w:color w:val="000000"/>
          <w:lang w:val="en-US" w:eastAsia="zh-CN" w:bidi="ar"/>
        </w:rPr>
        <w:t>加强统筹协调，完善体制机制</w:t>
      </w:r>
    </w:p>
    <w:p w14:paraId="45A93578">
      <w:pPr>
        <w:keepNext w:val="0"/>
        <w:keepLines w:val="0"/>
        <w:pageBreakBefore w:val="0"/>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val="0"/>
          <w:snapToGrid/>
          <w:color w:val="auto"/>
          <w:kern w:val="0"/>
          <w:sz w:val="32"/>
          <w:szCs w:val="32"/>
          <w:u w:val="none"/>
          <w:lang w:eastAsia="zh-CN" w:bidi="ar"/>
        </w:rPr>
      </w:pPr>
      <w:r>
        <w:rPr>
          <w:rFonts w:hint="eastAsia" w:ascii="Times New Roman" w:hAnsi="Times New Roman" w:eastAsia="仿宋_GB2312" w:cs="Times New Roman"/>
          <w:b w:val="0"/>
          <w:bCs w:val="0"/>
          <w:snapToGrid/>
          <w:color w:val="auto"/>
          <w:kern w:val="0"/>
          <w:sz w:val="32"/>
          <w:szCs w:val="32"/>
          <w:u w:val="none"/>
          <w:lang w:val="en-US" w:eastAsia="zh-CN" w:bidi="ar"/>
        </w:rPr>
        <w:t>发挥东川区优化营商环境产业环境专项组作用，</w:t>
      </w:r>
      <w:r>
        <w:rPr>
          <w:rFonts w:hint="eastAsia" w:ascii="Times New Roman" w:hAnsi="Times New Roman" w:eastAsia="仿宋_GB2312" w:cs="Times New Roman"/>
          <w:b w:val="0"/>
          <w:bCs w:val="0"/>
          <w:snapToGrid/>
          <w:color w:val="auto"/>
          <w:kern w:val="0"/>
          <w:sz w:val="32"/>
          <w:szCs w:val="32"/>
          <w:u w:val="none"/>
          <w:lang w:eastAsia="zh-CN" w:bidi="ar"/>
        </w:rPr>
        <w:t>建立产业环境联络员机制，由各责任单位抽选熟悉相关业务的同志，负责产业环境专项组有关工作。各部门密切协作，形成合力，共同做好产业环境有关工作。建立定期会研制度，每季度至少召开一次专题会议研究产业环境工作。建立报告工作制度，及时收集各责任单位履职情况，重大事项、重要问题及时向区营商环境办。</w:t>
      </w:r>
    </w:p>
    <w:p w14:paraId="45832C97">
      <w:pPr>
        <w:keepNext w:val="0"/>
        <w:keepLines w:val="0"/>
        <w:pageBreakBefore w:val="0"/>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Style w:val="14"/>
          <w:rFonts w:hint="default" w:ascii="楷体_GB2312" w:hAnsi="楷体_GB2312" w:eastAsia="楷体_GB2312" w:cs="楷体_GB2312"/>
          <w:b w:val="0"/>
          <w:bCs w:val="0"/>
          <w:snapToGrid w:val="0"/>
          <w:color w:val="000000"/>
          <w:lang w:val="en-US" w:eastAsia="zh-CN" w:bidi="ar"/>
        </w:rPr>
      </w:pPr>
      <w:r>
        <w:rPr>
          <w:rStyle w:val="14"/>
          <w:rFonts w:hint="default" w:ascii="楷体_GB2312" w:hAnsi="楷体_GB2312" w:eastAsia="楷体_GB2312" w:cs="楷体_GB2312"/>
          <w:b w:val="0"/>
          <w:bCs w:val="0"/>
          <w:snapToGrid w:val="0"/>
          <w:color w:val="000000"/>
          <w:lang w:val="en-US" w:eastAsia="zh-CN" w:bidi="ar"/>
        </w:rPr>
        <w:t>（</w:t>
      </w:r>
      <w:r>
        <w:rPr>
          <w:rStyle w:val="14"/>
          <w:rFonts w:hint="eastAsia" w:ascii="楷体_GB2312" w:hAnsi="楷体_GB2312" w:eastAsia="楷体_GB2312" w:cs="楷体_GB2312"/>
          <w:b w:val="0"/>
          <w:bCs w:val="0"/>
          <w:snapToGrid w:val="0"/>
          <w:color w:val="000000"/>
          <w:lang w:val="en-US" w:eastAsia="zh-CN" w:bidi="ar"/>
        </w:rPr>
        <w:t>二</w:t>
      </w:r>
      <w:r>
        <w:rPr>
          <w:rStyle w:val="14"/>
          <w:rFonts w:hint="default" w:ascii="楷体_GB2312" w:hAnsi="楷体_GB2312" w:eastAsia="楷体_GB2312" w:cs="楷体_GB2312"/>
          <w:b w:val="0"/>
          <w:bCs w:val="0"/>
          <w:snapToGrid w:val="0"/>
          <w:color w:val="000000"/>
          <w:lang w:val="en-US" w:eastAsia="zh-CN" w:bidi="ar"/>
        </w:rPr>
        <w:t>）</w:t>
      </w:r>
      <w:r>
        <w:rPr>
          <w:rStyle w:val="14"/>
          <w:rFonts w:hint="eastAsia" w:ascii="楷体_GB2312" w:hAnsi="楷体_GB2312" w:eastAsia="楷体_GB2312" w:cs="楷体_GB2312"/>
          <w:b w:val="0"/>
          <w:bCs w:val="0"/>
          <w:snapToGrid w:val="0"/>
          <w:color w:val="000000"/>
          <w:lang w:val="en-US" w:eastAsia="zh-CN" w:bidi="ar"/>
        </w:rPr>
        <w:t>细化工作措施，压实责任分工</w:t>
      </w:r>
    </w:p>
    <w:p w14:paraId="39183667">
      <w:pPr>
        <w:keepNext w:val="0"/>
        <w:keepLines w:val="0"/>
        <w:pageBreakBefore w:val="0"/>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napToGrid/>
          <w:color w:val="auto"/>
          <w:kern w:val="0"/>
          <w:sz w:val="32"/>
          <w:szCs w:val="32"/>
          <w:u w:val="none"/>
          <w:lang w:val="en-US" w:eastAsia="zh-CN" w:bidi="ar"/>
        </w:rPr>
      </w:pPr>
      <w:r>
        <w:rPr>
          <w:rFonts w:hint="eastAsia" w:ascii="Times New Roman" w:hAnsi="Times New Roman" w:eastAsia="仿宋_GB2312" w:cs="Times New Roman"/>
          <w:b w:val="0"/>
          <w:bCs w:val="0"/>
          <w:snapToGrid/>
          <w:color w:val="auto"/>
          <w:kern w:val="0"/>
          <w:sz w:val="32"/>
          <w:szCs w:val="32"/>
          <w:u w:val="none"/>
          <w:lang w:val="en-US" w:eastAsia="zh-CN" w:bidi="ar"/>
        </w:rPr>
        <w:t>区</w:t>
      </w:r>
      <w:r>
        <w:rPr>
          <w:rFonts w:hint="default" w:ascii="Times New Roman" w:hAnsi="Times New Roman" w:eastAsia="仿宋_GB2312" w:cs="Times New Roman"/>
          <w:b w:val="0"/>
          <w:bCs w:val="0"/>
          <w:snapToGrid/>
          <w:color w:val="auto"/>
          <w:kern w:val="0"/>
          <w:sz w:val="32"/>
          <w:szCs w:val="32"/>
          <w:u w:val="none"/>
          <w:lang w:val="en-US" w:eastAsia="zh-CN" w:bidi="ar"/>
        </w:rPr>
        <w:t>级有关</w:t>
      </w:r>
      <w:r>
        <w:rPr>
          <w:rFonts w:hint="eastAsia" w:ascii="Times New Roman" w:hAnsi="Times New Roman" w:eastAsia="仿宋_GB2312" w:cs="Times New Roman"/>
          <w:b w:val="0"/>
          <w:bCs w:val="0"/>
          <w:snapToGrid/>
          <w:color w:val="auto"/>
          <w:kern w:val="0"/>
          <w:sz w:val="32"/>
          <w:szCs w:val="32"/>
          <w:u w:val="none"/>
          <w:lang w:val="en-US" w:eastAsia="zh-CN" w:bidi="ar"/>
        </w:rPr>
        <w:t>部门</w:t>
      </w:r>
      <w:r>
        <w:rPr>
          <w:rFonts w:hint="default" w:ascii="Times New Roman" w:hAnsi="Times New Roman" w:eastAsia="仿宋_GB2312" w:cs="Times New Roman"/>
          <w:b w:val="0"/>
          <w:bCs w:val="0"/>
          <w:snapToGrid/>
          <w:color w:val="auto"/>
          <w:kern w:val="0"/>
          <w:sz w:val="32"/>
          <w:szCs w:val="32"/>
          <w:u w:val="none"/>
          <w:lang w:val="en-US" w:eastAsia="zh-CN" w:bidi="ar"/>
        </w:rPr>
        <w:t>要结合部门职能职责，明确职责任务，细化工作举措，积极探索创新方式方法，确保</w:t>
      </w:r>
      <w:r>
        <w:rPr>
          <w:rFonts w:hint="eastAsia" w:ascii="Times New Roman" w:hAnsi="Times New Roman" w:eastAsia="仿宋_GB2312" w:cs="Times New Roman"/>
          <w:b w:val="0"/>
          <w:bCs w:val="0"/>
          <w:snapToGrid/>
          <w:color w:val="auto"/>
          <w:kern w:val="0"/>
          <w:sz w:val="32"/>
          <w:szCs w:val="32"/>
          <w:u w:val="none"/>
          <w:lang w:val="en-US" w:eastAsia="zh-CN" w:bidi="ar"/>
        </w:rPr>
        <w:t>工作方案</w:t>
      </w:r>
      <w:r>
        <w:rPr>
          <w:rFonts w:hint="default" w:ascii="Times New Roman" w:hAnsi="Times New Roman" w:eastAsia="仿宋_GB2312" w:cs="Times New Roman"/>
          <w:b w:val="0"/>
          <w:bCs w:val="0"/>
          <w:snapToGrid/>
          <w:color w:val="auto"/>
          <w:kern w:val="0"/>
          <w:sz w:val="32"/>
          <w:szCs w:val="32"/>
          <w:u w:val="none"/>
          <w:lang w:val="en-US" w:eastAsia="zh-CN" w:bidi="ar"/>
        </w:rPr>
        <w:t>各项任务落实见效。按照优化提升营商环境三年攻坚目标要求，</w:t>
      </w:r>
      <w:r>
        <w:rPr>
          <w:rFonts w:hint="eastAsia" w:ascii="Times New Roman" w:hAnsi="Times New Roman" w:eastAsia="仿宋_GB2312" w:cs="Times New Roman"/>
          <w:b w:val="0"/>
          <w:bCs w:val="0"/>
          <w:snapToGrid/>
          <w:color w:val="auto"/>
          <w:kern w:val="0"/>
          <w:sz w:val="32"/>
          <w:szCs w:val="32"/>
          <w:u w:val="none"/>
          <w:lang w:val="en-US" w:eastAsia="zh-CN" w:bidi="ar"/>
        </w:rPr>
        <w:t>各牵头单位要定期调度工作推进情况，及时化解困难问题，责任单位于每季度末月10日</w:t>
      </w:r>
      <w:r>
        <w:rPr>
          <w:rFonts w:hint="default" w:ascii="Times New Roman" w:hAnsi="Times New Roman" w:eastAsia="仿宋_GB2312" w:cs="Times New Roman"/>
          <w:b w:val="0"/>
          <w:bCs w:val="0"/>
          <w:snapToGrid/>
          <w:color w:val="auto"/>
          <w:kern w:val="0"/>
          <w:sz w:val="32"/>
          <w:szCs w:val="32"/>
          <w:u w:val="none"/>
          <w:lang w:val="en-US" w:eastAsia="zh-CN" w:bidi="ar"/>
        </w:rPr>
        <w:t>前将</w:t>
      </w:r>
      <w:r>
        <w:rPr>
          <w:rFonts w:hint="eastAsia" w:ascii="Times New Roman" w:hAnsi="Times New Roman" w:eastAsia="仿宋_GB2312" w:cs="Times New Roman"/>
          <w:b w:val="0"/>
          <w:bCs w:val="0"/>
          <w:snapToGrid/>
          <w:color w:val="auto"/>
          <w:kern w:val="0"/>
          <w:sz w:val="32"/>
          <w:szCs w:val="32"/>
          <w:u w:val="none"/>
          <w:lang w:val="en-US" w:eastAsia="zh-CN" w:bidi="ar"/>
        </w:rPr>
        <w:t>部门产业</w:t>
      </w:r>
      <w:r>
        <w:rPr>
          <w:rFonts w:hint="default" w:ascii="Times New Roman" w:hAnsi="Times New Roman" w:eastAsia="仿宋_GB2312" w:cs="Times New Roman"/>
          <w:b w:val="0"/>
          <w:bCs w:val="0"/>
          <w:snapToGrid/>
          <w:color w:val="auto"/>
          <w:kern w:val="0"/>
          <w:sz w:val="32"/>
          <w:szCs w:val="32"/>
          <w:u w:val="none"/>
          <w:lang w:val="en-US" w:eastAsia="zh-CN" w:bidi="ar"/>
        </w:rPr>
        <w:t>环境建设工作开展情况报</w:t>
      </w:r>
      <w:r>
        <w:rPr>
          <w:rFonts w:hint="eastAsia" w:ascii="Times New Roman" w:hAnsi="Times New Roman" w:eastAsia="仿宋_GB2312" w:cs="Times New Roman"/>
          <w:b w:val="0"/>
          <w:bCs w:val="0"/>
          <w:snapToGrid/>
          <w:color w:val="auto"/>
          <w:kern w:val="0"/>
          <w:sz w:val="32"/>
          <w:szCs w:val="32"/>
          <w:u w:val="none"/>
          <w:lang w:val="en-US" w:eastAsia="zh-CN" w:bidi="ar"/>
        </w:rPr>
        <w:t>各项工作牵头单位，由牵头单位每季度月末14日前报产业环境专项组（区发展改革局）</w:t>
      </w:r>
      <w:r>
        <w:rPr>
          <w:rFonts w:hint="default" w:ascii="Times New Roman" w:hAnsi="Times New Roman" w:eastAsia="仿宋_GB2312" w:cs="Times New Roman"/>
          <w:b w:val="0"/>
          <w:bCs w:val="0"/>
          <w:snapToGrid/>
          <w:color w:val="auto"/>
          <w:kern w:val="0"/>
          <w:sz w:val="32"/>
          <w:szCs w:val="32"/>
          <w:u w:val="none"/>
          <w:lang w:val="en-US" w:eastAsia="zh-CN" w:bidi="ar"/>
        </w:rPr>
        <w:t>。</w:t>
      </w:r>
    </w:p>
    <w:p w14:paraId="411E8E9E">
      <w:pPr>
        <w:keepNext w:val="0"/>
        <w:keepLines w:val="0"/>
        <w:pageBreakBefore w:val="0"/>
        <w:numPr>
          <w:ilvl w:val="0"/>
          <w:numId w:val="0"/>
        </w:numPr>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Style w:val="14"/>
          <w:rFonts w:hint="default" w:ascii="楷体_GB2312" w:hAnsi="楷体_GB2312" w:eastAsia="楷体_GB2312" w:cs="楷体_GB2312"/>
          <w:b w:val="0"/>
          <w:bCs w:val="0"/>
          <w:snapToGrid w:val="0"/>
          <w:color w:val="000000"/>
          <w:lang w:val="en-US" w:eastAsia="zh-CN" w:bidi="ar"/>
        </w:rPr>
      </w:pPr>
      <w:r>
        <w:rPr>
          <w:rStyle w:val="14"/>
          <w:rFonts w:hint="eastAsia" w:ascii="楷体_GB2312" w:hAnsi="楷体_GB2312" w:eastAsia="楷体_GB2312" w:cs="楷体_GB2312"/>
          <w:b w:val="0"/>
          <w:bCs w:val="0"/>
          <w:snapToGrid w:val="0"/>
          <w:color w:val="000000"/>
          <w:lang w:val="en-US" w:eastAsia="zh-CN" w:bidi="ar"/>
        </w:rPr>
        <w:t>（三）加强政策宣贯，营造良好氛围</w:t>
      </w:r>
    </w:p>
    <w:p w14:paraId="2FEC89FD">
      <w:pPr>
        <w:keepNext w:val="0"/>
        <w:keepLines w:val="0"/>
        <w:pageBreakBefore w:val="0"/>
        <w:pBdr>
          <w:bottom w:val="single" w:color="FFFFFF" w:sz="4" w:space="31"/>
        </w:pBdr>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napToGrid/>
          <w:color w:val="auto"/>
          <w:kern w:val="0"/>
          <w:sz w:val="32"/>
          <w:szCs w:val="32"/>
          <w:u w:val="none"/>
          <w:lang w:val="en-US" w:eastAsia="zh-CN" w:bidi="ar"/>
        </w:rPr>
      </w:pPr>
      <w:r>
        <w:rPr>
          <w:rFonts w:hint="default" w:ascii="Times New Roman" w:hAnsi="Times New Roman" w:eastAsia="仿宋_GB2312" w:cs="Times New Roman"/>
          <w:b w:val="0"/>
          <w:bCs w:val="0"/>
          <w:snapToGrid/>
          <w:color w:val="auto"/>
          <w:kern w:val="0"/>
          <w:sz w:val="32"/>
          <w:szCs w:val="32"/>
          <w:u w:val="none"/>
          <w:lang w:val="en-US" w:eastAsia="zh-CN" w:bidi="ar"/>
        </w:rPr>
        <w:t>加强</w:t>
      </w:r>
      <w:r>
        <w:rPr>
          <w:rFonts w:hint="eastAsia" w:ascii="Times New Roman" w:hAnsi="Times New Roman" w:eastAsia="仿宋_GB2312" w:cs="Times New Roman"/>
          <w:b w:val="0"/>
          <w:bCs w:val="0"/>
          <w:snapToGrid/>
          <w:color w:val="auto"/>
          <w:kern w:val="0"/>
          <w:sz w:val="32"/>
          <w:szCs w:val="32"/>
          <w:u w:val="none"/>
          <w:lang w:val="en-US" w:eastAsia="zh-CN" w:bidi="ar"/>
        </w:rPr>
        <w:t>产业</w:t>
      </w:r>
      <w:r>
        <w:rPr>
          <w:rFonts w:hint="default" w:ascii="Times New Roman" w:hAnsi="Times New Roman" w:eastAsia="仿宋_GB2312" w:cs="Times New Roman"/>
          <w:b w:val="0"/>
          <w:bCs w:val="0"/>
          <w:snapToGrid/>
          <w:color w:val="auto"/>
          <w:kern w:val="0"/>
          <w:sz w:val="32"/>
          <w:szCs w:val="32"/>
          <w:u w:val="none"/>
          <w:lang w:val="en-US" w:eastAsia="zh-CN" w:bidi="ar"/>
        </w:rPr>
        <w:t>环境相关政策文件宣贯工作，利用新媒体、“两微一抖”等创新宣传方式多渠道将政策文件传达给广大市场主体。</w:t>
      </w:r>
      <w:r>
        <w:rPr>
          <w:rFonts w:hint="eastAsia" w:ascii="Times New Roman" w:hAnsi="Times New Roman" w:eastAsia="仿宋_GB2312" w:cs="Times New Roman"/>
          <w:b w:val="0"/>
          <w:bCs w:val="0"/>
          <w:snapToGrid/>
          <w:color w:val="auto"/>
          <w:kern w:val="0"/>
          <w:sz w:val="32"/>
          <w:szCs w:val="32"/>
          <w:u w:val="none"/>
          <w:lang w:val="en-US" w:eastAsia="zh-CN" w:bidi="ar"/>
        </w:rPr>
        <w:t>营造“人人都是营商环境、事事关乎营商环境、处处彰显营商环境”的浓厚氛围。</w:t>
      </w:r>
    </w:p>
    <w:p w14:paraId="254A4841">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62B37705">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7EC8554C">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4BAF5CDB">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6BD62E86">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599E656E">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49A330F2">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3346DA9C">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4E121D8F">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273B02CB">
      <w:pPr>
        <w:pStyle w:val="16"/>
        <w:keepNext w:val="0"/>
        <w:keepLines w:val="0"/>
        <w:pageBreakBefore w:val="0"/>
        <w:kinsoku/>
        <w:wordWrap/>
        <w:overflowPunct/>
        <w:topLinePunct w:val="0"/>
        <w:autoSpaceDE/>
        <w:autoSpaceDN/>
        <w:bidi w:val="0"/>
        <w:adjustRightInd/>
        <w:snapToGrid/>
        <w:spacing w:line="540" w:lineRule="exact"/>
        <w:ind w:firstLine="623"/>
        <w:textAlignment w:val="auto"/>
        <w:rPr>
          <w:rFonts w:hint="default" w:ascii="Times New Roman" w:hAnsi="Times New Roman" w:eastAsia="仿宋_GB2312" w:cs="Times New Roman"/>
          <w:sz w:val="32"/>
          <w:szCs w:val="32"/>
        </w:rPr>
      </w:pPr>
    </w:p>
    <w:p w14:paraId="348A8E50">
      <w:pPr>
        <w:pStyle w:val="16"/>
        <w:keepNext w:val="0"/>
        <w:keepLines w:val="0"/>
        <w:pageBreakBefore w:val="0"/>
        <w:kinsoku/>
        <w:wordWrap/>
        <w:overflowPunct/>
        <w:topLinePunct w:val="0"/>
        <w:autoSpaceDE/>
        <w:autoSpaceDN/>
        <w:bidi w:val="0"/>
        <w:adjustRightInd/>
        <w:snapToGrid/>
        <w:spacing w:line="540" w:lineRule="exact"/>
        <w:ind w:left="0" w:leftChars="0" w:firstLine="0" w:firstLineChars="0"/>
        <w:textAlignment w:val="auto"/>
        <w:rPr>
          <w:rFonts w:hint="default" w:ascii="Times New Roman" w:hAnsi="Times New Roman" w:eastAsia="仿宋_GB2312" w:cs="Times New Roman"/>
          <w:sz w:val="32"/>
          <w:szCs w:val="32"/>
        </w:rPr>
      </w:pPr>
    </w:p>
    <w:p w14:paraId="60B90423">
      <w:pPr>
        <w:pStyle w:val="16"/>
        <w:keepNext w:val="0"/>
        <w:keepLines w:val="0"/>
        <w:pageBreakBefore w:val="0"/>
        <w:kinsoku/>
        <w:wordWrap/>
        <w:overflowPunct/>
        <w:topLinePunct w:val="0"/>
        <w:autoSpaceDE/>
        <w:autoSpaceDN/>
        <w:bidi w:val="0"/>
        <w:adjustRightInd/>
        <w:snapToGrid/>
        <w:spacing w:line="540" w:lineRule="exact"/>
        <w:ind w:left="0" w:leftChars="0" w:firstLine="0" w:firstLineChars="0"/>
        <w:textAlignment w:val="auto"/>
        <w:rPr>
          <w:rFonts w:hint="default" w:ascii="Times New Roman" w:hAnsi="Times New Roman" w:eastAsia="仿宋_GB2312" w:cs="Times New Roman"/>
          <w:sz w:val="32"/>
          <w:szCs w:val="32"/>
        </w:rPr>
      </w:pPr>
    </w:p>
    <w:p w14:paraId="4363B30A">
      <w:pPr>
        <w:keepNext w:val="0"/>
        <w:keepLines w:val="0"/>
        <w:pageBreakBefore w:val="0"/>
        <w:widowControl w:val="0"/>
        <w:kinsoku/>
        <w:wordWrap/>
        <w:overflowPunct/>
        <w:topLinePunct w:val="0"/>
        <w:autoSpaceDE/>
        <w:autoSpaceDN/>
        <w:bidi w:val="0"/>
        <w:adjustRightInd/>
        <w:snapToGrid/>
        <w:spacing w:line="40" w:lineRule="exact"/>
        <w:textAlignment w:val="auto"/>
        <w:rPr>
          <w:rFonts w:hint="eastAsia" w:ascii="Times New Roman" w:hAnsi="Times New Roman" w:eastAsia="仿宋_GB2312" w:cs="Times New Roman"/>
          <w:snapToGrid w:val="0"/>
          <w:kern w:val="0"/>
          <w:sz w:val="32"/>
          <w:szCs w:val="20"/>
        </w:rPr>
      </w:pPr>
    </w:p>
    <w:p w14:paraId="7F87216C">
      <w:pPr>
        <w:pBdr>
          <w:top w:val="single" w:color="auto" w:sz="4" w:space="1"/>
        </w:pBdr>
        <w:spacing w:line="560" w:lineRule="exact"/>
        <w:ind w:left="483" w:hanging="504" w:hangingChars="180"/>
        <w:rPr>
          <w:rFonts w:hint="eastAsia" w:ascii="Times New Roman" w:hAnsi="Times New Roman" w:eastAsia="仿宋_GB2312" w:cs="仿宋_GB2312"/>
          <w:sz w:val="21"/>
          <w:szCs w:val="32"/>
          <w:lang w:eastAsia="zh-CN"/>
        </w:rPr>
      </w:pPr>
      <w:r>
        <w:rPr>
          <w:rFonts w:hint="eastAsia" w:ascii="Times New Roman" w:hAnsi="Times New Roman" w:eastAsia="仿宋_GB2312" w:cs="Courier New"/>
          <w:sz w:val="28"/>
          <w:szCs w:val="28"/>
        </w:rPr>
        <w:t xml:space="preserve">  抄送：</w:t>
      </w:r>
      <w:r>
        <w:rPr>
          <w:rFonts w:hint="eastAsia" w:ascii="Times New Roman" w:hAnsi="Times New Roman" w:eastAsia="仿宋_GB2312" w:cs="Courier New"/>
          <w:sz w:val="28"/>
          <w:szCs w:val="28"/>
          <w:lang w:val="en-US" w:eastAsia="zh-CN"/>
        </w:rPr>
        <w:t>园区管委会</w:t>
      </w:r>
      <w:r>
        <w:rPr>
          <w:rFonts w:hint="eastAsia" w:ascii="Times New Roman" w:hAnsi="Times New Roman" w:eastAsia="仿宋_GB2312" w:cs="Courier New"/>
          <w:sz w:val="28"/>
          <w:szCs w:val="28"/>
          <w:lang w:eastAsia="zh-CN"/>
        </w:rPr>
        <w:t>。</w:t>
      </w:r>
    </w:p>
    <w:p w14:paraId="5F8E6F55">
      <w:pPr>
        <w:pBdr>
          <w:top w:val="single" w:color="auto" w:sz="4" w:space="1"/>
          <w:bottom w:val="single" w:color="auto" w:sz="4" w:space="1"/>
          <w:between w:val="single" w:color="auto" w:sz="4" w:space="1"/>
        </w:pBdr>
        <w:spacing w:line="560" w:lineRule="exact"/>
        <w:ind w:right="17" w:rightChars="8" w:firstLine="280" w:firstLineChars="100"/>
        <w:rPr>
          <w:rFonts w:hint="eastAsia" w:ascii="Times New Roman" w:hAnsi="Times New Roman" w:eastAsia="仿宋_GB2312" w:cs="Times New Roman"/>
          <w:sz w:val="32"/>
          <w:szCs w:val="32"/>
        </w:rPr>
      </w:pPr>
      <w:r>
        <w:rPr>
          <w:rFonts w:hint="eastAsia" w:ascii="Times New Roman" w:hAnsi="Times New Roman" w:eastAsia="仿宋_GB2312" w:cs="Times New Roman"/>
          <w:sz w:val="28"/>
          <w:szCs w:val="28"/>
        </w:rPr>
        <w:t>昆明市东川区</w:t>
      </w:r>
      <w:r>
        <w:rPr>
          <w:rFonts w:hint="eastAsia" w:ascii="Times New Roman" w:hAnsi="Times New Roman" w:eastAsia="仿宋_GB2312" w:cs="Times New Roman"/>
          <w:sz w:val="28"/>
          <w:szCs w:val="28"/>
          <w:lang w:eastAsia="zh-CN"/>
        </w:rPr>
        <w:t>发展和改革局</w:t>
      </w:r>
      <w:r>
        <w:rPr>
          <w:rFonts w:hint="eastAsia" w:ascii="Times New Roman" w:hAnsi="Times New Roman" w:eastAsia="仿宋_GB2312" w:cs="Times New Roman"/>
          <w:sz w:val="28"/>
          <w:szCs w:val="28"/>
        </w:rPr>
        <w:t xml:space="preserve">办公室    </w:t>
      </w:r>
      <w:r>
        <w:rPr>
          <w:rFonts w:hint="eastAsia"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202</w:t>
      </w:r>
      <w:r>
        <w:rPr>
          <w:rFonts w:hint="eastAsia" w:ascii="Times New Roman" w:hAnsi="Times New Roman" w:eastAsia="宋体" w:cs="Times New Roman"/>
          <w:sz w:val="28"/>
          <w:szCs w:val="28"/>
          <w:lang w:val="en-US" w:eastAsia="zh-CN"/>
        </w:rPr>
        <w:t>3</w:t>
      </w:r>
      <w:r>
        <w:rPr>
          <w:rFonts w:ascii="Times New Roman" w:hAnsi="Times New Roman" w:eastAsia="仿宋_GB2312" w:cs="Times New Roman"/>
          <w:sz w:val="28"/>
          <w:szCs w:val="28"/>
        </w:rPr>
        <w:t>年</w:t>
      </w:r>
      <w:r>
        <w:rPr>
          <w:rFonts w:hint="eastAsia" w:ascii="Times New Roman" w:hAnsi="Times New Roman" w:eastAsia="宋体"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宋体" w:cs="Times New Roman"/>
          <w:sz w:val="28"/>
          <w:szCs w:val="28"/>
          <w:lang w:val="en-US" w:eastAsia="zh-CN"/>
        </w:rPr>
        <w:t>6</w:t>
      </w:r>
      <w:r>
        <w:rPr>
          <w:rFonts w:ascii="Times New Roman" w:hAnsi="Times New Roman" w:eastAsia="仿宋_GB2312" w:cs="Times New Roman"/>
          <w:sz w:val="28"/>
          <w:szCs w:val="28"/>
        </w:rPr>
        <w:t>日印发</w:t>
      </w:r>
    </w:p>
    <w:sectPr>
      <w:headerReference r:id="rId5" w:type="default"/>
      <w:footerReference r:id="rId7" w:type="default"/>
      <w:headerReference r:id="rId6" w:type="even"/>
      <w:footerReference r:id="rId8" w:type="even"/>
      <w:pgSz w:w="11907" w:h="16840"/>
      <w:pgMar w:top="2098" w:right="1531" w:bottom="1984" w:left="1531" w:header="850" w:footer="1587" w:gutter="0"/>
      <w:paperSrc/>
      <w:pgNumType w:fmt="decimal" w:start="2"/>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标宋">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altName w:val="方正舒体"/>
    <w:panose1 w:val="02000000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A9D7C">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posOffset>4803140</wp:posOffset>
              </wp:positionH>
              <wp:positionV relativeFrom="paragraph">
                <wp:posOffset>-50165</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B9EE4">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left:378.2pt;margin-top:-3.95pt;height:144pt;width:144pt;mso-position-horizontal-relative:margin;mso-wrap-style:none;z-index:251659264;mso-width-relative:page;mso-height-relative:page;" filled="f" stroked="f" coordsize="21600,21600" o:gfxdata="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4J1nv1wAAAAsBAAAPAAAA&#10;AAAAAAEAIAAAACIAAABkcnMvZG93bnJldi54bWxQSwECFAAUAAAACACHTuJARERQKd0BAAC+AwAA&#10;DgAAAAAAAAABACAAAAAmAQAAZHJzL2Uyb0RvYy54bWxQSwUGAAAAAAYABgBZAQAAdQUAAAAA&#10;">
              <v:fill on="f" focussize="0,0"/>
              <v:stroke on="f"/>
              <v:imagedata o:title=""/>
              <o:lock v:ext="edit" aspectratio="f"/>
              <v:textbox inset="0mm,0mm,0mm,0mm" style="mso-fit-shape-to-text:t;">
                <w:txbxContent>
                  <w:p w14:paraId="429B9EE4">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02DC">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-59690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97A4FFB">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4.7pt;height:144pt;width:144pt;mso-position-horizontal:outside;mso-position-horizontal-relative:margin;mso-wrap-style:none;z-index:251660288;mso-width-relative:page;mso-height-relative:page;" filled="f" stroked="f" coordsize="21600,21600" o:gfxdata="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hJiw1wAA&#10;AAcBAAAPAAAAAAAAAAEAIAAAACIAAABkcnMvZG93bnJldi54bWxQSwECFAAUAAAACACHTuJAByPJ&#10;luYBAADIAwAADgAAAAAAAAABACAAAAAmAQAAZHJzL2Uyb0RvYy54bWxQSwUGAAAAAAYABgBZAQAA&#10;fgUAAAAA&#10;">
              <v:fill on="f" focussize="0,0"/>
              <v:stroke on="f" weight="1.25pt"/>
              <v:imagedata o:title=""/>
              <o:lock v:ext="edit" aspectratio="f"/>
              <v:textbox inset="0mm,0mm,0mm,0mm" style="mso-fit-shape-to-text:t;">
                <w:txbxContent>
                  <w:p w14:paraId="697A4FFB">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2AF9B">
    <w:pPr>
      <w:pStyle w:val="5"/>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posOffset>4813300</wp:posOffset>
              </wp:positionH>
              <wp:positionV relativeFrom="paragraph">
                <wp:posOffset>-69215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A8CFBBF">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379pt;margin-top:-5.45pt;height:144pt;width:144pt;mso-position-horizontal-relative:margin;mso-wrap-style:none;z-index:251661312;mso-width-relative:page;mso-height-relative:page;" filled="f" stroked="f" coordsize="21600,21600" o:gfxdata="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2wpf3AAAAAwBAAAPAAAAAAAAAAEAIAAAACIAAABkcnMvZG93bnJldi54bWxQSwECFAAUAAAACACH&#10;TuJAE3NCeOcBAADIAwAADgAAAAAAAAABACAAAAArAQAAZHJzL2Uyb0RvYy54bWxQSwUGAAAAAAYA&#10;BgBZAQAAhAUAAAAA&#10;">
              <v:fill on="f" focussize="0,0"/>
              <v:stroke on="f" weight="1.25pt"/>
              <v:imagedata o:title=""/>
              <o:lock v:ext="edit" aspectratio="f"/>
              <v:textbox inset="0mm,0mm,0mm,0mm" style="mso-fit-shape-to-text:t;">
                <w:txbxContent>
                  <w:p w14:paraId="2A8CFBBF">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834CC">
    <w:pPr>
      <w:pStyle w:val="5"/>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posOffset>276225</wp:posOffset>
              </wp:positionH>
              <wp:positionV relativeFrom="paragraph">
                <wp:posOffset>-50165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25C87C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21.75pt;margin-top:-3.95pt;height:144pt;width:144pt;mso-position-horizontal-relative:margin;mso-wrap-style:none;z-index:251662336;mso-width-relative:page;mso-height-relative:page;" filled="f" stroked="f" coordsize="21600,21600" o:gfxdata="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3c4e&#10;2gAAAAkBAAAPAAAAAAAAAAEAIAAAACIAAABkcnMvZG93bnJldi54bWxQSwECFAAUAAAACACHTuJA&#10;T+fUmOYBAADIAwAADgAAAAAAAAABACAAAAApAQAAZHJzL2Uyb0RvYy54bWxQSwUGAAAAAAYABgBZ&#10;AQAAgQUAAAAA&#10;">
              <v:fill on="f" focussize="0,0"/>
              <v:stroke on="f" weight="1.25pt"/>
              <v:imagedata o:title=""/>
              <o:lock v:ext="edit" aspectratio="f"/>
              <v:textbox inset="0mm,0mm,0mm,0mm" style="mso-fit-shape-to-text:t;">
                <w:txbxContent>
                  <w:p w14:paraId="525C87C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6A0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1457B">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1327F8"/>
    <w:multiLevelType w:val="singleLevel"/>
    <w:tmpl w:val="D71327F8"/>
    <w:lvl w:ilvl="0" w:tentative="0">
      <w:start w:val="10"/>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jE1ODM3OTEyYzNkOTM1MGQ0MWNlMzNhZDRjZmEifQ=="/>
  </w:docVars>
  <w:rsids>
    <w:rsidRoot w:val="00172A27"/>
    <w:rsid w:val="00001C97"/>
    <w:rsid w:val="00002A7D"/>
    <w:rsid w:val="00003D5C"/>
    <w:rsid w:val="00006AB6"/>
    <w:rsid w:val="0001238A"/>
    <w:rsid w:val="00013632"/>
    <w:rsid w:val="00013A53"/>
    <w:rsid w:val="00013DAA"/>
    <w:rsid w:val="00017244"/>
    <w:rsid w:val="00026026"/>
    <w:rsid w:val="00026313"/>
    <w:rsid w:val="00026D76"/>
    <w:rsid w:val="00031D48"/>
    <w:rsid w:val="0003258F"/>
    <w:rsid w:val="00043E67"/>
    <w:rsid w:val="00046E6C"/>
    <w:rsid w:val="00056E3A"/>
    <w:rsid w:val="00057471"/>
    <w:rsid w:val="00062649"/>
    <w:rsid w:val="0007162A"/>
    <w:rsid w:val="00074B49"/>
    <w:rsid w:val="000801C5"/>
    <w:rsid w:val="000843D7"/>
    <w:rsid w:val="00092D3C"/>
    <w:rsid w:val="00095972"/>
    <w:rsid w:val="00097DA7"/>
    <w:rsid w:val="000A137A"/>
    <w:rsid w:val="000A1790"/>
    <w:rsid w:val="000A2086"/>
    <w:rsid w:val="000A5183"/>
    <w:rsid w:val="000B051A"/>
    <w:rsid w:val="000B1D5D"/>
    <w:rsid w:val="000B37F2"/>
    <w:rsid w:val="000B5A38"/>
    <w:rsid w:val="000C2183"/>
    <w:rsid w:val="000C2187"/>
    <w:rsid w:val="000C2896"/>
    <w:rsid w:val="000C5384"/>
    <w:rsid w:val="000D53FA"/>
    <w:rsid w:val="000E1ADD"/>
    <w:rsid w:val="000E3782"/>
    <w:rsid w:val="00101AB2"/>
    <w:rsid w:val="00105531"/>
    <w:rsid w:val="00111371"/>
    <w:rsid w:val="00114468"/>
    <w:rsid w:val="00115345"/>
    <w:rsid w:val="00115DF3"/>
    <w:rsid w:val="00120B7F"/>
    <w:rsid w:val="00120E61"/>
    <w:rsid w:val="00124D7B"/>
    <w:rsid w:val="00125E29"/>
    <w:rsid w:val="001313CF"/>
    <w:rsid w:val="001442D8"/>
    <w:rsid w:val="001463AC"/>
    <w:rsid w:val="00147998"/>
    <w:rsid w:val="00147AB7"/>
    <w:rsid w:val="00150486"/>
    <w:rsid w:val="001510C8"/>
    <w:rsid w:val="001604D5"/>
    <w:rsid w:val="00160A18"/>
    <w:rsid w:val="0016282B"/>
    <w:rsid w:val="00166289"/>
    <w:rsid w:val="0017297C"/>
    <w:rsid w:val="00173ED0"/>
    <w:rsid w:val="0018185B"/>
    <w:rsid w:val="0019162A"/>
    <w:rsid w:val="00196B83"/>
    <w:rsid w:val="0019709B"/>
    <w:rsid w:val="001A5EC6"/>
    <w:rsid w:val="001B2FA1"/>
    <w:rsid w:val="001B3205"/>
    <w:rsid w:val="001C0966"/>
    <w:rsid w:val="001C1DD4"/>
    <w:rsid w:val="001C30C1"/>
    <w:rsid w:val="001C4B29"/>
    <w:rsid w:val="001C4B8D"/>
    <w:rsid w:val="001C4CB4"/>
    <w:rsid w:val="001D2051"/>
    <w:rsid w:val="001D5AE6"/>
    <w:rsid w:val="001D5F23"/>
    <w:rsid w:val="001D6C07"/>
    <w:rsid w:val="001E13C6"/>
    <w:rsid w:val="001E3B7A"/>
    <w:rsid w:val="001F2016"/>
    <w:rsid w:val="001F3CC1"/>
    <w:rsid w:val="00202D5A"/>
    <w:rsid w:val="002059CA"/>
    <w:rsid w:val="0020630C"/>
    <w:rsid w:val="00211B7F"/>
    <w:rsid w:val="00217C1E"/>
    <w:rsid w:val="002228FD"/>
    <w:rsid w:val="00224659"/>
    <w:rsid w:val="00225A29"/>
    <w:rsid w:val="002260BA"/>
    <w:rsid w:val="0022754D"/>
    <w:rsid w:val="00230330"/>
    <w:rsid w:val="00231905"/>
    <w:rsid w:val="00236D68"/>
    <w:rsid w:val="002416E3"/>
    <w:rsid w:val="00241A4C"/>
    <w:rsid w:val="002457E4"/>
    <w:rsid w:val="0024632C"/>
    <w:rsid w:val="00254A37"/>
    <w:rsid w:val="002557DA"/>
    <w:rsid w:val="0027435D"/>
    <w:rsid w:val="002911FC"/>
    <w:rsid w:val="0029260C"/>
    <w:rsid w:val="002955C8"/>
    <w:rsid w:val="00296764"/>
    <w:rsid w:val="00296E7F"/>
    <w:rsid w:val="002A2DF4"/>
    <w:rsid w:val="002A36B7"/>
    <w:rsid w:val="002B0EA6"/>
    <w:rsid w:val="002B5409"/>
    <w:rsid w:val="002C7478"/>
    <w:rsid w:val="002D12C8"/>
    <w:rsid w:val="002D196A"/>
    <w:rsid w:val="002D2222"/>
    <w:rsid w:val="002D3A96"/>
    <w:rsid w:val="002D4AFA"/>
    <w:rsid w:val="002D57F0"/>
    <w:rsid w:val="002D7B5F"/>
    <w:rsid w:val="002E1292"/>
    <w:rsid w:val="002E402D"/>
    <w:rsid w:val="002E59B2"/>
    <w:rsid w:val="002E7245"/>
    <w:rsid w:val="002F1577"/>
    <w:rsid w:val="002F560E"/>
    <w:rsid w:val="002F574E"/>
    <w:rsid w:val="00300638"/>
    <w:rsid w:val="00300C89"/>
    <w:rsid w:val="00307538"/>
    <w:rsid w:val="00315455"/>
    <w:rsid w:val="003226B7"/>
    <w:rsid w:val="00326120"/>
    <w:rsid w:val="00332891"/>
    <w:rsid w:val="00333F82"/>
    <w:rsid w:val="00333F9D"/>
    <w:rsid w:val="00335327"/>
    <w:rsid w:val="00344EA1"/>
    <w:rsid w:val="003521C4"/>
    <w:rsid w:val="00357065"/>
    <w:rsid w:val="0036391B"/>
    <w:rsid w:val="00363A45"/>
    <w:rsid w:val="003660F5"/>
    <w:rsid w:val="00366BB2"/>
    <w:rsid w:val="00367A2E"/>
    <w:rsid w:val="00377704"/>
    <w:rsid w:val="003806C6"/>
    <w:rsid w:val="00384EC1"/>
    <w:rsid w:val="00390A6E"/>
    <w:rsid w:val="003913E7"/>
    <w:rsid w:val="003933B5"/>
    <w:rsid w:val="0039362E"/>
    <w:rsid w:val="003B0CF3"/>
    <w:rsid w:val="003C5D22"/>
    <w:rsid w:val="003C7DE3"/>
    <w:rsid w:val="003D2FC5"/>
    <w:rsid w:val="003D7C3C"/>
    <w:rsid w:val="003E0BE5"/>
    <w:rsid w:val="003E1D96"/>
    <w:rsid w:val="003E1F19"/>
    <w:rsid w:val="003F039E"/>
    <w:rsid w:val="003F6FE3"/>
    <w:rsid w:val="00404A44"/>
    <w:rsid w:val="004054B7"/>
    <w:rsid w:val="004207DE"/>
    <w:rsid w:val="0042217F"/>
    <w:rsid w:val="004228D7"/>
    <w:rsid w:val="0043372B"/>
    <w:rsid w:val="004360F2"/>
    <w:rsid w:val="0043719C"/>
    <w:rsid w:val="00440012"/>
    <w:rsid w:val="00446572"/>
    <w:rsid w:val="00447E17"/>
    <w:rsid w:val="00454353"/>
    <w:rsid w:val="00455DF7"/>
    <w:rsid w:val="00482780"/>
    <w:rsid w:val="004835E5"/>
    <w:rsid w:val="00484186"/>
    <w:rsid w:val="004963DD"/>
    <w:rsid w:val="004972AE"/>
    <w:rsid w:val="004A0012"/>
    <w:rsid w:val="004A1682"/>
    <w:rsid w:val="004A1B92"/>
    <w:rsid w:val="004A5534"/>
    <w:rsid w:val="004B1641"/>
    <w:rsid w:val="004B3691"/>
    <w:rsid w:val="004B3EE1"/>
    <w:rsid w:val="004B6D48"/>
    <w:rsid w:val="004C1B96"/>
    <w:rsid w:val="004D0973"/>
    <w:rsid w:val="004D0C6A"/>
    <w:rsid w:val="004D1351"/>
    <w:rsid w:val="004D3545"/>
    <w:rsid w:val="004D38A5"/>
    <w:rsid w:val="004D41BD"/>
    <w:rsid w:val="004D750E"/>
    <w:rsid w:val="004E232C"/>
    <w:rsid w:val="004E2483"/>
    <w:rsid w:val="004E447D"/>
    <w:rsid w:val="004E4BE6"/>
    <w:rsid w:val="004F0592"/>
    <w:rsid w:val="004F36D2"/>
    <w:rsid w:val="004F4477"/>
    <w:rsid w:val="004F46B3"/>
    <w:rsid w:val="004F4BB9"/>
    <w:rsid w:val="004F5B74"/>
    <w:rsid w:val="004F746F"/>
    <w:rsid w:val="00503712"/>
    <w:rsid w:val="0052456E"/>
    <w:rsid w:val="00527C7F"/>
    <w:rsid w:val="0053097C"/>
    <w:rsid w:val="00531B90"/>
    <w:rsid w:val="00534C17"/>
    <w:rsid w:val="00534CA1"/>
    <w:rsid w:val="005365D0"/>
    <w:rsid w:val="00537474"/>
    <w:rsid w:val="00541467"/>
    <w:rsid w:val="00546425"/>
    <w:rsid w:val="0054791C"/>
    <w:rsid w:val="0055139C"/>
    <w:rsid w:val="00551B34"/>
    <w:rsid w:val="00554EB3"/>
    <w:rsid w:val="00556DBE"/>
    <w:rsid w:val="0056512A"/>
    <w:rsid w:val="00570B49"/>
    <w:rsid w:val="00571BA0"/>
    <w:rsid w:val="0057249C"/>
    <w:rsid w:val="00574CCA"/>
    <w:rsid w:val="00575876"/>
    <w:rsid w:val="005909AC"/>
    <w:rsid w:val="00591FDD"/>
    <w:rsid w:val="005A0624"/>
    <w:rsid w:val="005A20AB"/>
    <w:rsid w:val="005B5ACC"/>
    <w:rsid w:val="005B6596"/>
    <w:rsid w:val="005B6C20"/>
    <w:rsid w:val="005C1462"/>
    <w:rsid w:val="005C7B78"/>
    <w:rsid w:val="005D1233"/>
    <w:rsid w:val="005D1DAA"/>
    <w:rsid w:val="005D22F3"/>
    <w:rsid w:val="005D4220"/>
    <w:rsid w:val="005D5CF7"/>
    <w:rsid w:val="005D7E2F"/>
    <w:rsid w:val="005E16DE"/>
    <w:rsid w:val="005E375D"/>
    <w:rsid w:val="005E5EE8"/>
    <w:rsid w:val="005F3868"/>
    <w:rsid w:val="005F3C38"/>
    <w:rsid w:val="005F6F06"/>
    <w:rsid w:val="0060207C"/>
    <w:rsid w:val="0060764C"/>
    <w:rsid w:val="00610EA2"/>
    <w:rsid w:val="00615A03"/>
    <w:rsid w:val="00632CCB"/>
    <w:rsid w:val="00640AB6"/>
    <w:rsid w:val="00642AAF"/>
    <w:rsid w:val="0064582C"/>
    <w:rsid w:val="00647283"/>
    <w:rsid w:val="006528BE"/>
    <w:rsid w:val="00653089"/>
    <w:rsid w:val="00655EDF"/>
    <w:rsid w:val="00661CA5"/>
    <w:rsid w:val="00665AFB"/>
    <w:rsid w:val="00672142"/>
    <w:rsid w:val="006758F4"/>
    <w:rsid w:val="0068653E"/>
    <w:rsid w:val="00692E18"/>
    <w:rsid w:val="00696005"/>
    <w:rsid w:val="006966E3"/>
    <w:rsid w:val="00697EE2"/>
    <w:rsid w:val="006A16F8"/>
    <w:rsid w:val="006B5F5F"/>
    <w:rsid w:val="006B76DE"/>
    <w:rsid w:val="006C5A0E"/>
    <w:rsid w:val="006D2CDD"/>
    <w:rsid w:val="006D33C9"/>
    <w:rsid w:val="006E22C0"/>
    <w:rsid w:val="006E29FB"/>
    <w:rsid w:val="006E3145"/>
    <w:rsid w:val="006E64DE"/>
    <w:rsid w:val="006E6BC0"/>
    <w:rsid w:val="006E7DD2"/>
    <w:rsid w:val="006E7F73"/>
    <w:rsid w:val="006F43F9"/>
    <w:rsid w:val="00701EB8"/>
    <w:rsid w:val="007037D9"/>
    <w:rsid w:val="007077DC"/>
    <w:rsid w:val="00716FBC"/>
    <w:rsid w:val="00721572"/>
    <w:rsid w:val="007424C2"/>
    <w:rsid w:val="007460AC"/>
    <w:rsid w:val="0074617D"/>
    <w:rsid w:val="00746624"/>
    <w:rsid w:val="00747EC7"/>
    <w:rsid w:val="0075030A"/>
    <w:rsid w:val="007545AE"/>
    <w:rsid w:val="00756174"/>
    <w:rsid w:val="007571AE"/>
    <w:rsid w:val="00761E02"/>
    <w:rsid w:val="007622E6"/>
    <w:rsid w:val="0077421D"/>
    <w:rsid w:val="0077759C"/>
    <w:rsid w:val="007821EF"/>
    <w:rsid w:val="00784431"/>
    <w:rsid w:val="007857E1"/>
    <w:rsid w:val="007908F4"/>
    <w:rsid w:val="00790CBD"/>
    <w:rsid w:val="00791C4D"/>
    <w:rsid w:val="0079469A"/>
    <w:rsid w:val="00796EA1"/>
    <w:rsid w:val="00797BE6"/>
    <w:rsid w:val="007A3224"/>
    <w:rsid w:val="007A752A"/>
    <w:rsid w:val="007B1217"/>
    <w:rsid w:val="007B27A8"/>
    <w:rsid w:val="007B68D7"/>
    <w:rsid w:val="007C016B"/>
    <w:rsid w:val="007C1F82"/>
    <w:rsid w:val="007C47CF"/>
    <w:rsid w:val="007C7E95"/>
    <w:rsid w:val="007D2875"/>
    <w:rsid w:val="007D4B64"/>
    <w:rsid w:val="007D4DA2"/>
    <w:rsid w:val="007E0B83"/>
    <w:rsid w:val="007E56B4"/>
    <w:rsid w:val="007E7795"/>
    <w:rsid w:val="007F75BA"/>
    <w:rsid w:val="007F7A6D"/>
    <w:rsid w:val="00801659"/>
    <w:rsid w:val="00802AAA"/>
    <w:rsid w:val="00803E4F"/>
    <w:rsid w:val="0080429A"/>
    <w:rsid w:val="00812A24"/>
    <w:rsid w:val="00821866"/>
    <w:rsid w:val="00822545"/>
    <w:rsid w:val="008238E3"/>
    <w:rsid w:val="008246B0"/>
    <w:rsid w:val="00826C94"/>
    <w:rsid w:val="008329B8"/>
    <w:rsid w:val="00832E63"/>
    <w:rsid w:val="008374E5"/>
    <w:rsid w:val="008404A9"/>
    <w:rsid w:val="00842D40"/>
    <w:rsid w:val="00843B2D"/>
    <w:rsid w:val="00844668"/>
    <w:rsid w:val="0085011A"/>
    <w:rsid w:val="00850CA3"/>
    <w:rsid w:val="00864E18"/>
    <w:rsid w:val="008654C7"/>
    <w:rsid w:val="008709A1"/>
    <w:rsid w:val="00873C6C"/>
    <w:rsid w:val="00874E4F"/>
    <w:rsid w:val="008777C5"/>
    <w:rsid w:val="00881953"/>
    <w:rsid w:val="00886A22"/>
    <w:rsid w:val="008921AF"/>
    <w:rsid w:val="00892542"/>
    <w:rsid w:val="00897D75"/>
    <w:rsid w:val="008B134E"/>
    <w:rsid w:val="008B36A4"/>
    <w:rsid w:val="008B3E9C"/>
    <w:rsid w:val="008B511A"/>
    <w:rsid w:val="008C00F2"/>
    <w:rsid w:val="008C3CF7"/>
    <w:rsid w:val="008C6764"/>
    <w:rsid w:val="008C7A7C"/>
    <w:rsid w:val="008D1869"/>
    <w:rsid w:val="008D4C27"/>
    <w:rsid w:val="008D5D54"/>
    <w:rsid w:val="008D6290"/>
    <w:rsid w:val="008E00C4"/>
    <w:rsid w:val="008E06B4"/>
    <w:rsid w:val="008E077B"/>
    <w:rsid w:val="008E58B3"/>
    <w:rsid w:val="008E7515"/>
    <w:rsid w:val="008F07DB"/>
    <w:rsid w:val="008F1112"/>
    <w:rsid w:val="008F35E1"/>
    <w:rsid w:val="008F5C3B"/>
    <w:rsid w:val="00900293"/>
    <w:rsid w:val="00911786"/>
    <w:rsid w:val="009149BD"/>
    <w:rsid w:val="009164F5"/>
    <w:rsid w:val="00916569"/>
    <w:rsid w:val="00922335"/>
    <w:rsid w:val="009229ED"/>
    <w:rsid w:val="00924549"/>
    <w:rsid w:val="00924E20"/>
    <w:rsid w:val="009263B4"/>
    <w:rsid w:val="009303E4"/>
    <w:rsid w:val="00931194"/>
    <w:rsid w:val="00933773"/>
    <w:rsid w:val="00933BFC"/>
    <w:rsid w:val="00936144"/>
    <w:rsid w:val="0093757A"/>
    <w:rsid w:val="009428A0"/>
    <w:rsid w:val="009440B3"/>
    <w:rsid w:val="009447BE"/>
    <w:rsid w:val="00947EAB"/>
    <w:rsid w:val="009513D2"/>
    <w:rsid w:val="00952219"/>
    <w:rsid w:val="00952994"/>
    <w:rsid w:val="009542AA"/>
    <w:rsid w:val="00955561"/>
    <w:rsid w:val="00956A14"/>
    <w:rsid w:val="009579FC"/>
    <w:rsid w:val="0096032F"/>
    <w:rsid w:val="00970AB3"/>
    <w:rsid w:val="0097336E"/>
    <w:rsid w:val="00981149"/>
    <w:rsid w:val="00981755"/>
    <w:rsid w:val="00981C66"/>
    <w:rsid w:val="00982803"/>
    <w:rsid w:val="00983C02"/>
    <w:rsid w:val="00984A8E"/>
    <w:rsid w:val="00987072"/>
    <w:rsid w:val="0099439B"/>
    <w:rsid w:val="0099685F"/>
    <w:rsid w:val="009A3AA0"/>
    <w:rsid w:val="009C0EBC"/>
    <w:rsid w:val="009D1868"/>
    <w:rsid w:val="009D4FBB"/>
    <w:rsid w:val="009E0FCD"/>
    <w:rsid w:val="009E2E1D"/>
    <w:rsid w:val="009E490E"/>
    <w:rsid w:val="009E754B"/>
    <w:rsid w:val="009E7EDB"/>
    <w:rsid w:val="009F53FF"/>
    <w:rsid w:val="00A02670"/>
    <w:rsid w:val="00A04397"/>
    <w:rsid w:val="00A07805"/>
    <w:rsid w:val="00A156A2"/>
    <w:rsid w:val="00A2027E"/>
    <w:rsid w:val="00A204FA"/>
    <w:rsid w:val="00A208DC"/>
    <w:rsid w:val="00A27A88"/>
    <w:rsid w:val="00A37DF2"/>
    <w:rsid w:val="00A4488F"/>
    <w:rsid w:val="00A44CE4"/>
    <w:rsid w:val="00A4720D"/>
    <w:rsid w:val="00A55CAD"/>
    <w:rsid w:val="00A57C07"/>
    <w:rsid w:val="00A62849"/>
    <w:rsid w:val="00A64D78"/>
    <w:rsid w:val="00A747F2"/>
    <w:rsid w:val="00A8011B"/>
    <w:rsid w:val="00A85B73"/>
    <w:rsid w:val="00A85CEF"/>
    <w:rsid w:val="00A86B26"/>
    <w:rsid w:val="00A93F13"/>
    <w:rsid w:val="00AA0DE9"/>
    <w:rsid w:val="00AA0F45"/>
    <w:rsid w:val="00AA5119"/>
    <w:rsid w:val="00AA60D7"/>
    <w:rsid w:val="00AA61EA"/>
    <w:rsid w:val="00AB4013"/>
    <w:rsid w:val="00AC02AD"/>
    <w:rsid w:val="00AC0552"/>
    <w:rsid w:val="00AC0B0C"/>
    <w:rsid w:val="00AC42D8"/>
    <w:rsid w:val="00AC498A"/>
    <w:rsid w:val="00AC738A"/>
    <w:rsid w:val="00AD2BB3"/>
    <w:rsid w:val="00AD6444"/>
    <w:rsid w:val="00AD7997"/>
    <w:rsid w:val="00AD7C82"/>
    <w:rsid w:val="00AE3A03"/>
    <w:rsid w:val="00AE3CFF"/>
    <w:rsid w:val="00AE5AAB"/>
    <w:rsid w:val="00AE5CD5"/>
    <w:rsid w:val="00AF1D45"/>
    <w:rsid w:val="00AF2E8D"/>
    <w:rsid w:val="00AF30F0"/>
    <w:rsid w:val="00AF5342"/>
    <w:rsid w:val="00AF7A9D"/>
    <w:rsid w:val="00B03596"/>
    <w:rsid w:val="00B05344"/>
    <w:rsid w:val="00B12248"/>
    <w:rsid w:val="00B12C38"/>
    <w:rsid w:val="00B176B8"/>
    <w:rsid w:val="00B17C79"/>
    <w:rsid w:val="00B316B8"/>
    <w:rsid w:val="00B3274F"/>
    <w:rsid w:val="00B329D3"/>
    <w:rsid w:val="00B362DC"/>
    <w:rsid w:val="00B36428"/>
    <w:rsid w:val="00B438AE"/>
    <w:rsid w:val="00B44434"/>
    <w:rsid w:val="00B467A2"/>
    <w:rsid w:val="00B50E98"/>
    <w:rsid w:val="00B50F55"/>
    <w:rsid w:val="00B51BA9"/>
    <w:rsid w:val="00B51D8A"/>
    <w:rsid w:val="00B52FC7"/>
    <w:rsid w:val="00B54C9B"/>
    <w:rsid w:val="00B5533F"/>
    <w:rsid w:val="00B56109"/>
    <w:rsid w:val="00B57917"/>
    <w:rsid w:val="00B6566C"/>
    <w:rsid w:val="00B65BC3"/>
    <w:rsid w:val="00B67EF1"/>
    <w:rsid w:val="00B743D4"/>
    <w:rsid w:val="00B74BEB"/>
    <w:rsid w:val="00B7584E"/>
    <w:rsid w:val="00B75A78"/>
    <w:rsid w:val="00B859D6"/>
    <w:rsid w:val="00B91616"/>
    <w:rsid w:val="00B971BB"/>
    <w:rsid w:val="00BA7FF1"/>
    <w:rsid w:val="00BB0B0F"/>
    <w:rsid w:val="00BB2187"/>
    <w:rsid w:val="00BB364A"/>
    <w:rsid w:val="00BB780D"/>
    <w:rsid w:val="00BC385B"/>
    <w:rsid w:val="00BC466F"/>
    <w:rsid w:val="00BD3599"/>
    <w:rsid w:val="00BD4302"/>
    <w:rsid w:val="00BD63D8"/>
    <w:rsid w:val="00BE096B"/>
    <w:rsid w:val="00BE7369"/>
    <w:rsid w:val="00BF0BA7"/>
    <w:rsid w:val="00BF68E3"/>
    <w:rsid w:val="00BF7E87"/>
    <w:rsid w:val="00C102DA"/>
    <w:rsid w:val="00C15AA1"/>
    <w:rsid w:val="00C17567"/>
    <w:rsid w:val="00C243D4"/>
    <w:rsid w:val="00C2457C"/>
    <w:rsid w:val="00C32D3E"/>
    <w:rsid w:val="00C353D8"/>
    <w:rsid w:val="00C45B30"/>
    <w:rsid w:val="00C56158"/>
    <w:rsid w:val="00C61FCE"/>
    <w:rsid w:val="00C70AB0"/>
    <w:rsid w:val="00C76A02"/>
    <w:rsid w:val="00C777BE"/>
    <w:rsid w:val="00C8302E"/>
    <w:rsid w:val="00C83127"/>
    <w:rsid w:val="00C835C7"/>
    <w:rsid w:val="00C836AC"/>
    <w:rsid w:val="00C85843"/>
    <w:rsid w:val="00C85ADA"/>
    <w:rsid w:val="00C944D4"/>
    <w:rsid w:val="00CB0F38"/>
    <w:rsid w:val="00CB24C0"/>
    <w:rsid w:val="00CB2AD3"/>
    <w:rsid w:val="00CB3A05"/>
    <w:rsid w:val="00CC0DEA"/>
    <w:rsid w:val="00CC21C6"/>
    <w:rsid w:val="00CC656A"/>
    <w:rsid w:val="00CD51DF"/>
    <w:rsid w:val="00CD7900"/>
    <w:rsid w:val="00CF058D"/>
    <w:rsid w:val="00CF56C4"/>
    <w:rsid w:val="00D036EB"/>
    <w:rsid w:val="00D03BF2"/>
    <w:rsid w:val="00D05775"/>
    <w:rsid w:val="00D06109"/>
    <w:rsid w:val="00D142AC"/>
    <w:rsid w:val="00D14CB2"/>
    <w:rsid w:val="00D16EF1"/>
    <w:rsid w:val="00D16FBB"/>
    <w:rsid w:val="00D21C4A"/>
    <w:rsid w:val="00D24446"/>
    <w:rsid w:val="00D27AAC"/>
    <w:rsid w:val="00D32BB4"/>
    <w:rsid w:val="00D36D38"/>
    <w:rsid w:val="00D42E11"/>
    <w:rsid w:val="00D44664"/>
    <w:rsid w:val="00D452AD"/>
    <w:rsid w:val="00D4719F"/>
    <w:rsid w:val="00D47FBB"/>
    <w:rsid w:val="00D51CBB"/>
    <w:rsid w:val="00D52D18"/>
    <w:rsid w:val="00D742E2"/>
    <w:rsid w:val="00D8489A"/>
    <w:rsid w:val="00D87A21"/>
    <w:rsid w:val="00D92CF6"/>
    <w:rsid w:val="00D93F4B"/>
    <w:rsid w:val="00D975BA"/>
    <w:rsid w:val="00DA6D1A"/>
    <w:rsid w:val="00DB3AE1"/>
    <w:rsid w:val="00DB62FB"/>
    <w:rsid w:val="00DC3E2E"/>
    <w:rsid w:val="00DC47F2"/>
    <w:rsid w:val="00DD3DF7"/>
    <w:rsid w:val="00DE1061"/>
    <w:rsid w:val="00DE1F0B"/>
    <w:rsid w:val="00DF3BC7"/>
    <w:rsid w:val="00DF53ED"/>
    <w:rsid w:val="00E05388"/>
    <w:rsid w:val="00E056F1"/>
    <w:rsid w:val="00E10EA9"/>
    <w:rsid w:val="00E150A6"/>
    <w:rsid w:val="00E20155"/>
    <w:rsid w:val="00E20F1E"/>
    <w:rsid w:val="00E21756"/>
    <w:rsid w:val="00E21E9C"/>
    <w:rsid w:val="00E308CA"/>
    <w:rsid w:val="00E34C97"/>
    <w:rsid w:val="00E34ECD"/>
    <w:rsid w:val="00E351FC"/>
    <w:rsid w:val="00E35DDF"/>
    <w:rsid w:val="00E36051"/>
    <w:rsid w:val="00E370D8"/>
    <w:rsid w:val="00E41780"/>
    <w:rsid w:val="00E43D23"/>
    <w:rsid w:val="00E44096"/>
    <w:rsid w:val="00E500B5"/>
    <w:rsid w:val="00E5157A"/>
    <w:rsid w:val="00E51EEF"/>
    <w:rsid w:val="00E57DF8"/>
    <w:rsid w:val="00E61E79"/>
    <w:rsid w:val="00E656DB"/>
    <w:rsid w:val="00E658F8"/>
    <w:rsid w:val="00E65F67"/>
    <w:rsid w:val="00E67FE2"/>
    <w:rsid w:val="00E727EC"/>
    <w:rsid w:val="00E73F4F"/>
    <w:rsid w:val="00E84AB6"/>
    <w:rsid w:val="00E86DBE"/>
    <w:rsid w:val="00E93165"/>
    <w:rsid w:val="00E94CAF"/>
    <w:rsid w:val="00E95CA2"/>
    <w:rsid w:val="00E96242"/>
    <w:rsid w:val="00EB6DB0"/>
    <w:rsid w:val="00EC09D7"/>
    <w:rsid w:val="00EC4EAA"/>
    <w:rsid w:val="00EC6E72"/>
    <w:rsid w:val="00ED006B"/>
    <w:rsid w:val="00ED1FD7"/>
    <w:rsid w:val="00ED6602"/>
    <w:rsid w:val="00EE085C"/>
    <w:rsid w:val="00EE443F"/>
    <w:rsid w:val="00EF07C6"/>
    <w:rsid w:val="00EF4F82"/>
    <w:rsid w:val="00EF5023"/>
    <w:rsid w:val="00EF506B"/>
    <w:rsid w:val="00F046D8"/>
    <w:rsid w:val="00F04E7E"/>
    <w:rsid w:val="00F04EE3"/>
    <w:rsid w:val="00F1282A"/>
    <w:rsid w:val="00F14403"/>
    <w:rsid w:val="00F16761"/>
    <w:rsid w:val="00F21CDF"/>
    <w:rsid w:val="00F22D46"/>
    <w:rsid w:val="00F2415C"/>
    <w:rsid w:val="00F25C43"/>
    <w:rsid w:val="00F34DE1"/>
    <w:rsid w:val="00F437AB"/>
    <w:rsid w:val="00F43D7F"/>
    <w:rsid w:val="00F46C85"/>
    <w:rsid w:val="00F46F53"/>
    <w:rsid w:val="00F53326"/>
    <w:rsid w:val="00F57451"/>
    <w:rsid w:val="00F6794B"/>
    <w:rsid w:val="00F810A3"/>
    <w:rsid w:val="00F82434"/>
    <w:rsid w:val="00F83045"/>
    <w:rsid w:val="00F856B5"/>
    <w:rsid w:val="00F90070"/>
    <w:rsid w:val="00F907F7"/>
    <w:rsid w:val="00F91D83"/>
    <w:rsid w:val="00F927D8"/>
    <w:rsid w:val="00F96177"/>
    <w:rsid w:val="00FA19EC"/>
    <w:rsid w:val="00FC13E7"/>
    <w:rsid w:val="00FC1856"/>
    <w:rsid w:val="00FC2572"/>
    <w:rsid w:val="00FC3282"/>
    <w:rsid w:val="00FC4EF5"/>
    <w:rsid w:val="00FD23B5"/>
    <w:rsid w:val="00FD726A"/>
    <w:rsid w:val="00FE24A3"/>
    <w:rsid w:val="00FE5EF6"/>
    <w:rsid w:val="00FE6765"/>
    <w:rsid w:val="00FF0388"/>
    <w:rsid w:val="00FF649B"/>
    <w:rsid w:val="00FF6B9A"/>
    <w:rsid w:val="00FF6D9A"/>
    <w:rsid w:val="00FF7CD4"/>
    <w:rsid w:val="02404103"/>
    <w:rsid w:val="02BB0CE1"/>
    <w:rsid w:val="030B33F9"/>
    <w:rsid w:val="07171316"/>
    <w:rsid w:val="0AAB250B"/>
    <w:rsid w:val="0C9D0152"/>
    <w:rsid w:val="0EE356CF"/>
    <w:rsid w:val="10CD7F9B"/>
    <w:rsid w:val="168150B0"/>
    <w:rsid w:val="17A54C27"/>
    <w:rsid w:val="183326C1"/>
    <w:rsid w:val="195C1B1F"/>
    <w:rsid w:val="1EF344F9"/>
    <w:rsid w:val="20880AD2"/>
    <w:rsid w:val="223744C9"/>
    <w:rsid w:val="241524FC"/>
    <w:rsid w:val="2717462E"/>
    <w:rsid w:val="272C7542"/>
    <w:rsid w:val="27597216"/>
    <w:rsid w:val="2AAE0992"/>
    <w:rsid w:val="2B3F55A3"/>
    <w:rsid w:val="2BCF7421"/>
    <w:rsid w:val="303B19BB"/>
    <w:rsid w:val="30C32F73"/>
    <w:rsid w:val="34C61AA4"/>
    <w:rsid w:val="34F67629"/>
    <w:rsid w:val="358F532D"/>
    <w:rsid w:val="36291611"/>
    <w:rsid w:val="375E2BA2"/>
    <w:rsid w:val="388108C3"/>
    <w:rsid w:val="38915B51"/>
    <w:rsid w:val="38A9676E"/>
    <w:rsid w:val="39622D00"/>
    <w:rsid w:val="39D06C6D"/>
    <w:rsid w:val="3AEB03F0"/>
    <w:rsid w:val="3BD00275"/>
    <w:rsid w:val="3D1A6C73"/>
    <w:rsid w:val="3E155D1B"/>
    <w:rsid w:val="3F58708E"/>
    <w:rsid w:val="3F853D98"/>
    <w:rsid w:val="40BA4DDC"/>
    <w:rsid w:val="40D8651F"/>
    <w:rsid w:val="439D416A"/>
    <w:rsid w:val="441E71D2"/>
    <w:rsid w:val="489D12F7"/>
    <w:rsid w:val="493108C7"/>
    <w:rsid w:val="493270EF"/>
    <w:rsid w:val="495B4154"/>
    <w:rsid w:val="4A132749"/>
    <w:rsid w:val="4F116314"/>
    <w:rsid w:val="51AF49B3"/>
    <w:rsid w:val="54DC3387"/>
    <w:rsid w:val="55157977"/>
    <w:rsid w:val="55FF2C57"/>
    <w:rsid w:val="56022B6E"/>
    <w:rsid w:val="56BC5301"/>
    <w:rsid w:val="572054D1"/>
    <w:rsid w:val="5BA64AE8"/>
    <w:rsid w:val="5D047593"/>
    <w:rsid w:val="5D343452"/>
    <w:rsid w:val="603E67DA"/>
    <w:rsid w:val="61EB7B84"/>
    <w:rsid w:val="61EC086C"/>
    <w:rsid w:val="63367738"/>
    <w:rsid w:val="63512E3B"/>
    <w:rsid w:val="645F2119"/>
    <w:rsid w:val="6535084A"/>
    <w:rsid w:val="659459A9"/>
    <w:rsid w:val="697B2E22"/>
    <w:rsid w:val="6A5D3C1D"/>
    <w:rsid w:val="6C952070"/>
    <w:rsid w:val="6CF81527"/>
    <w:rsid w:val="6FA85DD4"/>
    <w:rsid w:val="70882CC0"/>
    <w:rsid w:val="70D069E6"/>
    <w:rsid w:val="72BF2E47"/>
    <w:rsid w:val="72CA7BC0"/>
    <w:rsid w:val="72F4758A"/>
    <w:rsid w:val="76A05202"/>
    <w:rsid w:val="76C5388F"/>
    <w:rsid w:val="79680FED"/>
    <w:rsid w:val="7A747834"/>
    <w:rsid w:val="7AA35B12"/>
    <w:rsid w:val="7F1476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2">
    <w:name w:val="heading 2"/>
    <w:basedOn w:val="1"/>
    <w:next w:val="1"/>
    <w:link w:val="14"/>
    <w:qFormat/>
    <w:uiPriority w:val="0"/>
    <w:pPr>
      <w:keepNext/>
      <w:keepLines/>
      <w:widowControl w:val="0"/>
      <w:spacing w:before="260" w:after="260" w:line="413" w:lineRule="auto"/>
      <w:jc w:val="both"/>
      <w:outlineLvl w:val="1"/>
    </w:pPr>
    <w:rPr>
      <w:rFonts w:ascii="Arial" w:hAnsi="Arial" w:eastAsia="黑体" w:cs="Times New Roman"/>
      <w:b/>
      <w:kern w:val="2"/>
      <w:sz w:val="32"/>
      <w:szCs w:val="21"/>
      <w:lang w:val="en-US" w:eastAsia="zh-CN" w:bidi="ar-SA"/>
    </w:rPr>
  </w:style>
  <w:style w:type="character" w:default="1" w:styleId="10">
    <w:name w:val="Default Paragraph Fon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Date"/>
    <w:basedOn w:val="1"/>
    <w:next w:val="1"/>
    <w:uiPriority w:val="0"/>
    <w:pPr>
      <w:ind w:left="100" w:leftChars="2500"/>
    </w:p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page number"/>
    <w:basedOn w:val="10"/>
    <w:uiPriority w:val="0"/>
  </w:style>
  <w:style w:type="character" w:styleId="13">
    <w:name w:val="Hyperlink"/>
    <w:uiPriority w:val="0"/>
    <w:rPr>
      <w:color w:val="0000FF"/>
      <w:u w:val="single"/>
    </w:rPr>
  </w:style>
  <w:style w:type="character" w:customStyle="1" w:styleId="14">
    <w:name w:val="标题 2 Char"/>
    <w:link w:val="2"/>
    <w:qFormat/>
    <w:uiPriority w:val="0"/>
    <w:rPr>
      <w:rFonts w:ascii="Arial" w:hAnsi="Arial" w:eastAsia="黑体" w:cs="Times New Roman"/>
      <w:b/>
      <w:kern w:val="2"/>
      <w:sz w:val="32"/>
      <w:szCs w:val="21"/>
      <w:lang w:val="en-US" w:eastAsia="zh-CN" w:bidi="ar-SA"/>
    </w:rPr>
  </w:style>
  <w:style w:type="character" w:customStyle="1" w:styleId="15">
    <w:name w:val="公文标题"/>
    <w:qFormat/>
    <w:uiPriority w:val="0"/>
    <w:rPr>
      <w:rFonts w:eastAsia="金山简标宋"/>
      <w:sz w:val="44"/>
      <w:szCs w:val="24"/>
    </w:rPr>
  </w:style>
  <w:style w:type="paragraph" w:customStyle="1" w:styleId="16">
    <w:name w:val="实施方案正文"/>
    <w:basedOn w:val="17"/>
    <w:qFormat/>
    <w:uiPriority w:val="0"/>
    <w:pPr>
      <w:ind w:firstLine="566" w:firstLineChars="202"/>
    </w:pPr>
    <w:rPr>
      <w:rFonts w:ascii="Calibri" w:hAnsi="Calibri" w:eastAsia="宋体" w:cs="Times New Roman"/>
      <w:szCs w:val="28"/>
    </w:rPr>
  </w:style>
  <w:style w:type="paragraph" w:customStyle="1" w:styleId="17">
    <w:name w:val="正文 New"/>
    <w:next w:val="16"/>
    <w:qFormat/>
    <w:uiPriority w:val="0"/>
    <w:pPr>
      <w:widowControl w:val="0"/>
      <w:jc w:val="both"/>
    </w:pPr>
    <w:rPr>
      <w:rFonts w:ascii="Times New Roman" w:hAnsi="Times New Roman" w:eastAsia="宋体" w:cs="Times New Roman"/>
      <w:szCs w:val="24"/>
      <w:lang w:val="en-US" w:eastAsia="zh-CN" w:bidi="ar-SA"/>
    </w:rPr>
  </w:style>
  <w:style w:type="paragraph" w:customStyle="1" w:styleId="18">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19">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 w:type="paragraph" w:customStyle="1" w:styleId="20">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customStyle="1" w:styleId="21">
    <w:name w:val="NormalIndent"/>
    <w:basedOn w:val="1"/>
    <w:qFormat/>
    <w:uiPriority w:val="0"/>
    <w:pPr>
      <w:ind w:firstLine="420" w:firstLine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8</Pages>
  <Words>3346</Words>
  <Characters>3405</Characters>
  <Lines>16</Lines>
  <Paragraphs>4</Paragraphs>
  <TotalTime>0</TotalTime>
  <ScaleCrop>false</ScaleCrop>
  <LinksUpToDate>false</LinksUpToDate>
  <CharactersWithSpaces>3489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2022-10-08T01:15:00Z</dcterms:created>
  <dc:creator>*</dc:creator>
  <cp:lastModifiedBy>符号</cp:lastModifiedBy>
  <cp:lastPrinted>2023-04-28T03:10:49Z</cp:lastPrinted>
  <dcterms:modified xsi:type="dcterms:W3CDTF">2026-07-17T02:00:17Z</dcterms:modified>
  <dc:title>各位常委、主任、主席：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42CF733F24A6419B969084DCECACFA7C_13</vt:lpwstr>
  </property>
  <property fmtid="{D5CDD505-2E9C-101B-9397-08002B2CF9AE}" pid="4" name="KSOTemplateDocerSaveRecord">
    <vt:lpwstr>eyJoZGlkIjoiOGQyZDRkZmFlNWM0MDliNWRhYTQ0Nzc4MzE5NmI0MjQiLCJ1c2VySWQiOiIzNjE2NjA5NTcifQ==</vt:lpwstr>
  </property>
</Properties>
</file>