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50A99">
      <w:pPr>
        <w:keepNext w:val="0"/>
        <w:keepLines w:val="0"/>
        <w:pageBreakBefore w:val="0"/>
        <w:kinsoku/>
        <w:wordWrap/>
        <w:overflowPunct/>
        <w:autoSpaceDN/>
        <w:bidi w:val="0"/>
        <w:spacing w:line="560" w:lineRule="exact"/>
        <w:ind w:left="0" w:leftChars="0" w:firstLine="0" w:firstLineChars="0"/>
        <w:jc w:val="center"/>
        <w:textAlignment w:val="auto"/>
        <w:rPr>
          <w:rFonts w:hint="eastAsia" w:ascii="方正小标宋_GBK" w:hAnsi="方正小标宋_GBK" w:eastAsia="方正小标宋_GBK" w:cs="方正小标宋_GBK"/>
          <w:color w:val="auto"/>
          <w:sz w:val="44"/>
          <w:szCs w:val="44"/>
          <w:lang w:val="en-US" w:eastAsia="zh-CN"/>
        </w:rPr>
      </w:pPr>
      <w:bookmarkStart w:id="0" w:name="_GoBack"/>
      <w:bookmarkEnd w:id="0"/>
      <w:r>
        <w:rPr>
          <w:rFonts w:hint="eastAsia" w:ascii="方正小标宋_GBK" w:hAnsi="方正小标宋_GBK" w:eastAsia="方正小标宋_GBK" w:cs="方正小标宋_GBK"/>
          <w:color w:val="auto"/>
          <w:sz w:val="44"/>
          <w:szCs w:val="44"/>
          <w:lang w:val="en-US" w:eastAsia="zh-CN"/>
        </w:rPr>
        <w:t>东川区</w:t>
      </w:r>
      <w:r>
        <w:rPr>
          <w:rFonts w:hint="eastAsia" w:ascii="Times New Roman" w:hAnsi="Times New Roman" w:eastAsia="方正小标宋_GBK" w:cs="Times New Roman"/>
          <w:color w:val="auto"/>
          <w:spacing w:val="-20"/>
          <w:sz w:val="44"/>
          <w:szCs w:val="44"/>
          <w:lang w:val="en-US" w:eastAsia="zh-CN"/>
        </w:rPr>
        <w:t>2023</w:t>
      </w:r>
      <w:r>
        <w:rPr>
          <w:rFonts w:hint="eastAsia" w:ascii="方正小标宋_GBK" w:hAnsi="方正小标宋_GBK" w:eastAsia="方正小标宋_GBK" w:cs="方正小标宋_GBK"/>
          <w:color w:val="auto"/>
          <w:sz w:val="44"/>
          <w:szCs w:val="44"/>
          <w:lang w:val="en-US" w:eastAsia="zh-CN"/>
        </w:rPr>
        <w:t>年优化人文环境工作方案</w:t>
      </w:r>
    </w:p>
    <w:p w14:paraId="7C8E838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color w:val="auto"/>
          <w:lang w:val="en-US" w:eastAsia="zh-CN"/>
        </w:rPr>
      </w:pPr>
    </w:p>
    <w:p w14:paraId="4ED1DF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为贯彻落实《</w:t>
      </w:r>
      <w:r>
        <w:rPr>
          <w:rFonts w:hint="default" w:ascii="Times New Roman" w:hAnsi="Times New Roman" w:eastAsia="仿宋_GB2312" w:cs="Times New Roman"/>
          <w:color w:val="auto"/>
          <w:sz w:val="32"/>
          <w:szCs w:val="32"/>
          <w:lang w:eastAsia="zh-CN"/>
        </w:rPr>
        <w:t>中共昆明市委办公室</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昆明市人民政府办公室关于</w:t>
      </w:r>
      <w:r>
        <w:rPr>
          <w:rFonts w:hint="eastAsia" w:ascii="Times New Roman" w:hAnsi="Times New Roman" w:eastAsia="仿宋_GB2312" w:cs="Times New Roman"/>
          <w:color w:val="auto"/>
          <w:sz w:val="32"/>
          <w:szCs w:val="32"/>
          <w:lang w:val="en-US" w:eastAsia="zh-CN"/>
        </w:rPr>
        <w:t>印发</w:t>
      </w:r>
      <w:r>
        <w:rPr>
          <w:rFonts w:hint="default" w:ascii="Times New Roman" w:hAnsi="Times New Roman" w:eastAsia="仿宋_GB2312" w:cs="Times New Roman"/>
          <w:color w:val="auto"/>
          <w:sz w:val="32"/>
          <w:szCs w:val="32"/>
          <w:lang w:eastAsia="zh-CN"/>
        </w:rPr>
        <w:t>昆明市</w:t>
      </w:r>
      <w:r>
        <w:rPr>
          <w:rFonts w:hint="eastAsia" w:ascii="Times New Roman" w:hAnsi="Times New Roman" w:cs="Times New Roman"/>
          <w:color w:val="auto"/>
          <w:sz w:val="32"/>
          <w:szCs w:val="32"/>
          <w:lang w:val="en-US" w:eastAsia="zh-CN"/>
        </w:rPr>
        <w:t>全面</w:t>
      </w:r>
      <w:r>
        <w:rPr>
          <w:rFonts w:hint="default" w:ascii="Times New Roman" w:hAnsi="Times New Roman" w:eastAsia="仿宋_GB2312" w:cs="Times New Roman"/>
          <w:color w:val="auto"/>
          <w:sz w:val="32"/>
          <w:szCs w:val="32"/>
          <w:lang w:eastAsia="zh-CN"/>
        </w:rPr>
        <w:t>优化</w:t>
      </w:r>
      <w:r>
        <w:rPr>
          <w:rFonts w:hint="eastAsia" w:ascii="Times New Roman" w:hAnsi="Times New Roman" w:cs="Times New Roman"/>
          <w:color w:val="auto"/>
          <w:sz w:val="32"/>
          <w:szCs w:val="32"/>
          <w:lang w:val="en-US" w:eastAsia="zh-CN"/>
        </w:rPr>
        <w:t>提升</w:t>
      </w:r>
      <w:r>
        <w:rPr>
          <w:rFonts w:hint="default" w:ascii="Times New Roman" w:hAnsi="Times New Roman" w:eastAsia="仿宋_GB2312" w:cs="Times New Roman"/>
          <w:color w:val="auto"/>
          <w:sz w:val="32"/>
          <w:szCs w:val="32"/>
          <w:lang w:eastAsia="zh-CN"/>
        </w:rPr>
        <w:t>营商环境</w:t>
      </w:r>
      <w:r>
        <w:rPr>
          <w:rFonts w:hint="eastAsia" w:ascii="Times New Roman" w:hAnsi="Times New Roman" w:cs="Times New Roman"/>
          <w:color w:val="auto"/>
          <w:sz w:val="32"/>
          <w:szCs w:val="32"/>
          <w:lang w:val="en-US" w:eastAsia="zh-CN"/>
        </w:rPr>
        <w:t>三年攻坚行动方案</w:t>
      </w:r>
      <w:r>
        <w:rPr>
          <w:rFonts w:hint="default" w:ascii="Times New Roman" w:hAnsi="Times New Roman" w:eastAsia="仿宋_GB2312" w:cs="Times New Roman"/>
          <w:color w:val="auto"/>
          <w:sz w:val="32"/>
          <w:szCs w:val="32"/>
        </w:rPr>
        <w:t>（</w:t>
      </w:r>
      <w:r>
        <w:rPr>
          <w:rFonts w:hint="default" w:ascii="Times New Roman" w:hAnsi="Times New Roman" w:eastAsia="方正小标宋_GBK" w:cs="Times New Roman"/>
          <w:color w:val="auto"/>
          <w:spacing w:val="-20"/>
          <w:sz w:val="32"/>
          <w:szCs w:val="32"/>
          <w:lang w:val="en-US" w:eastAsia="zh-CN"/>
        </w:rPr>
        <w:t>2022—2024</w:t>
      </w:r>
      <w:r>
        <w:rPr>
          <w:rFonts w:hint="default" w:ascii="Times New Roman" w:hAnsi="Times New Roman" w:eastAsia="仿宋_GB2312" w:cs="Times New Roman"/>
          <w:color w:val="auto"/>
          <w:sz w:val="32"/>
          <w:szCs w:val="32"/>
        </w:rPr>
        <w:t>年）</w:t>
      </w:r>
      <w:r>
        <w:rPr>
          <w:rFonts w:hint="eastAsia"/>
          <w:color w:val="auto"/>
          <w:lang w:val="en-US" w:eastAsia="zh-CN"/>
        </w:rPr>
        <w:t>》、</w:t>
      </w:r>
      <w:r>
        <w:rPr>
          <w:rFonts w:hint="default" w:ascii="Times New Roman" w:hAnsi="Times New Roman" w:eastAsia="仿宋_GB2312" w:cs="Times New Roman"/>
          <w:color w:val="auto"/>
          <w:sz w:val="32"/>
          <w:szCs w:val="32"/>
        </w:rPr>
        <w:t>《中共昆明市东川区委办公室 昆明市东川区人民政府办公室关于印发</w:t>
      </w:r>
      <w:r>
        <w:rPr>
          <w:rFonts w:hint="eastAsia" w:cs="Times New Roman"/>
          <w:color w:val="auto"/>
          <w:sz w:val="32"/>
          <w:szCs w:val="32"/>
          <w:lang w:val="en-US" w:eastAsia="zh-CN"/>
        </w:rPr>
        <w:t>&lt;</w:t>
      </w:r>
      <w:r>
        <w:rPr>
          <w:rFonts w:hint="default" w:ascii="Times New Roman" w:hAnsi="Times New Roman" w:eastAsia="仿宋_GB2312" w:cs="Times New Roman"/>
          <w:color w:val="auto"/>
          <w:sz w:val="32"/>
          <w:szCs w:val="32"/>
        </w:rPr>
        <w:t>东川区全面优化提升营商环境三年攻坚行动方案（</w:t>
      </w:r>
      <w:r>
        <w:rPr>
          <w:rFonts w:hint="default" w:ascii="Times New Roman" w:hAnsi="Times New Roman" w:eastAsia="方正小标宋_GBK" w:cs="Times New Roman"/>
          <w:color w:val="auto"/>
          <w:spacing w:val="-20"/>
          <w:sz w:val="32"/>
          <w:szCs w:val="32"/>
          <w:lang w:val="en-US" w:eastAsia="zh-CN"/>
        </w:rPr>
        <w:t>2022—2024</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&gt;</w:t>
      </w:r>
      <w:r>
        <w:rPr>
          <w:rFonts w:hint="default" w:ascii="Times New Roman" w:hAnsi="Times New Roman" w:eastAsia="仿宋_GB2312" w:cs="Times New Roman"/>
          <w:color w:val="auto"/>
          <w:sz w:val="32"/>
          <w:szCs w:val="32"/>
        </w:rPr>
        <w:t>的通知》（</w:t>
      </w:r>
      <w:r>
        <w:rPr>
          <w:rFonts w:hint="default" w:ascii="Times New Roman" w:hAnsi="Times New Roman" w:eastAsia="仿宋_GB2312" w:cs="Times New Roman"/>
          <w:color w:val="auto"/>
          <w:sz w:val="32"/>
          <w:szCs w:val="32"/>
          <w:lang w:eastAsia="zh-CN"/>
        </w:rPr>
        <w:t>东办发</w:t>
      </w:r>
      <w:r>
        <w:rPr>
          <w:rFonts w:hint="default" w:ascii="Times New Roman" w:hAnsi="Times New Roman" w:eastAsia="方正小标宋_GBK" w:cs="Times New Roman"/>
          <w:color w:val="auto"/>
          <w:spacing w:val="-20"/>
          <w:sz w:val="32"/>
          <w:szCs w:val="32"/>
          <w:lang w:val="en-US" w:eastAsia="zh-CN"/>
        </w:rPr>
        <w:t>〔2022〕12</w:t>
      </w:r>
      <w:r>
        <w:rPr>
          <w:rFonts w:hint="default" w:ascii="Times New Roman" w:hAnsi="Times New Roman" w:eastAsia="仿宋_GB2312" w:cs="Times New Roman"/>
          <w:color w:val="auto"/>
          <w:sz w:val="32"/>
          <w:szCs w:val="32"/>
          <w:lang w:eastAsia="zh-CN"/>
        </w:rPr>
        <w:t>号</w:t>
      </w:r>
      <w:r>
        <w:rPr>
          <w:rFonts w:hint="default" w:ascii="Times New Roman" w:hAnsi="Times New Roman" w:eastAsia="仿宋_GB2312" w:cs="Times New Roman"/>
          <w:color w:val="auto"/>
          <w:sz w:val="32"/>
          <w:szCs w:val="32"/>
        </w:rPr>
        <w:t>）</w:t>
      </w:r>
      <w:r>
        <w:rPr>
          <w:rFonts w:hint="eastAsia" w:cs="Times New Roman"/>
          <w:color w:val="auto"/>
          <w:sz w:val="32"/>
          <w:szCs w:val="32"/>
          <w:lang w:eastAsia="zh-CN"/>
        </w:rPr>
        <w:t>、</w:t>
      </w:r>
      <w:r>
        <w:rPr>
          <w:rFonts w:hint="default" w:ascii="Times New Roman" w:hAnsi="Times New Roman" w:eastAsia="仿宋_GB2312" w:cs="Times New Roman"/>
          <w:color w:val="auto"/>
          <w:sz w:val="32"/>
          <w:szCs w:val="32"/>
          <w:lang w:eastAsia="zh-CN"/>
        </w:rPr>
        <w:t>《中共昆明市东川区委办公室</w:t>
      </w: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昆明市东川区人民政府办公室关于成立昆明市东川区优化营商环境促进市场主体倍增领导小组的通知》（东办通</w:t>
      </w:r>
      <w:r>
        <w:rPr>
          <w:rFonts w:hint="default" w:ascii="Times New Roman" w:hAnsi="Times New Roman" w:eastAsia="方正小标宋_GBK" w:cs="Times New Roman"/>
          <w:color w:val="auto"/>
          <w:spacing w:val="-20"/>
          <w:sz w:val="32"/>
          <w:szCs w:val="32"/>
          <w:lang w:val="en-US" w:eastAsia="zh-CN"/>
        </w:rPr>
        <w:t>〔2022〕40</w:t>
      </w:r>
      <w:r>
        <w:rPr>
          <w:rFonts w:hint="default" w:ascii="Times New Roman" w:hAnsi="Times New Roman" w:eastAsia="仿宋_GB2312" w:cs="Times New Roman"/>
          <w:color w:val="auto"/>
          <w:sz w:val="32"/>
          <w:szCs w:val="32"/>
          <w:lang w:eastAsia="zh-CN"/>
        </w:rPr>
        <w:t>号）</w:t>
      </w:r>
      <w:r>
        <w:rPr>
          <w:rFonts w:hint="eastAsia" w:ascii="Times New Roman" w:hAnsi="Times New Roman" w:eastAsia="仿宋_GB2312" w:cs="Times New Roman"/>
          <w:color w:val="auto"/>
          <w:sz w:val="32"/>
          <w:szCs w:val="32"/>
          <w:lang w:val="en-US" w:eastAsia="zh-CN"/>
        </w:rPr>
        <w:t>的要求，做好东川区2023年优化提升营商环境工作，现结合我区实际制定本工作方案。</w:t>
      </w:r>
    </w:p>
    <w:p w14:paraId="0D82E5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一、指导思想</w:t>
      </w:r>
    </w:p>
    <w:p w14:paraId="331826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以习近平新时代中国特色社会主义思想为指导，深入贯彻党的二十大精神，全面贯彻习近平总书记考察云南重要讲话精神，按照以人民为中心的发展思想和推动高质量发展的要求，进一步加快新型基础设施建设，健全完善基本公共服务供给，打造绿色低碳美丽东川，构建现代化综合交通网络，为全区企业群众生产生活创造良好人文环境，打造一流营商环境。</w:t>
      </w:r>
    </w:p>
    <w:p w14:paraId="05049DB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二、工作目标</w:t>
      </w:r>
    </w:p>
    <w:p w14:paraId="2984F5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进一步推进全区人文环境建设，加快建设协同计算、智能决策、绿色安全的新型基础设施体系，</w:t>
      </w:r>
      <w:r>
        <w:rPr>
          <w:rFonts w:hint="default" w:ascii="Times New Roman" w:hAnsi="Times New Roman" w:eastAsia="仿宋_GB2312" w:cs="Times New Roman"/>
          <w:color w:val="auto"/>
          <w:sz w:val="32"/>
          <w:szCs w:val="32"/>
          <w:lang w:val="en-US" w:eastAsia="zh-CN"/>
        </w:rPr>
        <w:t>推进传统基础设施数字化、网络化、智能化改造</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健全完善基本公共服务供给</w:t>
      </w:r>
      <w:r>
        <w:rPr>
          <w:rFonts w:hint="eastAsia" w:ascii="Times New Roman" w:hAnsi="Times New Roman" w:eastAsia="仿宋_GB2312" w:cs="Times New Roman"/>
          <w:color w:val="auto"/>
          <w:sz w:val="32"/>
          <w:szCs w:val="32"/>
          <w:lang w:val="en-US" w:eastAsia="zh-CN"/>
        </w:rPr>
        <w:t>体系</w:t>
      </w:r>
      <w:r>
        <w:rPr>
          <w:rFonts w:hint="default" w:ascii="Times New Roman" w:hAnsi="Times New Roman" w:eastAsia="仿宋_GB2312" w:cs="Times New Roman"/>
          <w:color w:val="auto"/>
          <w:sz w:val="32"/>
          <w:szCs w:val="32"/>
          <w:lang w:val="en-US" w:eastAsia="zh-CN"/>
        </w:rPr>
        <w:t>，加强公共文化服务供给；坚持教育优先发展，优化教育资源布局和结构，加快推进教育事业高质量发展，努力让人民群众享有更有质量更公平的教育；以保障城市公共卫生安全和加强居民健康管理服务为重点，持续推进公共卫生体系建设；加快构建公共养老服务体系，补齐城乡养老服务短板，着力构建与人口老龄化相适应的全周期、全过程、全覆盖老年健康服务体系</w:t>
      </w:r>
      <w:r>
        <w:rPr>
          <w:rFonts w:hint="eastAsia" w:ascii="Times New Roman" w:hAnsi="Times New Roman"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统筹公路、水运、邮政等基础设施建设，构建现代化综合交通网络</w:t>
      </w:r>
      <w:r>
        <w:rPr>
          <w:rFonts w:hint="eastAsia" w:ascii="Times New Roman" w:hAnsi="Times New Roman" w:eastAsia="仿宋_GB2312" w:cs="Times New Roman"/>
          <w:color w:val="auto"/>
          <w:sz w:val="32"/>
          <w:szCs w:val="32"/>
          <w:lang w:val="en-US" w:eastAsia="zh-CN"/>
        </w:rPr>
        <w:t>。</w:t>
      </w:r>
    </w:p>
    <w:p w14:paraId="125A23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三、重点任务</w:t>
      </w:r>
    </w:p>
    <w:p w14:paraId="27DE117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（一）加快新型基础设施建设</w:t>
      </w:r>
    </w:p>
    <w:p w14:paraId="5D40D37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1.加快建设泛在感知、高速连接、协同计算、智能决策、绿色安全的新型基础设施体系，全面覆盖5G等信息网络。</w:t>
      </w:r>
    </w:p>
    <w:p w14:paraId="5E75371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牵头单位：区工科信局</w:t>
      </w:r>
    </w:p>
    <w:p w14:paraId="239172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责任单位：各乡镇（街道）</w:t>
      </w:r>
    </w:p>
    <w:p w14:paraId="56AA12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完成时限：2023年12月31日前</w:t>
      </w:r>
    </w:p>
    <w:p w14:paraId="6C9AE4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2.推动人工智能、工业互联网、物联网等新型基础设施与传统领域深度融合，政务和城市数据实现统一汇聚和互联互通，全面推进传统基础设施数字化、网络化、智能化改造，推进数字东川。</w:t>
      </w:r>
    </w:p>
    <w:p w14:paraId="2983B009">
      <w:pPr>
        <w:keepNext w:val="0"/>
        <w:keepLines w:val="0"/>
        <w:pageBreakBefore w:val="0"/>
        <w:kinsoku/>
        <w:wordWrap/>
        <w:overflowPunct/>
        <w:autoSpaceDN/>
        <w:bidi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牵头单位：区工科信局</w:t>
      </w:r>
    </w:p>
    <w:p w14:paraId="4ECF0FC9">
      <w:pPr>
        <w:keepNext w:val="0"/>
        <w:keepLines w:val="0"/>
        <w:pageBreakBefore w:val="0"/>
        <w:kinsoku/>
        <w:wordWrap/>
        <w:overflowPunct/>
        <w:autoSpaceDN/>
        <w:bidi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责任单位：区政务服务局，各乡镇（街道）</w:t>
      </w:r>
    </w:p>
    <w:p w14:paraId="5741DFA4">
      <w:pPr>
        <w:keepNext w:val="0"/>
        <w:keepLines w:val="0"/>
        <w:pageBreakBefore w:val="0"/>
        <w:kinsoku/>
        <w:wordWrap/>
        <w:overflowPunct/>
        <w:autoSpaceDN/>
        <w:bidi w:val="0"/>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完成时限：</w:t>
      </w:r>
      <w:r>
        <w:rPr>
          <w:rFonts w:hint="eastAsia" w:ascii="仿宋_GB2312" w:hAnsi="仿宋_GB2312" w:eastAsia="仿宋_GB2312" w:cs="仿宋_GB2312"/>
          <w:color w:val="auto"/>
          <w:spacing w:val="-20"/>
          <w:sz w:val="32"/>
          <w:szCs w:val="32"/>
          <w:lang w:val="en-US" w:eastAsia="zh-CN"/>
        </w:rPr>
        <w:t>2023</w:t>
      </w:r>
      <w:r>
        <w:rPr>
          <w:rFonts w:hint="eastAsia" w:ascii="仿宋_GB2312" w:hAnsi="仿宋_GB2312" w:eastAsia="仿宋_GB2312" w:cs="仿宋_GB2312"/>
          <w:color w:val="auto"/>
          <w:sz w:val="32"/>
          <w:szCs w:val="32"/>
          <w:lang w:val="en-US" w:eastAsia="zh-CN"/>
        </w:rPr>
        <w:t>年</w:t>
      </w:r>
      <w:r>
        <w:rPr>
          <w:rFonts w:hint="eastAsia" w:ascii="仿宋_GB2312" w:hAnsi="仿宋_GB2312" w:eastAsia="仿宋_GB2312" w:cs="仿宋_GB2312"/>
          <w:color w:val="auto"/>
          <w:spacing w:val="-20"/>
          <w:sz w:val="32"/>
          <w:szCs w:val="32"/>
          <w:lang w:val="en-US" w:eastAsia="zh-CN"/>
        </w:rPr>
        <w:t>12</w:t>
      </w:r>
      <w:r>
        <w:rPr>
          <w:rFonts w:hint="eastAsia" w:ascii="仿宋_GB2312" w:hAnsi="仿宋_GB2312" w:eastAsia="仿宋_GB2312" w:cs="仿宋_GB2312"/>
          <w:color w:val="auto"/>
          <w:sz w:val="32"/>
          <w:szCs w:val="32"/>
          <w:lang w:val="en-US" w:eastAsia="zh-CN"/>
        </w:rPr>
        <w:t>月</w:t>
      </w:r>
      <w:r>
        <w:rPr>
          <w:rFonts w:hint="eastAsia" w:ascii="仿宋_GB2312" w:hAnsi="仿宋_GB2312" w:eastAsia="仿宋_GB2312" w:cs="仿宋_GB2312"/>
          <w:color w:val="auto"/>
          <w:spacing w:val="-20"/>
          <w:sz w:val="32"/>
          <w:szCs w:val="32"/>
          <w:lang w:val="en-US" w:eastAsia="zh-CN"/>
        </w:rPr>
        <w:t>31</w:t>
      </w:r>
      <w:r>
        <w:rPr>
          <w:rFonts w:hint="eastAsia" w:ascii="仿宋_GB2312" w:hAnsi="仿宋_GB2312" w:eastAsia="仿宋_GB2312" w:cs="仿宋_GB2312"/>
          <w:color w:val="auto"/>
          <w:sz w:val="32"/>
          <w:szCs w:val="32"/>
          <w:lang w:val="en-US" w:eastAsia="zh-CN"/>
        </w:rPr>
        <w:t>日前</w:t>
      </w:r>
    </w:p>
    <w:p w14:paraId="124C4A6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（二）健全完善基本公共服务供给</w:t>
      </w:r>
    </w:p>
    <w:p w14:paraId="33AE678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3.加快推进城乡公共文化服务体系一体化建设，推动公共文化服务高质量发展。加强公共文化服务供给，推进公共文化服务进社区，延续东川历史文脉。2022—2024年全区企业文化服务能力不断增强。</w:t>
      </w:r>
    </w:p>
    <w:p w14:paraId="160349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牵头单位：区文化和旅游局</w:t>
      </w:r>
    </w:p>
    <w:p w14:paraId="7C1910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责任单位：各乡镇（街道）</w:t>
      </w:r>
    </w:p>
    <w:p w14:paraId="7DC8C602">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19440E8A">
      <w:pPr>
        <w:keepNext w:val="0"/>
        <w:keepLines w:val="0"/>
        <w:pageBreakBefore w:val="0"/>
        <w:kinsoku/>
        <w:wordWrap/>
        <w:overflowPunct/>
        <w:autoSpaceDN/>
        <w:bidi w:val="0"/>
        <w:spacing w:line="560" w:lineRule="exact"/>
        <w:ind w:firstLine="640" w:firstLineChars="200"/>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4</w:t>
      </w:r>
      <w:r>
        <w:rPr>
          <w:rFonts w:hint="eastAsia" w:ascii="Times New Roman" w:hAnsi="Times New Roman" w:cs="Times New Roman"/>
          <w:b w:val="0"/>
          <w:color w:val="auto"/>
          <w:kern w:val="2"/>
          <w:sz w:val="32"/>
          <w:szCs w:val="32"/>
          <w:highlight w:val="none"/>
          <w:lang w:val="en-US" w:eastAsia="zh-CN" w:bidi="ar-SA"/>
        </w:rPr>
        <w:t>.</w:t>
      </w:r>
      <w:r>
        <w:rPr>
          <w:rFonts w:hint="eastAsia" w:ascii="Times New Roman" w:hAnsi="Times New Roman" w:eastAsia="仿宋_GB2312" w:cs="Times New Roman"/>
          <w:color w:val="auto"/>
          <w:sz w:val="32"/>
          <w:szCs w:val="32"/>
          <w:lang w:val="en-US" w:eastAsia="zh-CN"/>
        </w:rPr>
        <w:t>强化教育保障服务，建立以居住证为主要依据的义务教育入学保障机制，推进随迁子女在公办学校或以政府购买民办学校学位方式就近入学。</w:t>
      </w:r>
      <w:r>
        <w:rPr>
          <w:rFonts w:hint="eastAsia" w:ascii="Times New Roman" w:hAnsi="Times New Roman" w:eastAsia="方正小标宋_GBK" w:cs="Times New Roman"/>
          <w:color w:val="auto"/>
          <w:spacing w:val="-20"/>
          <w:sz w:val="32"/>
          <w:szCs w:val="32"/>
          <w:lang w:val="en-US" w:eastAsia="zh-CN"/>
        </w:rPr>
        <w:t>2022—2024</w:t>
      </w:r>
      <w:r>
        <w:rPr>
          <w:rFonts w:hint="eastAsia" w:ascii="Times New Roman" w:hAnsi="Times New Roman" w:cs="Times New Roman"/>
          <w:b w:val="0"/>
          <w:color w:val="auto"/>
          <w:kern w:val="2"/>
          <w:sz w:val="32"/>
          <w:szCs w:val="32"/>
          <w:highlight w:val="none"/>
          <w:lang w:val="en-US" w:eastAsia="zh-CN" w:bidi="ar-SA"/>
        </w:rPr>
        <w:t>年</w:t>
      </w:r>
      <w:r>
        <w:rPr>
          <w:rFonts w:hint="eastAsia" w:ascii="Times New Roman" w:hAnsi="Times New Roman" w:eastAsia="仿宋_GB2312" w:cs="Times New Roman"/>
          <w:b w:val="0"/>
          <w:color w:val="auto"/>
          <w:kern w:val="2"/>
          <w:sz w:val="32"/>
          <w:szCs w:val="32"/>
          <w:highlight w:val="none"/>
          <w:lang w:val="en-US" w:eastAsia="zh-CN" w:bidi="ar-SA"/>
        </w:rPr>
        <w:t>随迁子女在公办学校接受义务教育（含政府购买民办学校学位）的比例不低于</w:t>
      </w:r>
      <w:r>
        <w:rPr>
          <w:rFonts w:hint="eastAsia" w:ascii="Times New Roman" w:hAnsi="Times New Roman" w:eastAsia="方正小标宋_GBK" w:cs="Times New Roman"/>
          <w:color w:val="auto"/>
          <w:spacing w:val="-20"/>
          <w:sz w:val="32"/>
          <w:szCs w:val="32"/>
          <w:lang w:val="en-US" w:eastAsia="zh-CN"/>
        </w:rPr>
        <w:t>85</w:t>
      </w:r>
      <w:r>
        <w:rPr>
          <w:rFonts w:hint="eastAsia" w:ascii="Times New Roman" w:hAnsi="Times New Roman" w:eastAsia="仿宋_GB2312" w:cs="Times New Roman"/>
          <w:b w:val="0"/>
          <w:color w:val="auto"/>
          <w:kern w:val="2"/>
          <w:sz w:val="32"/>
          <w:szCs w:val="32"/>
          <w:highlight w:val="none"/>
          <w:lang w:val="en-US" w:eastAsia="zh-CN" w:bidi="ar-SA"/>
        </w:rPr>
        <w:t>％并持续提升。</w:t>
      </w:r>
      <w:r>
        <w:rPr>
          <w:rFonts w:hint="eastAsia" w:eastAsia="仿宋_GB2312"/>
          <w:color w:val="auto"/>
          <w:sz w:val="32"/>
          <w:szCs w:val="32"/>
        </w:rPr>
        <w:t>推动教育体育事业高质量发展，制定实施</w:t>
      </w:r>
      <w:r>
        <w:rPr>
          <w:rFonts w:eastAsia="仿宋_GB2312"/>
          <w:color w:val="auto"/>
          <w:sz w:val="32"/>
          <w:szCs w:val="32"/>
        </w:rPr>
        <w:t>东川区</w:t>
      </w:r>
      <w:r>
        <w:rPr>
          <w:rFonts w:hint="eastAsia" w:eastAsia="仿宋_GB2312"/>
          <w:color w:val="auto"/>
          <w:sz w:val="32"/>
          <w:szCs w:val="32"/>
        </w:rPr>
        <w:t>银龄讲学三年行动计划，实施“三个骨干”工程。稳步推进中小学校</w:t>
      </w:r>
      <w:r>
        <w:rPr>
          <w:rFonts w:hint="eastAsia"/>
          <w:color w:val="auto"/>
          <w:sz w:val="32"/>
          <w:szCs w:val="32"/>
          <w:lang w:val="en-US" w:eastAsia="zh-CN"/>
        </w:rPr>
        <w:t>党组织领导的</w:t>
      </w:r>
      <w:r>
        <w:rPr>
          <w:rFonts w:hint="eastAsia" w:eastAsia="仿宋_GB2312"/>
          <w:color w:val="auto"/>
          <w:sz w:val="32"/>
          <w:szCs w:val="32"/>
        </w:rPr>
        <w:t>校长负责制改革。推动职业教育健康发展，积极推进校企合作。启动职业成人教育培训中心改扩建项目。</w:t>
      </w:r>
    </w:p>
    <w:p w14:paraId="5F0E2AC8">
      <w:pPr>
        <w:keepNext w:val="0"/>
        <w:keepLines w:val="0"/>
        <w:pageBreakBefore w:val="0"/>
        <w:kinsoku/>
        <w:wordWrap/>
        <w:overflowPunct/>
        <w:autoSpaceDN/>
        <w:bidi w:val="0"/>
        <w:spacing w:line="560" w:lineRule="exact"/>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牵头单位：区教育体育局</w:t>
      </w:r>
    </w:p>
    <w:p w14:paraId="4C69FC39">
      <w:pPr>
        <w:keepNext w:val="0"/>
        <w:keepLines w:val="0"/>
        <w:pageBreakBefore w:val="0"/>
        <w:kinsoku/>
        <w:wordWrap/>
        <w:overflowPunct/>
        <w:autoSpaceDN/>
        <w:bidi w:val="0"/>
        <w:spacing w:line="560" w:lineRule="exact"/>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责任单位：各乡镇（街道）</w:t>
      </w:r>
    </w:p>
    <w:p w14:paraId="12F60CDB">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1B62DF4F">
      <w:pPr>
        <w:keepNext w:val="0"/>
        <w:keepLines w:val="0"/>
        <w:pageBreakBefore w:val="0"/>
        <w:kinsoku/>
        <w:wordWrap/>
        <w:overflowPunct/>
        <w:autoSpaceDN/>
        <w:bidi w:val="0"/>
        <w:spacing w:line="560" w:lineRule="exact"/>
        <w:ind w:firstLine="640" w:firstLineChars="200"/>
        <w:textAlignment w:val="auto"/>
        <w:rPr>
          <w:rFonts w:hint="eastAsia" w:eastAsia="仿宋_GB2312" w:cs="Times New Roman"/>
          <w:color w:val="auto"/>
          <w:sz w:val="32"/>
          <w:szCs w:val="32"/>
          <w:lang w:val="en-US" w:eastAsia="zh-CN"/>
        </w:rPr>
      </w:pPr>
      <w:r>
        <w:rPr>
          <w:rFonts w:hint="eastAsia" w:ascii="Times New Roman" w:hAnsi="Times New Roman" w:eastAsia="仿宋_GB2312" w:cs="Times New Roman"/>
          <w:b w:val="0"/>
          <w:color w:val="auto"/>
          <w:kern w:val="2"/>
          <w:sz w:val="32"/>
          <w:szCs w:val="32"/>
          <w:highlight w:val="none"/>
          <w:lang w:val="en-US" w:eastAsia="zh-CN" w:bidi="ar-SA"/>
        </w:rPr>
        <w:t>5.</w:t>
      </w:r>
      <w:r>
        <w:rPr>
          <w:rFonts w:hint="eastAsia" w:eastAsia="仿宋_GB2312" w:cs="Times New Roman"/>
          <w:color w:val="auto"/>
          <w:sz w:val="32"/>
          <w:szCs w:val="32"/>
          <w:lang w:val="en-US" w:eastAsia="zh-CN"/>
        </w:rPr>
        <w:t>以保障城市公共卫生安全和加强居民健康管理服务为重点，持续推进公共卫生体系建设。加大异地就医医保报销力度，为外来务工人员就医提供更多便利。</w:t>
      </w:r>
    </w:p>
    <w:p w14:paraId="7978193C">
      <w:pPr>
        <w:keepNext w:val="0"/>
        <w:keepLines w:val="0"/>
        <w:pageBreakBefore w:val="0"/>
        <w:kinsoku/>
        <w:wordWrap/>
        <w:overflowPunct/>
        <w:autoSpaceDN/>
        <w:bidi w:val="0"/>
        <w:spacing w:line="560" w:lineRule="exact"/>
        <w:ind w:firstLine="640" w:firstLineChars="200"/>
        <w:textAlignment w:val="auto"/>
        <w:rPr>
          <w:rFonts w:hint="eastAsia" w:eastAsia="仿宋_GB2312" w:cs="Times New Roman"/>
          <w:color w:val="auto"/>
          <w:sz w:val="32"/>
          <w:szCs w:val="32"/>
          <w:lang w:val="en-US" w:eastAsia="zh-CN"/>
        </w:rPr>
      </w:pPr>
      <w:r>
        <w:rPr>
          <w:rFonts w:hint="eastAsia" w:eastAsia="仿宋_GB2312" w:cs="Times New Roman"/>
          <w:color w:val="auto"/>
          <w:sz w:val="32"/>
          <w:szCs w:val="32"/>
          <w:lang w:val="en-US" w:eastAsia="zh-CN"/>
        </w:rPr>
        <w:t>牵头单位：区卫生健康局</w:t>
      </w:r>
    </w:p>
    <w:p w14:paraId="50CE8A5E">
      <w:pPr>
        <w:keepNext w:val="0"/>
        <w:keepLines w:val="0"/>
        <w:pageBreakBefore w:val="0"/>
        <w:kinsoku/>
        <w:wordWrap/>
        <w:overflowPunct/>
        <w:autoSpaceDN/>
        <w:bidi w:val="0"/>
        <w:spacing w:line="560" w:lineRule="exact"/>
        <w:ind w:firstLine="640" w:firstLineChars="200"/>
        <w:jc w:val="left"/>
        <w:textAlignment w:val="auto"/>
        <w:rPr>
          <w:rFonts w:hint="eastAsia" w:ascii="仿宋_GB2312" w:hAnsi="仿宋_GB2312" w:eastAsia="仿宋_GB2312" w:cs="仿宋_GB2312"/>
          <w:b w:val="0"/>
          <w:color w:val="auto"/>
          <w:kern w:val="2"/>
          <w:sz w:val="32"/>
          <w:szCs w:val="32"/>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w:t>
      </w:r>
      <w:r>
        <w:rPr>
          <w:rFonts w:hint="eastAsia" w:ascii="仿宋_GB2312" w:hAnsi="仿宋_GB2312" w:eastAsia="仿宋_GB2312" w:cs="仿宋_GB2312"/>
          <w:b w:val="0"/>
          <w:color w:val="auto"/>
          <w:kern w:val="2"/>
          <w:sz w:val="32"/>
          <w:szCs w:val="32"/>
          <w:highlight w:val="none"/>
          <w:lang w:val="en-US" w:eastAsia="zh-CN" w:bidi="ar-SA"/>
        </w:rPr>
        <w:t>区医疗保障局、区发展改革局、区工科信局、区财政局，</w:t>
      </w:r>
      <w:r>
        <w:rPr>
          <w:rFonts w:hint="eastAsia" w:ascii="仿宋_GB2312" w:hAnsi="仿宋_GB2312" w:eastAsia="仿宋_GB2312" w:cs="仿宋_GB2312"/>
          <w:b w:val="0"/>
          <w:color w:val="auto"/>
          <w:kern w:val="2"/>
          <w:sz w:val="32"/>
          <w:szCs w:val="32"/>
          <w:lang w:val="en-US" w:eastAsia="zh-CN" w:bidi="ar-SA"/>
        </w:rPr>
        <w:t>各乡镇（街道）</w:t>
      </w:r>
    </w:p>
    <w:p w14:paraId="5EB4AD2B">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22227DE7">
      <w:pPr>
        <w:keepNext w:val="0"/>
        <w:keepLines w:val="0"/>
        <w:pageBreakBefore w:val="0"/>
        <w:kinsoku/>
        <w:wordWrap/>
        <w:overflowPunct/>
        <w:autoSpaceDN/>
        <w:bidi w:val="0"/>
        <w:spacing w:line="560" w:lineRule="exact"/>
        <w:ind w:firstLine="640" w:firstLineChars="200"/>
        <w:jc w:val="left"/>
        <w:textAlignment w:val="auto"/>
        <w:rPr>
          <w:rFonts w:hint="eastAsia"/>
          <w:color w:val="auto"/>
          <w:sz w:val="32"/>
          <w:szCs w:val="32"/>
          <w:lang w:val="en-US" w:eastAsia="zh-CN"/>
        </w:rPr>
      </w:pPr>
      <w:r>
        <w:rPr>
          <w:rFonts w:hint="eastAsia" w:ascii="Times New Roman" w:hAnsi="Times New Roman" w:eastAsia="仿宋_GB2312" w:cs="Times New Roman"/>
          <w:b w:val="0"/>
          <w:color w:val="auto"/>
          <w:kern w:val="2"/>
          <w:sz w:val="32"/>
          <w:szCs w:val="32"/>
          <w:highlight w:val="none"/>
          <w:lang w:val="en-US" w:eastAsia="zh-CN" w:bidi="ar-SA"/>
        </w:rPr>
        <w:t>6</w:t>
      </w:r>
      <w:r>
        <w:rPr>
          <w:rFonts w:hint="eastAsia" w:ascii="Times New Roman" w:hAnsi="Times New Roman" w:cs="Times New Roman"/>
          <w:b w:val="0"/>
          <w:color w:val="auto"/>
          <w:kern w:val="2"/>
          <w:sz w:val="32"/>
          <w:szCs w:val="32"/>
          <w:highlight w:val="none"/>
          <w:lang w:val="en-US" w:eastAsia="zh-CN" w:bidi="ar-SA"/>
        </w:rPr>
        <w:t>.</w:t>
      </w:r>
      <w:r>
        <w:rPr>
          <w:rFonts w:hint="eastAsia" w:ascii="Times New Roman" w:hAnsi="Times New Roman" w:eastAsia="仿宋_GB2312" w:cs="Times New Roman"/>
          <w:b w:val="0"/>
          <w:color w:val="auto"/>
          <w:kern w:val="2"/>
          <w:sz w:val="32"/>
          <w:szCs w:val="32"/>
          <w:highlight w:val="none"/>
          <w:lang w:val="en-US" w:eastAsia="zh-CN" w:bidi="ar-SA"/>
        </w:rPr>
        <w:t>加快构建公共养老服务体系，补齐城乡养老服务短板，着力构建与人口老龄化相适应的全周期、全过程、全覆盖老年健康服务体系。</w:t>
      </w:r>
      <w:r>
        <w:rPr>
          <w:rFonts w:hint="eastAsia" w:eastAsia="仿宋_GB2312"/>
          <w:color w:val="auto"/>
          <w:sz w:val="32"/>
          <w:szCs w:val="32"/>
          <w:shd w:val="clear" w:color="auto" w:fill="FFFFFF"/>
        </w:rPr>
        <w:t>继续推进居家养老服务中心和老年幸福食堂建设，发挥公办养老机构示范带动作用。</w:t>
      </w:r>
    </w:p>
    <w:p w14:paraId="24E54F33">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牵头单位：区民政局</w:t>
      </w:r>
    </w:p>
    <w:p w14:paraId="72B73845">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责任单位：区卫生健康局，各乡镇（街道）</w:t>
      </w:r>
    </w:p>
    <w:p w14:paraId="7AA5BDD2">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78F6A54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（三）建设长江上游生态修复示范区</w:t>
      </w:r>
    </w:p>
    <w:p w14:paraId="66F15202">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7</w:t>
      </w:r>
      <w:r>
        <w:rPr>
          <w:rFonts w:hint="eastAsia" w:ascii="Times New Roman" w:hAnsi="Times New Roman" w:cs="Times New Roman"/>
          <w:b w:val="0"/>
          <w:color w:val="auto"/>
          <w:kern w:val="2"/>
          <w:sz w:val="32"/>
          <w:szCs w:val="32"/>
          <w:highlight w:val="none"/>
          <w:lang w:val="en-US" w:eastAsia="zh-CN" w:bidi="ar-SA"/>
        </w:rPr>
        <w:t>.</w:t>
      </w:r>
      <w:r>
        <w:rPr>
          <w:rFonts w:hint="eastAsia" w:ascii="Times New Roman" w:hAnsi="Times New Roman" w:eastAsia="仿宋_GB2312" w:cs="Times New Roman"/>
          <w:b w:val="0"/>
          <w:color w:val="auto"/>
          <w:kern w:val="2"/>
          <w:sz w:val="32"/>
          <w:szCs w:val="32"/>
          <w:highlight w:val="none"/>
          <w:lang w:val="en-US" w:eastAsia="zh-CN" w:bidi="ar-SA"/>
        </w:rPr>
        <w:t xml:space="preserve">树牢绿水青山就是金山银山的理念，守住自然生态安全边界，筑牢生态安全屏障；驰而不息打好蓝天、碧水、净土三大保卫战，做好矿山绿色升级转型、水治理、国土绿化“三篇文章”。        </w:t>
      </w:r>
    </w:p>
    <w:p w14:paraId="4D10F9CA">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牵头单位：市生态环境局东川分局</w:t>
      </w:r>
    </w:p>
    <w:p w14:paraId="7B11D647">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责任单位：区发展改革局、区自然资源局、区水务局、区农业农村局、区林业和草原局，各乡镇（街道）</w:t>
      </w:r>
    </w:p>
    <w:p w14:paraId="26E147E9">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33D8E803">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color w:val="auto"/>
          <w:sz w:val="32"/>
          <w:szCs w:val="32"/>
          <w:lang w:val="en-US" w:eastAsia="zh-CN"/>
        </w:rPr>
        <w:t>8.</w:t>
      </w:r>
      <w:r>
        <w:rPr>
          <w:rFonts w:hint="eastAsia" w:ascii="Times New Roman" w:hAnsi="Times New Roman" w:eastAsia="仿宋_GB2312" w:cs="Times New Roman"/>
          <w:b w:val="0"/>
          <w:color w:val="auto"/>
          <w:kern w:val="2"/>
          <w:sz w:val="32"/>
          <w:szCs w:val="32"/>
          <w:highlight w:val="none"/>
          <w:lang w:val="en-US" w:eastAsia="zh-CN" w:bidi="ar-SA"/>
        </w:rPr>
        <w:t>实施团结渠生态廊道、深沟公园添绿增金项目建设，完成乌龙河流域添绿增金、大桥河流域生态修复及产业发展项目前期</w:t>
      </w:r>
      <w:r>
        <w:rPr>
          <w:rFonts w:hint="eastAsia" w:eastAsia="仿宋_GB2312"/>
          <w:color w:val="auto"/>
          <w:sz w:val="32"/>
          <w:szCs w:val="32"/>
        </w:rPr>
        <w:t>工作，打造</w:t>
      </w:r>
      <w:r>
        <w:rPr>
          <w:rFonts w:hint="eastAsia" w:ascii="Times New Roman" w:hAnsi="Times New Roman" w:eastAsia="方正小标宋_GBK" w:cs="Times New Roman"/>
          <w:color w:val="auto"/>
          <w:spacing w:val="-20"/>
          <w:sz w:val="32"/>
          <w:szCs w:val="32"/>
          <w:lang w:val="en-US" w:eastAsia="zh-CN"/>
        </w:rPr>
        <w:t>3</w:t>
      </w:r>
      <w:r>
        <w:rPr>
          <w:rFonts w:hint="eastAsia" w:eastAsia="仿宋_GB2312"/>
          <w:color w:val="auto"/>
          <w:sz w:val="32"/>
          <w:szCs w:val="32"/>
        </w:rPr>
        <w:t>个典型案例</w:t>
      </w:r>
      <w:r>
        <w:rPr>
          <w:rFonts w:hint="eastAsia"/>
          <w:color w:val="auto"/>
          <w:sz w:val="32"/>
          <w:szCs w:val="32"/>
          <w:lang w:eastAsia="zh-CN"/>
        </w:rPr>
        <w:t>；</w:t>
      </w:r>
      <w:r>
        <w:rPr>
          <w:rFonts w:hint="eastAsia" w:eastAsia="仿宋_GB2312"/>
          <w:color w:val="auto"/>
          <w:sz w:val="32"/>
          <w:szCs w:val="32"/>
        </w:rPr>
        <w:t>持续推进“两山”实践创新基地创建，</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cs="Times New Roman"/>
          <w:b w:val="0"/>
          <w:color w:val="auto"/>
          <w:kern w:val="2"/>
          <w:sz w:val="32"/>
          <w:szCs w:val="32"/>
          <w:highlight w:val="none"/>
          <w:lang w:val="en-US" w:eastAsia="zh-CN" w:bidi="ar-SA"/>
        </w:rPr>
        <w:t>年，</w:t>
      </w:r>
      <w:r>
        <w:rPr>
          <w:rFonts w:hint="eastAsia" w:ascii="Times New Roman" w:hAnsi="Times New Roman" w:eastAsia="仿宋_GB2312" w:cs="Times New Roman"/>
          <w:b w:val="0"/>
          <w:color w:val="auto"/>
          <w:kern w:val="2"/>
          <w:sz w:val="32"/>
          <w:szCs w:val="32"/>
          <w:highlight w:val="none"/>
          <w:lang w:val="en-US" w:eastAsia="zh-CN" w:bidi="ar-SA"/>
        </w:rPr>
        <w:t>积极申报国家“两山”实践创新基地。</w:t>
      </w:r>
    </w:p>
    <w:p w14:paraId="6EBA1673">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牵头单位：区发展改革局</w:t>
      </w:r>
    </w:p>
    <w:p w14:paraId="5AF0965A">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责任单位：市生态环境局东川分局、区水务局、区农业农村局、区林草局，各乡镇（街道）</w:t>
      </w:r>
    </w:p>
    <w:p w14:paraId="0B4E558E">
      <w:pPr>
        <w:keepNext w:val="0"/>
        <w:keepLines w:val="0"/>
        <w:pageBreakBefore w:val="0"/>
        <w:kinsoku/>
        <w:wordWrap/>
        <w:overflowPunct/>
        <w:autoSpaceDN/>
        <w:bidi w:val="0"/>
        <w:spacing w:line="560" w:lineRule="exact"/>
        <w:ind w:firstLine="640" w:firstLineChars="200"/>
        <w:jc w:val="left"/>
        <w:textAlignment w:val="auto"/>
        <w:rPr>
          <w:rFonts w:hint="default"/>
          <w:lang w:val="en-US" w:eastAsia="zh-CN"/>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248B36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（四）建设川滇综合交通枢纽</w:t>
      </w:r>
    </w:p>
    <w:p w14:paraId="135339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color w:val="auto"/>
          <w:sz w:val="32"/>
          <w:szCs w:val="32"/>
          <w:highlight w:val="none"/>
        </w:rPr>
      </w:pPr>
      <w:r>
        <w:rPr>
          <w:rFonts w:hint="eastAsia" w:cs="Times New Roman"/>
          <w:b w:val="0"/>
          <w:color w:val="auto"/>
          <w:kern w:val="2"/>
          <w:sz w:val="32"/>
          <w:szCs w:val="32"/>
          <w:highlight w:val="none"/>
          <w:lang w:val="en-US" w:eastAsia="zh-CN" w:bidi="ar-SA"/>
        </w:rPr>
        <w:t>9</w:t>
      </w:r>
      <w:r>
        <w:rPr>
          <w:rFonts w:hint="eastAsia" w:ascii="Times New Roman" w:hAnsi="Times New Roman"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sz w:val="32"/>
          <w:szCs w:val="32"/>
          <w:highlight w:val="none"/>
        </w:rPr>
        <w:t>统筹铁路、公路、水运、邮政等基础设施建设</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eastAsia="zh-CN"/>
        </w:rPr>
        <w:t>加快东川港建设，</w:t>
      </w:r>
      <w:r>
        <w:rPr>
          <w:rFonts w:hint="default" w:ascii="Times New Roman" w:hAnsi="Times New Roman" w:eastAsia="仿宋_GB2312" w:cs="Times New Roman"/>
          <w:b w:val="0"/>
          <w:color w:val="auto"/>
          <w:sz w:val="32"/>
          <w:szCs w:val="32"/>
          <w:highlight w:val="none"/>
        </w:rPr>
        <w:t>整合资金支持，确保尽快投入运营</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争取省、市高位协调</w:t>
      </w:r>
      <w:r>
        <w:rPr>
          <w:rFonts w:hint="default" w:ascii="Times New Roman" w:hAnsi="Times New Roman" w:eastAsia="仿宋_GB2312" w:cs="Times New Roman"/>
          <w:b w:val="0"/>
          <w:color w:val="auto"/>
          <w:sz w:val="32"/>
          <w:szCs w:val="32"/>
          <w:highlight w:val="none"/>
          <w:lang w:eastAsia="zh-CN"/>
        </w:rPr>
        <w:t>、</w:t>
      </w:r>
      <w:r>
        <w:rPr>
          <w:rFonts w:hint="default" w:ascii="Times New Roman" w:hAnsi="Times New Roman" w:eastAsia="仿宋_GB2312" w:cs="Times New Roman"/>
          <w:b w:val="0"/>
          <w:color w:val="auto"/>
          <w:sz w:val="32"/>
          <w:szCs w:val="32"/>
          <w:highlight w:val="none"/>
        </w:rPr>
        <w:t>支持，尽快打通航运通道。构建“内优外接”的陆路交通系统，争取新建小巧铁路、东倘高速公路，逐步完善提升内部通乡、通村公路等级。</w:t>
      </w:r>
    </w:p>
    <w:p w14:paraId="1CCBF3AE">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牵头单位：区交通运输局</w:t>
      </w:r>
    </w:p>
    <w:p w14:paraId="259EF0C2">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责任单位：园区管委会，区自然资源局、市生态环境局东川分局、区林业和草原局、区工科信局，各乡镇（街道）</w:t>
      </w:r>
    </w:p>
    <w:p w14:paraId="47001AA7">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0D142976">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cs="Times New Roman"/>
          <w:b w:val="0"/>
          <w:color w:val="auto"/>
          <w:kern w:val="2"/>
          <w:sz w:val="32"/>
          <w:szCs w:val="32"/>
          <w:highlight w:val="none"/>
          <w:lang w:val="en-US" w:eastAsia="zh-CN" w:bidi="ar-SA"/>
        </w:rPr>
        <w:t>10.</w:t>
      </w:r>
      <w:r>
        <w:rPr>
          <w:rFonts w:hint="eastAsia" w:ascii="Times New Roman" w:hAnsi="Times New Roman" w:eastAsia="仿宋_GB2312" w:cs="Times New Roman"/>
          <w:b w:val="0"/>
          <w:color w:val="auto"/>
          <w:kern w:val="2"/>
          <w:sz w:val="32"/>
          <w:szCs w:val="32"/>
          <w:highlight w:val="none"/>
          <w:lang w:val="en-US" w:eastAsia="zh-CN" w:bidi="ar-SA"/>
        </w:rPr>
        <w:t>认真落实鲜活农产品运输绿色通道政策，对整车合法装载运输全国统一的《鲜活农产品品种目录》内产品的车辆免收车辆通行费。全区交通物流成本持续降低。</w:t>
      </w:r>
    </w:p>
    <w:p w14:paraId="2D5C376F">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牵头单位：区交通运输局</w:t>
      </w:r>
    </w:p>
    <w:p w14:paraId="20B6D3F7">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责任单位：区农业农村局、昆明市道路运输管理局东川分局，各乡镇（街道）</w:t>
      </w:r>
    </w:p>
    <w:p w14:paraId="5CD38155">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4253D114">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cs="Times New Roman"/>
          <w:b w:val="0"/>
          <w:color w:val="auto"/>
          <w:kern w:val="2"/>
          <w:sz w:val="32"/>
          <w:szCs w:val="32"/>
          <w:highlight w:val="none"/>
          <w:lang w:val="en-US" w:eastAsia="zh-CN" w:bidi="ar-SA"/>
        </w:rPr>
        <w:t>11</w:t>
      </w:r>
      <w:r>
        <w:rPr>
          <w:rFonts w:hint="eastAsia" w:ascii="Times New Roman" w:hAnsi="Times New Roman" w:cs="Times New Roman"/>
          <w:b w:val="0"/>
          <w:color w:val="auto"/>
          <w:kern w:val="2"/>
          <w:sz w:val="32"/>
          <w:szCs w:val="32"/>
          <w:highlight w:val="none"/>
          <w:lang w:val="en-US" w:eastAsia="zh-CN" w:bidi="ar-SA"/>
        </w:rPr>
        <w:t>.</w:t>
      </w:r>
      <w:r>
        <w:rPr>
          <w:rFonts w:hint="default" w:ascii="Times New Roman" w:hAnsi="Times New Roman" w:eastAsia="仿宋_GB2312" w:cs="Times New Roman"/>
          <w:b w:val="0"/>
          <w:color w:val="auto"/>
          <w:sz w:val="32"/>
          <w:szCs w:val="32"/>
          <w:highlight w:val="none"/>
        </w:rPr>
        <w:t>全面推动“智慧交管”、“智慧出行”、“智慧公路”建设，着力完善公交设施，健全市政道路体系，推进与综合交通体系相协调的快速路网建设。努力实现公路、铁路、港口等交通运输方式互动互换，使出滇入川的门户优势得到充分发挥，顺势构建出滇入川物流“枢纽”型县域。</w:t>
      </w:r>
    </w:p>
    <w:p w14:paraId="374FA73C">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牵头单位：区交通运输局</w:t>
      </w:r>
    </w:p>
    <w:p w14:paraId="24F90D04">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责任单位：昆明市道路运输管理局东川分局，各乡镇（街道）</w:t>
      </w:r>
    </w:p>
    <w:p w14:paraId="3E1A7F12">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3F24A00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四、保障措施</w:t>
      </w:r>
    </w:p>
    <w:p w14:paraId="56D074A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（一）加强统筹协调</w:t>
      </w:r>
    </w:p>
    <w:p w14:paraId="3910C78F">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各相关单位要统筹研究加快新型基础设施建设、健全完善基本公共服务供给、打造绿色低碳的美丽东川、构建现代化综合交通网络的思路和举措，努力提升全区企业群众的获得感、幸福感和安全感，</w:t>
      </w:r>
      <w:r>
        <w:rPr>
          <w:rFonts w:hint="eastAsia" w:cs="Times New Roman"/>
          <w:b w:val="0"/>
          <w:color w:val="auto"/>
          <w:kern w:val="2"/>
          <w:sz w:val="32"/>
          <w:szCs w:val="32"/>
          <w:highlight w:val="none"/>
          <w:lang w:val="en-US" w:eastAsia="zh-CN" w:bidi="ar-SA"/>
        </w:rPr>
        <w:t>于</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日前将人文环境建设工作开展情况报</w:t>
      </w:r>
      <w:r>
        <w:rPr>
          <w:rFonts w:hint="eastAsia" w:ascii="Times New Roman" w:hAnsi="Times New Roman" w:cs="Times New Roman"/>
          <w:b w:val="0"/>
          <w:color w:val="auto"/>
          <w:kern w:val="2"/>
          <w:sz w:val="32"/>
          <w:szCs w:val="32"/>
          <w:highlight w:val="none"/>
          <w:lang w:val="en-US" w:eastAsia="zh-CN" w:bidi="ar-SA"/>
        </w:rPr>
        <w:t>区</w:t>
      </w:r>
      <w:r>
        <w:rPr>
          <w:rFonts w:hint="eastAsia" w:ascii="Times New Roman" w:hAnsi="Times New Roman" w:eastAsia="仿宋_GB2312" w:cs="Times New Roman"/>
          <w:b w:val="0"/>
          <w:color w:val="auto"/>
          <w:kern w:val="2"/>
          <w:sz w:val="32"/>
          <w:szCs w:val="32"/>
          <w:highlight w:val="none"/>
          <w:lang w:val="en-US" w:eastAsia="zh-CN" w:bidi="ar-SA"/>
        </w:rPr>
        <w:t>发展改革</w:t>
      </w:r>
      <w:r>
        <w:rPr>
          <w:rFonts w:hint="eastAsia" w:ascii="Times New Roman" w:hAnsi="Times New Roman" w:cs="Times New Roman"/>
          <w:b w:val="0"/>
          <w:color w:val="auto"/>
          <w:kern w:val="2"/>
          <w:sz w:val="32"/>
          <w:szCs w:val="32"/>
          <w:highlight w:val="none"/>
          <w:lang w:val="en-US" w:eastAsia="zh-CN" w:bidi="ar-SA"/>
        </w:rPr>
        <w:t>局</w:t>
      </w:r>
      <w:r>
        <w:rPr>
          <w:rFonts w:hint="eastAsia" w:ascii="Times New Roman" w:hAnsi="Times New Roman" w:eastAsia="仿宋_GB2312" w:cs="Times New Roman"/>
          <w:b w:val="0"/>
          <w:color w:val="auto"/>
          <w:kern w:val="2"/>
          <w:sz w:val="32"/>
          <w:szCs w:val="32"/>
          <w:highlight w:val="none"/>
          <w:lang w:val="en-US" w:eastAsia="zh-CN" w:bidi="ar-SA"/>
        </w:rPr>
        <w:t>。</w:t>
      </w:r>
    </w:p>
    <w:p w14:paraId="26F2793F">
      <w:pPr>
        <w:keepNext w:val="0"/>
        <w:keepLines w:val="0"/>
        <w:pageBreakBefore w:val="0"/>
        <w:kinsoku/>
        <w:wordWrap/>
        <w:overflowPunct/>
        <w:autoSpaceDN/>
        <w:bidi w:val="0"/>
        <w:spacing w:line="560" w:lineRule="exact"/>
        <w:ind w:firstLine="640" w:firstLineChars="200"/>
        <w:jc w:val="left"/>
        <w:textAlignment w:val="auto"/>
        <w:rPr>
          <w:rFonts w:hint="eastAsia" w:ascii="仿宋_GB2312" w:hAnsi="仿宋_GB2312" w:eastAsia="仿宋_GB2312" w:cs="仿宋_GB2312"/>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w:t>
      </w:r>
      <w:r>
        <w:rPr>
          <w:rFonts w:hint="eastAsia" w:ascii="仿宋_GB2312" w:hAnsi="仿宋_GB2312" w:eastAsia="仿宋_GB2312" w:cs="仿宋_GB2312"/>
          <w:b w:val="0"/>
          <w:color w:val="auto"/>
          <w:kern w:val="2"/>
          <w:sz w:val="32"/>
          <w:szCs w:val="32"/>
          <w:highlight w:val="none"/>
          <w:lang w:val="en-US" w:eastAsia="zh-CN" w:bidi="ar-SA"/>
        </w:rPr>
        <w:t>区发展改革局</w:t>
      </w:r>
    </w:p>
    <w:p w14:paraId="6AD49B94">
      <w:pPr>
        <w:keepNext w:val="0"/>
        <w:keepLines w:val="0"/>
        <w:pageBreakBefore w:val="0"/>
        <w:kinsoku/>
        <w:wordWrap/>
        <w:overflowPunct/>
        <w:autoSpaceDN/>
        <w:bidi w:val="0"/>
        <w:spacing w:line="560" w:lineRule="exact"/>
        <w:ind w:firstLine="640" w:firstLineChars="200"/>
        <w:jc w:val="left"/>
        <w:textAlignment w:val="auto"/>
        <w:rPr>
          <w:rFonts w:hint="eastAsia" w:ascii="仿宋_GB2312" w:hAnsi="仿宋_GB2312" w:eastAsia="仿宋_GB2312" w:cs="仿宋_GB2312"/>
          <w:b w:val="0"/>
          <w:color w:val="auto"/>
          <w:kern w:val="2"/>
          <w:sz w:val="32"/>
          <w:szCs w:val="32"/>
          <w:highlight w:val="none"/>
          <w:lang w:val="en-US" w:eastAsia="zh-CN" w:bidi="ar-SA"/>
        </w:rPr>
      </w:pPr>
      <w:r>
        <w:rPr>
          <w:rFonts w:hint="eastAsia" w:ascii="仿宋_GB2312" w:hAnsi="仿宋_GB2312" w:eastAsia="仿宋_GB2312" w:cs="仿宋_GB2312"/>
          <w:b w:val="0"/>
          <w:color w:val="auto"/>
          <w:kern w:val="2"/>
          <w:sz w:val="32"/>
          <w:szCs w:val="32"/>
          <w:highlight w:val="none"/>
          <w:lang w:val="en-US" w:eastAsia="zh-CN" w:bidi="ar-SA"/>
        </w:rPr>
        <w:t>责任单位：各相关单位</w:t>
      </w:r>
    </w:p>
    <w:p w14:paraId="39B71780">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3A35D76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（二）细化责任落实</w:t>
      </w:r>
    </w:p>
    <w:p w14:paraId="3D20B11B">
      <w:pPr>
        <w:keepNext w:val="0"/>
        <w:keepLines w:val="0"/>
        <w:pageBreakBefore w:val="0"/>
        <w:kinsoku/>
        <w:wordWrap/>
        <w:overflowPunct/>
        <w:autoSpaceDN/>
        <w:bidi w:val="0"/>
        <w:spacing w:line="560" w:lineRule="exact"/>
        <w:ind w:firstLine="640" w:firstLineChars="200"/>
        <w:jc w:val="left"/>
        <w:textAlignment w:val="auto"/>
        <w:rPr>
          <w:rFonts w:hint="eastAsia" w:ascii="仿宋_GB2312" w:hAnsi="仿宋_GB2312" w:eastAsia="仿宋_GB2312" w:cs="仿宋_GB2312"/>
          <w:b w:val="0"/>
          <w:color w:val="auto"/>
          <w:kern w:val="2"/>
          <w:sz w:val="32"/>
          <w:szCs w:val="32"/>
          <w:highlight w:val="none"/>
          <w:lang w:val="en-US" w:eastAsia="zh-CN" w:bidi="ar-SA"/>
        </w:rPr>
      </w:pPr>
      <w:r>
        <w:rPr>
          <w:rFonts w:hint="eastAsia" w:ascii="仿宋_GB2312" w:hAnsi="仿宋_GB2312" w:eastAsia="仿宋_GB2312" w:cs="仿宋_GB2312"/>
          <w:b w:val="0"/>
          <w:color w:val="auto"/>
          <w:kern w:val="2"/>
          <w:sz w:val="32"/>
          <w:szCs w:val="32"/>
          <w:highlight w:val="none"/>
          <w:lang w:val="en-US" w:eastAsia="zh-CN" w:bidi="ar-SA"/>
        </w:rPr>
        <w:t>各相关单位结合部门职能职责，细化工作举措，根据《东川区</w:t>
      </w:r>
      <w:r>
        <w:rPr>
          <w:rFonts w:hint="eastAsia" w:ascii="仿宋_GB2312" w:hAnsi="仿宋_GB2312" w:eastAsia="仿宋_GB2312" w:cs="仿宋_GB2312"/>
          <w:color w:val="auto"/>
          <w:spacing w:val="-20"/>
          <w:sz w:val="32"/>
          <w:szCs w:val="32"/>
          <w:lang w:val="en-US" w:eastAsia="zh-CN"/>
        </w:rPr>
        <w:t>2023</w:t>
      </w:r>
      <w:r>
        <w:rPr>
          <w:rFonts w:hint="eastAsia" w:ascii="仿宋_GB2312" w:hAnsi="仿宋_GB2312" w:eastAsia="仿宋_GB2312" w:cs="仿宋_GB2312"/>
          <w:b w:val="0"/>
          <w:color w:val="auto"/>
          <w:kern w:val="2"/>
          <w:sz w:val="32"/>
          <w:szCs w:val="32"/>
          <w:highlight w:val="none"/>
          <w:lang w:val="en-US" w:eastAsia="zh-CN" w:bidi="ar-SA"/>
        </w:rPr>
        <w:t>年优化人文环境工作方案》相关要求于每月</w:t>
      </w:r>
      <w:r>
        <w:rPr>
          <w:rFonts w:hint="eastAsia" w:ascii="仿宋_GB2312" w:hAnsi="仿宋_GB2312" w:eastAsia="仿宋_GB2312" w:cs="仿宋_GB2312"/>
          <w:color w:val="auto"/>
          <w:spacing w:val="-20"/>
          <w:sz w:val="32"/>
          <w:szCs w:val="32"/>
          <w:lang w:val="en-US" w:eastAsia="zh-CN"/>
        </w:rPr>
        <w:t>10</w:t>
      </w:r>
      <w:r>
        <w:rPr>
          <w:rFonts w:hint="eastAsia" w:ascii="仿宋_GB2312" w:hAnsi="仿宋_GB2312" w:eastAsia="仿宋_GB2312" w:cs="仿宋_GB2312"/>
          <w:b w:val="0"/>
          <w:color w:val="auto"/>
          <w:kern w:val="2"/>
          <w:sz w:val="32"/>
          <w:szCs w:val="32"/>
          <w:highlight w:val="none"/>
          <w:lang w:val="en-US" w:eastAsia="zh-CN" w:bidi="ar-SA"/>
        </w:rPr>
        <w:t>号前将工作推进情况报区发展改革局。</w:t>
      </w:r>
    </w:p>
    <w:p w14:paraId="50E09202">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牵头单位：区发展改革局</w:t>
      </w:r>
    </w:p>
    <w:p w14:paraId="2CBFA8D8">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责任单位：区工科信局、区教育体育局、区民政局、市生态环境局东川分局、区交通运输局、区文化和旅游局、区卫生健康局、区政务服务局、区医疗保障局、区财政局</w:t>
      </w:r>
    </w:p>
    <w:p w14:paraId="209C31E3">
      <w:pPr>
        <w:keepNext w:val="0"/>
        <w:keepLines w:val="0"/>
        <w:pageBreakBefore w:val="0"/>
        <w:kinsoku/>
        <w:wordWrap/>
        <w:overflowPunct/>
        <w:autoSpaceDN/>
        <w:bidi w:val="0"/>
        <w:spacing w:line="560" w:lineRule="exact"/>
        <w:ind w:firstLine="640" w:firstLineChars="200"/>
        <w:jc w:val="left"/>
        <w:textAlignment w:val="auto"/>
        <w:rPr>
          <w:rFonts w:hint="eastAsia"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67735BD4">
      <w:pPr>
        <w:keepNext w:val="0"/>
        <w:keepLines w:val="0"/>
        <w:pageBreakBefore w:val="0"/>
        <w:kinsoku/>
        <w:wordWrap/>
        <w:overflowPunct/>
        <w:autoSpaceDN/>
        <w:bidi w:val="0"/>
        <w:spacing w:line="560" w:lineRule="exact"/>
        <w:ind w:firstLine="640" w:firstLineChars="200"/>
        <w:jc w:val="left"/>
        <w:textAlignment w:val="auto"/>
        <w:rPr>
          <w:rFonts w:hint="eastAsia" w:ascii="楷体_GB2312" w:hAnsi="楷体_GB2312" w:eastAsia="楷体_GB2312" w:cs="楷体_GB2312"/>
          <w:color w:val="auto"/>
          <w:kern w:val="2"/>
          <w:sz w:val="32"/>
          <w:szCs w:val="22"/>
          <w:lang w:val="en-US" w:eastAsia="zh-CN" w:bidi="ar-SA"/>
        </w:rPr>
      </w:pPr>
      <w:r>
        <w:rPr>
          <w:rFonts w:hint="eastAsia" w:ascii="楷体_GB2312" w:hAnsi="楷体_GB2312" w:eastAsia="楷体_GB2312" w:cs="楷体_GB2312"/>
          <w:color w:val="auto"/>
          <w:kern w:val="2"/>
          <w:sz w:val="32"/>
          <w:szCs w:val="22"/>
          <w:lang w:val="en-US" w:eastAsia="zh-CN" w:bidi="ar-SA"/>
        </w:rPr>
        <w:t>（三）组织考核评价</w:t>
      </w:r>
    </w:p>
    <w:p w14:paraId="24510307">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各相关单位按照市、区营商环境评价要求，认真组织开展人文环境建设考核评价工作；深入查找分析我区人文环境建设存在的短板和不足，总结经验、发现亮点，进一步优化全区人文环境。</w:t>
      </w:r>
    </w:p>
    <w:p w14:paraId="36040D66">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牵头单位：区发展改革局</w:t>
      </w:r>
    </w:p>
    <w:p w14:paraId="13EB36DF">
      <w:pPr>
        <w:keepNext w:val="0"/>
        <w:keepLines w:val="0"/>
        <w:pageBreakBefore w:val="0"/>
        <w:kinsoku/>
        <w:wordWrap/>
        <w:overflowPunct/>
        <w:autoSpaceDN/>
        <w:bidi w:val="0"/>
        <w:spacing w:line="560" w:lineRule="exact"/>
        <w:ind w:firstLine="640" w:firstLineChars="200"/>
        <w:jc w:val="left"/>
        <w:textAlignment w:val="auto"/>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责任单位：区工科信局、区教育体育局、区民政局、市生态环境局东川分局、区交通运输局、区文化和旅游局、区卫生健康局、区政务服务局、区医疗保障局、区财政局，各乡镇（街道）</w:t>
      </w:r>
    </w:p>
    <w:p w14:paraId="4D149883">
      <w:pPr>
        <w:keepNext w:val="0"/>
        <w:keepLines w:val="0"/>
        <w:pageBreakBefore w:val="0"/>
        <w:kinsoku/>
        <w:wordWrap/>
        <w:overflowPunct/>
        <w:autoSpaceDN/>
        <w:bidi w:val="0"/>
        <w:spacing w:line="560" w:lineRule="exact"/>
        <w:ind w:firstLine="640" w:firstLineChars="200"/>
        <w:jc w:val="left"/>
        <w:textAlignment w:val="auto"/>
        <w:rPr>
          <w:rFonts w:hint="default"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完成时限：</w:t>
      </w:r>
      <w:r>
        <w:rPr>
          <w:rFonts w:hint="eastAsia" w:ascii="Times New Roman" w:hAnsi="Times New Roman" w:eastAsia="方正小标宋_GBK" w:cs="Times New Roman"/>
          <w:color w:val="auto"/>
          <w:spacing w:val="-20"/>
          <w:sz w:val="32"/>
          <w:szCs w:val="32"/>
          <w:lang w:val="en-US" w:eastAsia="zh-CN"/>
        </w:rPr>
        <w:t>2023</w:t>
      </w:r>
      <w:r>
        <w:rPr>
          <w:rFonts w:hint="eastAsia" w:ascii="Times New Roman" w:hAnsi="Times New Roman" w:eastAsia="仿宋_GB2312" w:cs="Times New Roman"/>
          <w:b w:val="0"/>
          <w:color w:val="auto"/>
          <w:kern w:val="2"/>
          <w:sz w:val="32"/>
          <w:szCs w:val="32"/>
          <w:highlight w:val="none"/>
          <w:lang w:val="en-US" w:eastAsia="zh-CN" w:bidi="ar-SA"/>
        </w:rPr>
        <w:t>年</w:t>
      </w:r>
      <w:r>
        <w:rPr>
          <w:rFonts w:hint="eastAsia" w:ascii="Times New Roman" w:hAnsi="Times New Roman" w:eastAsia="方正小标宋_GBK" w:cs="Times New Roman"/>
          <w:color w:val="auto"/>
          <w:spacing w:val="-20"/>
          <w:sz w:val="32"/>
          <w:szCs w:val="32"/>
          <w:lang w:val="en-US" w:eastAsia="zh-CN"/>
        </w:rPr>
        <w:t>12</w:t>
      </w:r>
      <w:r>
        <w:rPr>
          <w:rFonts w:hint="eastAsia" w:ascii="Times New Roman" w:hAnsi="Times New Roman" w:eastAsia="仿宋_GB2312" w:cs="Times New Roman"/>
          <w:b w:val="0"/>
          <w:color w:val="auto"/>
          <w:kern w:val="2"/>
          <w:sz w:val="32"/>
          <w:szCs w:val="32"/>
          <w:highlight w:val="none"/>
          <w:lang w:val="en-US" w:eastAsia="zh-CN" w:bidi="ar-SA"/>
        </w:rPr>
        <w:t>月</w:t>
      </w:r>
      <w:r>
        <w:rPr>
          <w:rFonts w:hint="eastAsia" w:ascii="Times New Roman" w:hAnsi="Times New Roman" w:eastAsia="方正小标宋_GBK" w:cs="Times New Roman"/>
          <w:color w:val="auto"/>
          <w:spacing w:val="-20"/>
          <w:sz w:val="32"/>
          <w:szCs w:val="32"/>
          <w:lang w:val="en-US" w:eastAsia="zh-CN"/>
        </w:rPr>
        <w:t>31</w:t>
      </w:r>
      <w:r>
        <w:rPr>
          <w:rFonts w:hint="eastAsia" w:ascii="Times New Roman" w:hAnsi="Times New Roman" w:eastAsia="仿宋_GB2312" w:cs="Times New Roman"/>
          <w:b w:val="0"/>
          <w:color w:val="auto"/>
          <w:kern w:val="2"/>
          <w:sz w:val="32"/>
          <w:szCs w:val="32"/>
          <w:highlight w:val="none"/>
          <w:lang w:val="en-US" w:eastAsia="zh-CN" w:bidi="ar-SA"/>
        </w:rPr>
        <w:t>日前</w:t>
      </w:r>
    </w:p>
    <w:p w14:paraId="6671C13F">
      <w:pPr>
        <w:keepNext w:val="0"/>
        <w:keepLines w:val="0"/>
        <w:pageBreakBefore w:val="0"/>
        <w:numPr>
          <w:ilvl w:val="0"/>
          <w:numId w:val="0"/>
        </w:numPr>
        <w:kinsoku/>
        <w:wordWrap/>
        <w:overflowPunct/>
        <w:autoSpaceDN/>
        <w:bidi w:val="0"/>
        <w:spacing w:line="560" w:lineRule="exact"/>
        <w:ind w:leftChars="200"/>
        <w:jc w:val="left"/>
        <w:textAlignment w:val="auto"/>
        <w:rPr>
          <w:rFonts w:hint="eastAsia" w:ascii="楷体_GB2312" w:hAnsi="楷体_GB2312" w:eastAsia="楷体_GB2312" w:cs="楷体_GB2312"/>
          <w:color w:val="auto"/>
          <w:kern w:val="2"/>
          <w:sz w:val="32"/>
          <w:szCs w:val="22"/>
          <w:lang w:val="en-US" w:eastAsia="zh-CN" w:bidi="ar-SA"/>
        </w:rPr>
      </w:pPr>
      <w:r>
        <w:rPr>
          <w:rFonts w:hint="eastAsia" w:ascii="楷体_GB2312" w:hAnsi="楷体_GB2312" w:eastAsia="楷体_GB2312" w:cs="楷体_GB2312"/>
          <w:color w:val="auto"/>
          <w:kern w:val="2"/>
          <w:sz w:val="32"/>
          <w:szCs w:val="22"/>
          <w:lang w:val="en-US" w:eastAsia="zh-CN" w:bidi="ar-SA"/>
        </w:rPr>
        <w:t>（四）强化组织保障</w:t>
      </w:r>
    </w:p>
    <w:p w14:paraId="29B6FE4C">
      <w:pPr>
        <w:spacing w:line="560" w:lineRule="exact"/>
        <w:ind w:firstLine="640" w:firstLineChars="200"/>
        <w:jc w:val="left"/>
        <w:rPr>
          <w:rFonts w:hint="eastAsia" w:ascii="Times New Roman" w:hAnsi="Times New Roman" w:eastAsia="仿宋_GB2312" w:cs="Times New Roman"/>
          <w:b w:val="0"/>
          <w:color w:val="auto"/>
          <w:kern w:val="2"/>
          <w:sz w:val="32"/>
          <w:szCs w:val="32"/>
          <w:highlight w:val="none"/>
          <w:lang w:val="en-US" w:eastAsia="zh-CN" w:bidi="ar-SA"/>
        </w:rPr>
      </w:pPr>
      <w:r>
        <w:rPr>
          <w:rFonts w:hint="eastAsia" w:ascii="Times New Roman" w:hAnsi="Times New Roman" w:eastAsia="仿宋_GB2312" w:cs="Times New Roman"/>
          <w:b w:val="0"/>
          <w:color w:val="auto"/>
          <w:kern w:val="2"/>
          <w:sz w:val="32"/>
          <w:szCs w:val="32"/>
          <w:highlight w:val="none"/>
          <w:lang w:val="en-US" w:eastAsia="zh-CN" w:bidi="ar-SA"/>
        </w:rPr>
        <w:t>人文环境专项工作组办公室设在区发展改革局，办公室负责统筹协调，各相关责任单位充分发挥职能作用，合力共建良好人文环境。</w:t>
      </w:r>
    </w:p>
    <w:p w14:paraId="38B2601F"/>
    <w:sectPr>
      <w:footerReference r:id="rId3" w:type="default"/>
      <w:pgSz w:w="11906" w:h="16838"/>
      <w:pgMar w:top="2098" w:right="1474" w:bottom="1984" w:left="1587" w:header="851" w:footer="992" w:gutter="0"/>
      <w:paperSrc/>
      <w:pgNumType w:fmt="decimal"/>
      <w:cols w:space="720" w:num="1"/>
      <w:rtlGutter w:val="0"/>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1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10601030101010101"/>
    <w:charset w:val="86"/>
    <w:family w:val="auto"/>
    <w:pitch w:val="default"/>
    <w:sig w:usb0="00000001" w:usb1="080E0000" w:usb2="00000000" w:usb3="00000000" w:csb0="00040000" w:csb1="00000000"/>
  </w:font>
  <w:font w:name="楷体_GB2312">
    <w:altName w:val="楷体"/>
    <w:panose1 w:val="02010609030101010101"/>
    <w:charset w:val="86"/>
    <w:family w:val="auto"/>
    <w:pitch w:val="default"/>
    <w:sig w:usb0="00000001" w:usb1="080E0000" w:usb2="00000000" w:usb3="00000000" w:csb0="00040000" w:csb1="00000000"/>
  </w:font>
  <w:font w:name="方正小标宋_GBK">
    <w:altName w:val="微软雅黑"/>
    <w:panose1 w:val="02000000000000000000"/>
    <w:charset w:val="86"/>
    <w:family w:val="auto"/>
    <w:pitch w:val="default"/>
    <w:sig w:usb0="A00002BF" w:usb1="38CF7CFA" w:usb2="00082016"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03BD4">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962635B">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962635B">
                    <w:pPr>
                      <w:pStyle w:val="6"/>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220"/>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hZjAzNjMyMGJmZjE0OGJjNGY0MzMwYzk3ZjBjNzYifQ=="/>
  </w:docVars>
  <w:rsids>
    <w:rsidRoot w:val="00000000"/>
    <w:rsid w:val="0416376B"/>
    <w:rsid w:val="089E3F95"/>
    <w:rsid w:val="1F261049"/>
    <w:rsid w:val="1F7E798C"/>
    <w:rsid w:val="2BDB7825"/>
    <w:rsid w:val="326E7A3A"/>
    <w:rsid w:val="44F16055"/>
    <w:rsid w:val="45AE61A3"/>
    <w:rsid w:val="4CD75130"/>
    <w:rsid w:val="4D2A07EF"/>
    <w:rsid w:val="5062626C"/>
    <w:rsid w:val="5A5D54CB"/>
    <w:rsid w:val="5A6C2F1C"/>
    <w:rsid w:val="73E9412A"/>
    <w:rsid w:val="78A226D8"/>
    <w:rsid w:val="7DC21F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4"/>
    <w:qFormat/>
    <w:uiPriority w:val="0"/>
    <w:pPr>
      <w:keepNext/>
      <w:keepLines/>
      <w:spacing w:beforeLines="0" w:beforeAutospacing="0" w:afterLines="0" w:afterAutospacing="0" w:line="560" w:lineRule="exact"/>
      <w:outlineLvl w:val="0"/>
    </w:pPr>
    <w:rPr>
      <w:rFonts w:eastAsia="方正小标宋简体"/>
      <w:b/>
      <w:kern w:val="44"/>
      <w:sz w:val="44"/>
    </w:rPr>
  </w:style>
  <w:style w:type="paragraph" w:styleId="4">
    <w:name w:val="heading 2"/>
    <w:basedOn w:val="1"/>
    <w:next w:val="5"/>
    <w:link w:val="10"/>
    <w:unhideWhenUsed/>
    <w:qFormat/>
    <w:uiPriority w:val="0"/>
    <w:pPr>
      <w:keepNext/>
      <w:keepLines/>
      <w:spacing w:beforeLines="0" w:beforeAutospacing="0" w:afterLines="0" w:afterAutospacing="0" w:line="560" w:lineRule="exact"/>
      <w:outlineLvl w:val="1"/>
    </w:pPr>
    <w:rPr>
      <w:rFonts w:ascii="Times New Roman" w:hAnsi="Times New Roman" w:eastAsia="黑体"/>
    </w:rPr>
  </w:style>
  <w:style w:type="paragraph" w:styleId="5">
    <w:name w:val="heading 3"/>
    <w:basedOn w:val="1"/>
    <w:next w:val="1"/>
    <w:link w:val="11"/>
    <w:unhideWhenUsed/>
    <w:qFormat/>
    <w:uiPriority w:val="0"/>
    <w:pPr>
      <w:keepNext/>
      <w:keepLines/>
      <w:spacing w:beforeLines="0" w:beforeAutospacing="0" w:afterLines="0" w:afterAutospacing="0" w:line="6720" w:lineRule="auto"/>
      <w:outlineLvl w:val="2"/>
    </w:pPr>
    <w:rPr>
      <w:rFonts w:ascii="Times New Roman" w:hAnsi="Times New Roman" w:eastAsia="楷体_GB2312"/>
      <w:b/>
    </w:rPr>
  </w:style>
  <w:style w:type="character" w:default="1" w:styleId="9">
    <w:name w:val="Default Paragraph Font"/>
    <w:semiHidden/>
    <w:qFormat/>
    <w:uiPriority w:val="0"/>
  </w:style>
  <w:style w:type="table" w:default="1" w:styleId="8">
    <w:name w:val="Normal Table"/>
    <w:semiHidden/>
    <w:qFormat/>
    <w:uiPriority w:val="0"/>
    <w:tblPr>
      <w:tblStyle w:val="8"/>
      <w:tblCellMar>
        <w:top w:w="0" w:type="dxa"/>
        <w:left w:w="108" w:type="dxa"/>
        <w:bottom w:w="0" w:type="dxa"/>
        <w:right w:w="108" w:type="dxa"/>
      </w:tblCellMar>
    </w:tblPr>
  </w:style>
  <w:style w:type="paragraph" w:customStyle="1" w:styleId="2">
    <w:name w:val="Normal Indent1"/>
    <w:qFormat/>
    <w:uiPriority w:val="0"/>
    <w:pPr>
      <w:widowControl w:val="0"/>
      <w:ind w:firstLine="420" w:firstLineChars="200"/>
      <w:jc w:val="both"/>
    </w:pPr>
    <w:rPr>
      <w:rFonts w:ascii="宋体" w:hAnsi="宋体" w:eastAsia="宋体" w:cs="宋体"/>
      <w:kern w:val="2"/>
      <w:sz w:val="32"/>
      <w:szCs w:val="32"/>
      <w:lang w:val="en-US" w:eastAsia="zh-CN" w:bidi="ar-SA"/>
    </w:rPr>
  </w:style>
  <w:style w:type="paragraph" w:styleId="6">
    <w:name w:val="footer"/>
    <w:basedOn w:val="1"/>
    <w:uiPriority w:val="0"/>
    <w:pPr>
      <w:tabs>
        <w:tab w:val="center" w:pos="4153"/>
        <w:tab w:val="right" w:pos="8306"/>
      </w:tabs>
      <w:snapToGrid w:val="0"/>
      <w:jc w:val="left"/>
    </w:pPr>
    <w:rPr>
      <w:sz w:val="18"/>
    </w:rPr>
  </w:style>
  <w:style w:type="paragraph" w:styleId="7">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0">
    <w:name w:val="标题 2 Char"/>
    <w:link w:val="4"/>
    <w:qFormat/>
    <w:uiPriority w:val="9"/>
    <w:rPr>
      <w:rFonts w:ascii="Times New Roman" w:hAnsi="Times New Roman" w:eastAsia="黑体"/>
      <w:sz w:val="32"/>
    </w:rPr>
  </w:style>
  <w:style w:type="character" w:customStyle="1" w:styleId="11">
    <w:name w:val="标题 3 Char"/>
    <w:link w:val="5"/>
    <w:qFormat/>
    <w:uiPriority w:val="0"/>
    <w:rPr>
      <w:rFonts w:ascii="Times New Roman" w:hAnsi="Times New Roman" w:eastAsia="楷体_GB2312"/>
      <w:b/>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3006</Words>
  <Characters>3145</Characters>
  <Lines>0</Lines>
  <Paragraphs>0</Paragraphs>
  <TotalTime>1</TotalTime>
  <ScaleCrop>false</ScaleCrop>
  <LinksUpToDate>false</LinksUpToDate>
  <CharactersWithSpaces>3156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2022-07-18T03:17:00Z</dcterms:created>
  <dc:creator>huawei</dc:creator>
  <cp:lastModifiedBy>符号</cp:lastModifiedBy>
  <dcterms:modified xsi:type="dcterms:W3CDTF">2026-07-16T06:09:33Z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7E57F180930B4688B31EC414F16BFFE3_13</vt:lpwstr>
  </property>
  <property fmtid="{D5CDD505-2E9C-101B-9397-08002B2CF9AE}" pid="4" name="KSOTemplateDocerSaveRecord">
    <vt:lpwstr>eyJoZGlkIjoiOGQyZDRkZmFlNWM0MDliNWRhYTQ0Nzc4MzE5NmI0MjQiLCJ1c2VySWQiOiIzNjE2NjA5NTcifQ==</vt:lpwstr>
  </property>
</Properties>
</file>