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F7A25">
      <w:pPr>
        <w:spacing w:line="360" w:lineRule="auto"/>
        <w:jc w:val="center"/>
        <w:rPr>
          <w:rFonts w:hint="eastAsia" w:ascii="宋体" w:hAnsi="宋体" w:cs="宋体"/>
          <w:b/>
          <w:bCs/>
          <w:kern w:val="0"/>
          <w:sz w:val="36"/>
          <w:szCs w:val="36"/>
          <w:lang w:eastAsia="zh-CN"/>
        </w:rPr>
      </w:pPr>
      <w:r>
        <w:rPr>
          <w:rFonts w:hint="eastAsia" w:ascii="宋体" w:hAnsi="宋体" w:cs="宋体"/>
          <w:b/>
          <w:bCs/>
          <w:kern w:val="0"/>
          <w:sz w:val="36"/>
          <w:szCs w:val="36"/>
        </w:rPr>
        <w:t>东川区</w:t>
      </w:r>
      <w:r>
        <w:rPr>
          <w:rFonts w:hint="eastAsia" w:ascii="宋体" w:hAnsi="宋体" w:cs="宋体"/>
          <w:b/>
          <w:bCs/>
          <w:kern w:val="0"/>
          <w:sz w:val="36"/>
          <w:szCs w:val="36"/>
          <w:lang w:eastAsia="zh-CN"/>
        </w:rPr>
        <w:t>退役军人事务</w:t>
      </w:r>
      <w:r>
        <w:rPr>
          <w:rFonts w:hint="eastAsia" w:ascii="宋体" w:hAnsi="宋体" w:cs="宋体"/>
          <w:b/>
          <w:bCs/>
          <w:kern w:val="0"/>
          <w:sz w:val="36"/>
          <w:szCs w:val="36"/>
        </w:rPr>
        <w:t>局</w:t>
      </w:r>
      <w:r>
        <w:rPr>
          <w:rFonts w:ascii="宋体" w:hAnsi="宋体" w:cs="宋体"/>
          <w:b/>
          <w:bCs/>
          <w:kern w:val="0"/>
          <w:sz w:val="36"/>
          <w:szCs w:val="36"/>
        </w:rPr>
        <w:t>201</w:t>
      </w:r>
      <w:r>
        <w:rPr>
          <w:rFonts w:hint="eastAsia" w:ascii="宋体" w:hAnsi="宋体" w:cs="宋体"/>
          <w:b/>
          <w:bCs/>
          <w:kern w:val="0"/>
          <w:sz w:val="36"/>
          <w:szCs w:val="36"/>
          <w:lang w:val="en-US" w:eastAsia="zh-CN"/>
        </w:rPr>
        <w:t>9</w:t>
      </w:r>
      <w:r>
        <w:rPr>
          <w:rFonts w:hint="eastAsia" w:ascii="宋体" w:hAnsi="宋体" w:cs="宋体"/>
          <w:b/>
          <w:bCs/>
          <w:kern w:val="0"/>
          <w:sz w:val="36"/>
          <w:szCs w:val="36"/>
        </w:rPr>
        <w:t>年</w:t>
      </w:r>
      <w:r>
        <w:rPr>
          <w:rFonts w:hint="eastAsia" w:ascii="宋体" w:hAnsi="宋体" w:cs="宋体"/>
          <w:b/>
          <w:bCs/>
          <w:kern w:val="0"/>
          <w:sz w:val="36"/>
          <w:szCs w:val="36"/>
          <w:lang w:eastAsia="zh-CN"/>
        </w:rPr>
        <w:t>抚恤优待</w:t>
      </w:r>
    </w:p>
    <w:p w14:paraId="0C08A20B">
      <w:pPr>
        <w:spacing w:line="360" w:lineRule="auto"/>
        <w:jc w:val="center"/>
        <w:rPr>
          <w:rFonts w:hint="eastAsia" w:ascii="宋体" w:cs="Times New Roman"/>
          <w:b/>
          <w:bCs/>
          <w:kern w:val="0"/>
          <w:sz w:val="36"/>
          <w:szCs w:val="36"/>
        </w:rPr>
      </w:pPr>
      <w:r>
        <w:rPr>
          <w:rFonts w:hint="eastAsia" w:ascii="宋体" w:hAnsi="宋体" w:cs="宋体"/>
          <w:b/>
          <w:bCs/>
          <w:kern w:val="0"/>
          <w:sz w:val="36"/>
          <w:szCs w:val="36"/>
        </w:rPr>
        <w:t>项目支出绩效自评</w:t>
      </w:r>
    </w:p>
    <w:p w14:paraId="42010423">
      <w:pPr>
        <w:keepNext w:val="0"/>
        <w:keepLines w:val="0"/>
        <w:pageBreakBefore w:val="0"/>
        <w:widowControl w:val="0"/>
        <w:kinsoku/>
        <w:wordWrap/>
        <w:overflowPunct/>
        <w:autoSpaceDE/>
        <w:autoSpaceDN/>
        <w:bidi w:val="0"/>
        <w:adjustRightInd/>
        <w:spacing w:line="560" w:lineRule="atLeast"/>
        <w:ind w:right="0" w:rightChars="0" w:firstLine="3534" w:firstLineChars="800"/>
        <w:jc w:val="both"/>
        <w:textAlignment w:val="auto"/>
        <w:outlineLvl w:val="9"/>
        <w:rPr>
          <w:rFonts w:hint="eastAsia" w:ascii="仿宋_GB2312"/>
          <w:b/>
          <w:bCs w:val="0"/>
          <w:sz w:val="44"/>
          <w:szCs w:val="44"/>
          <w:lang w:val="en-US" w:eastAsia="zh-CN"/>
        </w:rPr>
      </w:pPr>
      <w:r>
        <w:rPr>
          <w:rFonts w:hint="eastAsia" w:ascii="仿宋_GB2312"/>
          <w:b/>
          <w:bCs w:val="0"/>
          <w:sz w:val="44"/>
          <w:szCs w:val="44"/>
          <w:lang w:val="en-US" w:eastAsia="zh-CN"/>
        </w:rPr>
        <w:t>摘    要</w:t>
      </w:r>
    </w:p>
    <w:p w14:paraId="24BEBEB1">
      <w:pPr>
        <w:spacing w:line="360" w:lineRule="auto"/>
        <w:jc w:val="center"/>
        <w:rPr>
          <w:rFonts w:hint="eastAsia" w:ascii="宋体" w:hAnsi="宋体" w:cs="宋体"/>
          <w:b/>
          <w:bCs/>
          <w:kern w:val="0"/>
          <w:sz w:val="36"/>
          <w:szCs w:val="36"/>
        </w:rPr>
      </w:pPr>
    </w:p>
    <w:p w14:paraId="3D9F1F10">
      <w:pPr>
        <w:pStyle w:val="15"/>
        <w:numPr>
          <w:ilvl w:val="0"/>
          <w:numId w:val="1"/>
        </w:numPr>
        <w:rPr>
          <w:rFonts w:hint="eastAsia" w:ascii="宋体" w:hAnsi="宋体" w:cs="宋体"/>
          <w:b/>
          <w:bCs/>
          <w:kern w:val="0"/>
          <w:sz w:val="32"/>
          <w:szCs w:val="32"/>
          <w:lang w:eastAsia="zh-CN"/>
        </w:rPr>
      </w:pPr>
      <w:r>
        <w:rPr>
          <w:rFonts w:hint="eastAsia" w:ascii="宋体" w:hAnsi="宋体" w:cs="宋体"/>
          <w:b/>
          <w:bCs/>
          <w:kern w:val="0"/>
          <w:sz w:val="32"/>
          <w:szCs w:val="32"/>
          <w:lang w:eastAsia="zh-CN"/>
        </w:rPr>
        <w:t>项目概况</w:t>
      </w:r>
    </w:p>
    <w:p w14:paraId="0C4CB041">
      <w:pPr>
        <w:pStyle w:val="15"/>
        <w:numPr>
          <w:ilvl w:val="0"/>
          <w:numId w:val="2"/>
        </w:numPr>
        <w:ind w:left="630" w:leftChars="0" w:firstLine="0" w:firstLineChars="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项目背景及目的</w:t>
      </w:r>
    </w:p>
    <w:p w14:paraId="0C86F8C7">
      <w:pPr>
        <w:pStyle w:val="15"/>
        <w:numPr>
          <w:ilvl w:val="0"/>
          <w:numId w:val="0"/>
        </w:num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kern w:val="0"/>
          <w:sz w:val="32"/>
          <w:szCs w:val="32"/>
          <w:lang w:val="en-US" w:eastAsia="zh-CN"/>
        </w:rPr>
        <w:t>根据《云南省退役军人事务厅 云南省财政厅关于转发退役军人事务部 财政部调整部分优抚对象等人员抚恤和生活补助标准的通知》（云退役发[2019]125号）、《云南省退役军人事务厅 云南省财政厅关于启动优抚对象价格临时补贴与物价上涨联动机制的通知》（云退役发[2019]136号）、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kern w:val="0"/>
          <w:sz w:val="32"/>
          <w:szCs w:val="32"/>
          <w:lang w:eastAsia="zh-CN"/>
        </w:rPr>
        <w:t>云南省民政厅</w:t>
      </w:r>
      <w:r>
        <w:rPr>
          <w:rFonts w:hint="eastAsia" w:ascii="仿宋_GB2312" w:hAnsi="仿宋_GB2312" w:eastAsia="仿宋_GB2312" w:cs="仿宋_GB2312"/>
          <w:b w:val="0"/>
          <w:bCs w:val="0"/>
          <w:kern w:val="0"/>
          <w:sz w:val="32"/>
          <w:szCs w:val="32"/>
          <w:lang w:val="en-US" w:eastAsia="zh-CN"/>
        </w:rPr>
        <w:t xml:space="preserve"> 云南省财政厅 云南省军区司令部关于义务兵家庭优待金发放有关问题的通知</w:t>
      </w:r>
      <w:r>
        <w:rPr>
          <w:rFonts w:hint="eastAsia" w:ascii="仿宋_GB2312" w:hAnsi="仿宋_GB2312" w:eastAsia="仿宋_GB2312" w:cs="仿宋_GB2312"/>
          <w:b w:val="0"/>
          <w:bCs w:val="0"/>
          <w:kern w:val="0"/>
          <w:sz w:val="32"/>
          <w:szCs w:val="32"/>
          <w:lang w:eastAsia="zh-CN"/>
        </w:rPr>
        <w:t>》（云民优[</w:t>
      </w:r>
      <w:r>
        <w:rPr>
          <w:rFonts w:hint="eastAsia" w:ascii="仿宋_GB2312" w:hAnsi="仿宋_GB2312" w:eastAsia="仿宋_GB2312" w:cs="仿宋_GB2312"/>
          <w:b w:val="0"/>
          <w:bCs w:val="0"/>
          <w:kern w:val="0"/>
          <w:sz w:val="32"/>
          <w:szCs w:val="32"/>
          <w:lang w:val="en-US" w:eastAsia="zh-CN"/>
        </w:rPr>
        <w:t>2016</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1号</w:t>
      </w:r>
      <w:r>
        <w:rPr>
          <w:rFonts w:hint="eastAsia" w:ascii="仿宋_GB2312" w:hAnsi="仿宋_GB2312" w:eastAsia="仿宋_GB2312" w:cs="仿宋_GB2312"/>
          <w:b w:val="0"/>
          <w:bCs w:val="0"/>
          <w:kern w:val="0"/>
          <w:sz w:val="32"/>
          <w:szCs w:val="32"/>
          <w:lang w:eastAsia="zh-CN"/>
        </w:rPr>
        <w:t>）、《云南省民政厅</w:t>
      </w:r>
      <w:r>
        <w:rPr>
          <w:rFonts w:hint="eastAsia" w:ascii="仿宋_GB2312" w:hAnsi="仿宋_GB2312" w:eastAsia="仿宋_GB2312" w:cs="仿宋_GB2312"/>
          <w:b w:val="0"/>
          <w:bCs w:val="0"/>
          <w:kern w:val="0"/>
          <w:sz w:val="32"/>
          <w:szCs w:val="32"/>
          <w:lang w:val="en-US" w:eastAsia="zh-CN"/>
        </w:rPr>
        <w:t xml:space="preserve"> 云南省财政厅关于切实做好农村重点优抚对象基本生活保障工作的通知</w:t>
      </w:r>
      <w:r>
        <w:rPr>
          <w:rFonts w:hint="eastAsia" w:ascii="仿宋_GB2312" w:hAnsi="仿宋_GB2312" w:eastAsia="仿宋_GB2312" w:cs="仿宋_GB2312"/>
          <w:b w:val="0"/>
          <w:bCs w:val="0"/>
          <w:kern w:val="0"/>
          <w:sz w:val="32"/>
          <w:szCs w:val="32"/>
          <w:lang w:eastAsia="zh-CN"/>
        </w:rPr>
        <w:t>》（云民[</w:t>
      </w:r>
      <w:r>
        <w:rPr>
          <w:rFonts w:hint="eastAsia" w:ascii="仿宋_GB2312" w:hAnsi="仿宋_GB2312" w:eastAsia="仿宋_GB2312" w:cs="仿宋_GB2312"/>
          <w:b w:val="0"/>
          <w:bCs w:val="0"/>
          <w:kern w:val="0"/>
          <w:sz w:val="32"/>
          <w:szCs w:val="32"/>
          <w:lang w:val="en-US" w:eastAsia="zh-CN"/>
        </w:rPr>
        <w:t>2015</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3号</w:t>
      </w:r>
      <w:r>
        <w:rPr>
          <w:rFonts w:hint="eastAsia" w:ascii="仿宋_GB2312" w:hAnsi="仿宋_GB2312" w:eastAsia="仿宋_GB2312" w:cs="仿宋_GB2312"/>
          <w:b w:val="0"/>
          <w:bCs w:val="0"/>
          <w:kern w:val="0"/>
          <w:sz w:val="32"/>
          <w:szCs w:val="32"/>
          <w:lang w:eastAsia="zh-CN"/>
        </w:rPr>
        <w:t>）、《退役军人事务部等5部门关于加强困难退役军人帮扶援助工作的意见》（退役军人部发（2019）62号）、</w:t>
      </w:r>
      <w:r>
        <w:rPr>
          <w:rFonts w:hint="eastAsia" w:ascii="仿宋_GB2312" w:hAnsi="仿宋_GB2312" w:eastAsia="仿宋_GB2312" w:cs="仿宋_GB2312"/>
          <w:b w:val="0"/>
          <w:bCs w:val="0"/>
          <w:kern w:val="0"/>
          <w:sz w:val="32"/>
          <w:szCs w:val="32"/>
          <w:lang w:val="en-US" w:eastAsia="zh-CN"/>
        </w:rPr>
        <w:t>《云南省民政厅 云南省财政厅 云南省人力资源和社会保障厅关于做好城镇部分重点优抚对象生活困难补助发放工作的通知》</w:t>
      </w:r>
      <w:r>
        <w:rPr>
          <w:rFonts w:hint="eastAsia" w:ascii="仿宋_GB2312" w:hAnsi="仿宋_GB2312" w:eastAsia="仿宋_GB2312" w:cs="仿宋_GB2312"/>
          <w:b w:val="0"/>
          <w:bCs w:val="0"/>
          <w:kern w:val="0"/>
          <w:sz w:val="32"/>
          <w:szCs w:val="32"/>
          <w:highlight w:val="none"/>
          <w:lang w:eastAsia="zh-CN"/>
        </w:rPr>
        <w:t>（云民优[</w:t>
      </w:r>
      <w:r>
        <w:rPr>
          <w:rFonts w:hint="eastAsia" w:ascii="仿宋_GB2312" w:hAnsi="仿宋_GB2312" w:eastAsia="仿宋_GB2312" w:cs="仿宋_GB2312"/>
          <w:b w:val="0"/>
          <w:bCs w:val="0"/>
          <w:kern w:val="0"/>
          <w:sz w:val="32"/>
          <w:szCs w:val="32"/>
          <w:highlight w:val="none"/>
          <w:lang w:val="en-US" w:eastAsia="zh-CN"/>
        </w:rPr>
        <w:t>2015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3号</w:t>
      </w:r>
      <w:r>
        <w:rPr>
          <w:rFonts w:hint="eastAsia" w:ascii="仿宋_GB2312" w:hAnsi="仿宋_GB2312" w:eastAsia="仿宋_GB2312" w:cs="仿宋_GB2312"/>
          <w:b w:val="0"/>
          <w:bCs w:val="0"/>
          <w:kern w:val="0"/>
          <w:sz w:val="32"/>
          <w:szCs w:val="32"/>
          <w:highlight w:val="none"/>
          <w:lang w:eastAsia="zh-CN"/>
        </w:rPr>
        <w:t>）、《昆明市人民政府办公厅关于综合运用现有政策做好参战退役人员等优抚对象解困工作的通知》（昆政办[</w:t>
      </w:r>
      <w:r>
        <w:rPr>
          <w:rFonts w:hint="eastAsia" w:ascii="仿宋_GB2312" w:hAnsi="仿宋_GB2312" w:eastAsia="仿宋_GB2312" w:cs="仿宋_GB2312"/>
          <w:b w:val="0"/>
          <w:bCs w:val="0"/>
          <w:kern w:val="0"/>
          <w:sz w:val="32"/>
          <w:szCs w:val="32"/>
          <w:highlight w:val="none"/>
          <w:lang w:val="en-US" w:eastAsia="zh-CN"/>
        </w:rPr>
        <w:t>2013</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126号</w:t>
      </w:r>
      <w:r>
        <w:rPr>
          <w:rFonts w:hint="eastAsia" w:ascii="仿宋_GB2312" w:hAnsi="仿宋_GB2312" w:eastAsia="仿宋_GB2312" w:cs="仿宋_GB2312"/>
          <w:b w:val="0"/>
          <w:bCs w:val="0"/>
          <w:kern w:val="0"/>
          <w:sz w:val="32"/>
          <w:szCs w:val="32"/>
          <w:highlight w:val="none"/>
          <w:lang w:eastAsia="zh-CN"/>
        </w:rPr>
        <w:t>）、《昆明市人民政府办公厅关于做好参战退役人员等优抚对象解困帮扶工作的补充通知》（昆政办[</w:t>
      </w:r>
      <w:r>
        <w:rPr>
          <w:rFonts w:hint="eastAsia" w:ascii="仿宋_GB2312" w:hAnsi="仿宋_GB2312" w:eastAsia="仿宋_GB2312" w:cs="仿宋_GB2312"/>
          <w:b w:val="0"/>
          <w:bCs w:val="0"/>
          <w:kern w:val="0"/>
          <w:sz w:val="32"/>
          <w:szCs w:val="32"/>
          <w:highlight w:val="none"/>
          <w:lang w:val="en-US" w:eastAsia="zh-CN"/>
        </w:rPr>
        <w:t>2015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64号</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sz w:val="32"/>
          <w:szCs w:val="32"/>
        </w:rPr>
        <w:t>《东川区优抚对象住院医疗保障实施细则》（试行）（东政办发【2009】150号）文件</w:t>
      </w:r>
      <w:r>
        <w:rPr>
          <w:rFonts w:hint="eastAsia" w:ascii="仿宋_GB2312" w:hAnsi="仿宋_GB2312" w:eastAsia="仿宋_GB2312" w:cs="仿宋_GB2312"/>
          <w:b w:val="0"/>
          <w:bCs w:val="0"/>
          <w:kern w:val="0"/>
          <w:sz w:val="32"/>
          <w:szCs w:val="32"/>
          <w:lang w:val="en-US" w:eastAsia="zh-CN"/>
        </w:rPr>
        <w:t>精神，</w:t>
      </w:r>
      <w:r>
        <w:rPr>
          <w:rFonts w:hint="eastAsia" w:ascii="仿宋_GB2312" w:hAnsi="仿宋_GB2312" w:eastAsia="仿宋_GB2312" w:cs="仿宋_GB2312"/>
          <w:sz w:val="32"/>
          <w:szCs w:val="32"/>
        </w:rPr>
        <w:t>做好</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优抚对象部分解困帮扶、三属、老烈士子女、伤残军人、复员军人、两参人员、带病回乡退伍军人、60岁以上农村藉老兵，共计</w:t>
      </w:r>
      <w:r>
        <w:rPr>
          <w:rFonts w:hint="eastAsia" w:ascii="仿宋_GB2312" w:hAnsi="仿宋_GB2312" w:eastAsia="仿宋_GB2312" w:cs="仿宋_GB2312"/>
          <w:sz w:val="32"/>
          <w:szCs w:val="32"/>
          <w:lang w:val="en-US" w:eastAsia="zh-CN"/>
        </w:rPr>
        <w:t>1874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服务工作，确保服务对象各项费用按时足额发放，为东川区建设提供稳定和谐的社会环境。</w:t>
      </w:r>
    </w:p>
    <w:p w14:paraId="494B9D7C">
      <w:pPr>
        <w:pStyle w:val="15"/>
        <w:numPr>
          <w:ilvl w:val="0"/>
          <w:numId w:val="0"/>
        </w:numPr>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b w:val="0"/>
          <w:bCs w:val="0"/>
          <w:kern w:val="0"/>
          <w:sz w:val="32"/>
          <w:szCs w:val="32"/>
          <w:lang w:val="en-US" w:eastAsia="zh-CN"/>
        </w:rPr>
        <w:t>项目预算收支情况</w:t>
      </w:r>
    </w:p>
    <w:p w14:paraId="1C5D1B74">
      <w:pPr>
        <w:keepNext w:val="0"/>
        <w:keepLines w:val="0"/>
        <w:pageBreakBefore w:val="0"/>
        <w:widowControl w:val="0"/>
        <w:kinsoku/>
        <w:wordWrap/>
        <w:overflowPunct/>
        <w:topLinePunct/>
        <w:autoSpaceDE/>
        <w:autoSpaceDN/>
        <w:bidi w:val="0"/>
        <w:adjustRightInd/>
        <w:snapToGrid/>
        <w:spacing w:line="560" w:lineRule="atLeast"/>
        <w:ind w:left="0" w:leftChars="0" w:right="0" w:rightChars="0" w:firstLine="640" w:firstLineChars="0"/>
        <w:jc w:val="both"/>
        <w:textAlignment w:val="auto"/>
        <w:outlineLvl w:val="9"/>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b w:val="0"/>
          <w:bCs w:val="0"/>
          <w:color w:val="auto"/>
          <w:spacing w:val="0"/>
          <w:sz w:val="32"/>
          <w:szCs w:val="32"/>
          <w:highlight w:val="none"/>
          <w:lang w:val="en-US" w:eastAsia="zh-CN"/>
        </w:rPr>
        <w:t>2019年</w:t>
      </w:r>
      <w:r>
        <w:rPr>
          <w:rFonts w:hint="eastAsia" w:ascii="仿宋_GB2312" w:hAnsi="仿宋_GB2312" w:eastAsia="仿宋_GB2312" w:cs="仿宋_GB2312"/>
          <w:b w:val="0"/>
          <w:bCs w:val="0"/>
          <w:color w:val="auto"/>
          <w:spacing w:val="0"/>
          <w:sz w:val="32"/>
          <w:szCs w:val="32"/>
          <w:highlight w:val="none"/>
          <w:lang w:eastAsia="zh-CN"/>
        </w:rPr>
        <w:t>抚恤优待项目预算</w:t>
      </w:r>
      <w:r>
        <w:rPr>
          <w:rFonts w:hint="eastAsia" w:ascii="仿宋_GB2312" w:hAnsi="仿宋_GB2312" w:eastAsia="仿宋_GB2312" w:cs="仿宋_GB2312"/>
          <w:b w:val="0"/>
          <w:bCs w:val="0"/>
          <w:color w:val="auto"/>
          <w:spacing w:val="0"/>
          <w:sz w:val="32"/>
          <w:szCs w:val="32"/>
          <w:highlight w:val="none"/>
        </w:rPr>
        <w:t>资金</w:t>
      </w:r>
      <w:r>
        <w:rPr>
          <w:rFonts w:hint="eastAsia" w:ascii="仿宋_GB2312" w:hAnsi="仿宋_GB2312" w:eastAsia="仿宋_GB2312" w:cs="仿宋_GB2312"/>
          <w:b w:val="0"/>
          <w:bCs w:val="0"/>
          <w:color w:val="auto"/>
          <w:spacing w:val="0"/>
          <w:sz w:val="32"/>
          <w:szCs w:val="32"/>
          <w:highlight w:val="none"/>
          <w:lang w:eastAsia="zh-CN"/>
        </w:rPr>
        <w:t>收入</w:t>
      </w:r>
      <w:r>
        <w:rPr>
          <w:rFonts w:hint="eastAsia" w:ascii="仿宋_GB2312" w:hAnsi="仿宋_GB2312" w:eastAsia="仿宋_GB2312" w:cs="仿宋_GB2312"/>
          <w:b w:val="0"/>
          <w:bCs w:val="0"/>
          <w:color w:val="auto"/>
          <w:spacing w:val="0"/>
          <w:sz w:val="32"/>
          <w:szCs w:val="32"/>
          <w:highlight w:val="none"/>
          <w:lang w:val="en-US" w:eastAsia="zh-CN"/>
        </w:rPr>
        <w:t>2127.56万元。2019年</w:t>
      </w:r>
      <w:r>
        <w:rPr>
          <w:rFonts w:hint="eastAsia" w:ascii="仿宋_GB2312" w:hAnsi="仿宋_GB2312" w:eastAsia="仿宋_GB2312" w:cs="仿宋_GB2312"/>
          <w:b w:val="0"/>
          <w:bCs w:val="0"/>
          <w:color w:val="auto"/>
          <w:spacing w:val="0"/>
          <w:sz w:val="32"/>
          <w:szCs w:val="32"/>
          <w:highlight w:val="none"/>
          <w:lang w:eastAsia="zh-CN"/>
        </w:rPr>
        <w:t>抚恤优待项目</w:t>
      </w:r>
      <w:r>
        <w:rPr>
          <w:rFonts w:hint="eastAsia" w:ascii="仿宋_GB2312" w:hAnsi="仿宋_GB2312" w:eastAsia="仿宋_GB2312" w:cs="仿宋_GB2312"/>
          <w:b w:val="0"/>
          <w:bCs w:val="0"/>
          <w:color w:val="auto"/>
          <w:spacing w:val="0"/>
          <w:sz w:val="32"/>
          <w:szCs w:val="32"/>
          <w:highlight w:val="none"/>
        </w:rPr>
        <w:t>支</w:t>
      </w:r>
      <w:r>
        <w:rPr>
          <w:rFonts w:hint="eastAsia" w:ascii="仿宋_GB2312" w:hAnsi="仿宋_GB2312" w:eastAsia="仿宋_GB2312" w:cs="仿宋_GB2312"/>
          <w:b w:val="0"/>
          <w:bCs w:val="0"/>
          <w:color w:val="auto"/>
          <w:spacing w:val="0"/>
          <w:sz w:val="32"/>
          <w:szCs w:val="32"/>
          <w:highlight w:val="none"/>
          <w:lang w:eastAsia="zh-CN"/>
        </w:rPr>
        <w:t>出</w:t>
      </w:r>
      <w:r>
        <w:rPr>
          <w:rFonts w:hint="eastAsia" w:ascii="仿宋_GB2312" w:hAnsi="仿宋_GB2312" w:eastAsia="仿宋_GB2312" w:cs="仿宋_GB2312"/>
          <w:b w:val="0"/>
          <w:bCs w:val="0"/>
          <w:color w:val="auto"/>
          <w:spacing w:val="0"/>
          <w:sz w:val="32"/>
          <w:szCs w:val="32"/>
          <w:highlight w:val="none"/>
        </w:rPr>
        <w:t>资金</w:t>
      </w:r>
      <w:r>
        <w:rPr>
          <w:rFonts w:hint="eastAsia" w:ascii="仿宋_GB2312" w:hAnsi="仿宋_GB2312" w:eastAsia="仿宋_GB2312" w:cs="仿宋_GB2312"/>
          <w:b w:val="0"/>
          <w:bCs w:val="0"/>
          <w:color w:val="auto"/>
          <w:spacing w:val="0"/>
          <w:sz w:val="32"/>
          <w:szCs w:val="32"/>
          <w:highlight w:val="none"/>
          <w:lang w:val="en-US" w:eastAsia="zh-CN"/>
        </w:rPr>
        <w:t>1852.56万元。</w:t>
      </w:r>
    </w:p>
    <w:p w14:paraId="6CA077AC">
      <w:pPr>
        <w:pStyle w:val="15"/>
        <w:numPr>
          <w:ilvl w:val="0"/>
          <w:numId w:val="1"/>
        </w:numPr>
        <w:ind w:left="0" w:leftChars="0" w:firstLine="649" w:firstLineChars="202"/>
        <w:rPr>
          <w:rFonts w:hint="eastAsia" w:ascii="仿宋_GB2312" w:hAnsi="仿宋_GB2312" w:cs="仿宋_GB2312"/>
          <w:b/>
          <w:bCs/>
          <w:color w:val="auto"/>
          <w:spacing w:val="0"/>
          <w:sz w:val="32"/>
          <w:szCs w:val="32"/>
          <w:highlight w:val="none"/>
          <w:lang w:val="en-US" w:eastAsia="zh-CN"/>
        </w:rPr>
      </w:pPr>
      <w:r>
        <w:rPr>
          <w:rFonts w:hint="eastAsia" w:ascii="仿宋_GB2312" w:hAnsi="仿宋_GB2312" w:cs="仿宋_GB2312"/>
          <w:b/>
          <w:bCs/>
          <w:color w:val="auto"/>
          <w:spacing w:val="0"/>
          <w:sz w:val="32"/>
          <w:szCs w:val="32"/>
          <w:highlight w:val="none"/>
          <w:lang w:val="en-US" w:eastAsia="zh-CN"/>
        </w:rPr>
        <w:t>评价结论</w:t>
      </w:r>
    </w:p>
    <w:p w14:paraId="18335435">
      <w:pPr>
        <w:topLinePun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我单位对照</w:t>
      </w:r>
      <w:r>
        <w:rPr>
          <w:rFonts w:hint="eastAsia" w:ascii="仿宋_GB2312" w:hAnsi="仿宋_GB2312" w:eastAsia="仿宋_GB2312" w:cs="仿宋_GB2312"/>
          <w:color w:val="auto"/>
          <w:sz w:val="32"/>
          <w:szCs w:val="32"/>
        </w:rPr>
        <w:t>2019年项目支出绩效自评指标体系框架逐项进行</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rPr>
        <w:t>分析、评价并打分。</w:t>
      </w:r>
      <w:r>
        <w:rPr>
          <w:rFonts w:hint="eastAsia" w:ascii="仿宋_GB2312" w:hAnsi="仿宋_GB2312" w:eastAsia="仿宋_GB2312" w:cs="仿宋_GB2312"/>
          <w:color w:val="auto"/>
          <w:sz w:val="32"/>
          <w:szCs w:val="32"/>
          <w:lang w:eastAsia="zh-CN"/>
        </w:rPr>
        <w:t>自评分为</w:t>
      </w:r>
      <w:r>
        <w:rPr>
          <w:rFonts w:hint="eastAsia" w:ascii="仿宋_GB2312" w:hAnsi="仿宋_GB2312" w:eastAsia="仿宋_GB2312" w:cs="仿宋_GB2312"/>
          <w:color w:val="auto"/>
          <w:sz w:val="32"/>
          <w:szCs w:val="32"/>
          <w:lang w:val="en-US" w:eastAsia="zh-CN"/>
        </w:rPr>
        <w:t xml:space="preserve"> 99 分。</w:t>
      </w:r>
    </w:p>
    <w:p w14:paraId="3250C167">
      <w:pPr>
        <w:pStyle w:val="15"/>
        <w:numPr>
          <w:ilvl w:val="0"/>
          <w:numId w:val="1"/>
        </w:numPr>
        <w:ind w:left="0" w:leftChars="0" w:firstLine="649" w:firstLineChars="202"/>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问题和建议</w:t>
      </w:r>
    </w:p>
    <w:p w14:paraId="7FCD178C">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rPr>
        <w:t>存在的问题</w:t>
      </w:r>
    </w:p>
    <w:p w14:paraId="3676F8F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经费缺乏，对工作造成一定影响</w:t>
      </w:r>
    </w:p>
    <w:p w14:paraId="40E6774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因退役军人事务局属新组建单位，按机构改革的总体安排，办公场地设在现民政局三楼，由于经费紧张，所需办公设备还未完全配齐，对工作的正常开展造成一定的影响。</w:t>
      </w:r>
    </w:p>
    <w:p w14:paraId="03FA17E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人员还未完全配备到位，存在人员少、工作量大的问题</w:t>
      </w:r>
    </w:p>
    <w:p w14:paraId="22928D2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退役军人事务局</w:t>
      </w:r>
      <w:r>
        <w:rPr>
          <w:rFonts w:hint="eastAsia" w:ascii="仿宋_GB2312" w:hAnsi="仿宋_GB2312" w:eastAsia="仿宋_GB2312" w:cs="仿宋_GB2312"/>
          <w:sz w:val="32"/>
          <w:szCs w:val="32"/>
        </w:rPr>
        <w:t>编办核定了</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编，但人少事多矛盾较为突出，加之组建时调入的同志基本上未从事过该项工作，政策法规、业务知识和工作经验欠缺，一定程度上影响了工作的推进。</w:t>
      </w:r>
    </w:p>
    <w:p w14:paraId="6B4B8B94">
      <w:pPr>
        <w:keepNext w:val="0"/>
        <w:keepLines w:val="0"/>
        <w:pageBreakBefore w:val="0"/>
        <w:kinsoku/>
        <w:wordWrap/>
        <w:overflowPunct/>
        <w:topLinePunct w:val="0"/>
        <w:autoSpaceDE/>
        <w:autoSpaceDN/>
        <w:bidi w:val="0"/>
        <w:adjustRightInd/>
        <w:spacing w:line="560" w:lineRule="exact"/>
        <w:ind w:right="0" w:rightChars="0" w:firstLine="640" w:firstLineChars="200"/>
        <w:jc w:val="left"/>
        <w:textAlignment w:val="auto"/>
        <w:outlineLvl w:val="9"/>
        <w:rPr>
          <w:rFonts w:hint="eastAsia" w:ascii="仿宋_GB2312" w:hAnsi="仿宋_GB2312" w:eastAsia="仿宋_GB2312" w:cs="仿宋_GB2312"/>
          <w:b w:val="0"/>
          <w:bCs w:val="0"/>
          <w:i w:val="0"/>
          <w:iCs w:val="0"/>
          <w:color w:val="auto"/>
          <w:sz w:val="32"/>
          <w:szCs w:val="32"/>
          <w:highlight w:val="none"/>
          <w:lang w:val="en-US" w:eastAsia="zh-CN"/>
        </w:rPr>
      </w:pPr>
      <w:r>
        <w:rPr>
          <w:rFonts w:hint="eastAsia" w:ascii="仿宋_GB2312" w:hAnsi="仿宋_GB2312" w:eastAsia="仿宋_GB2312" w:cs="仿宋_GB2312"/>
          <w:b w:val="0"/>
          <w:bCs w:val="0"/>
          <w:i w:val="0"/>
          <w:iCs w:val="0"/>
          <w:color w:val="auto"/>
          <w:sz w:val="32"/>
          <w:szCs w:val="32"/>
          <w:highlight w:val="none"/>
          <w:lang w:val="en-US" w:eastAsia="zh-CN"/>
        </w:rPr>
        <w:t>3.</w:t>
      </w:r>
      <w:r>
        <w:rPr>
          <w:rFonts w:hint="eastAsia" w:ascii="仿宋_GB2312" w:hAnsi="仿宋_GB2312" w:eastAsia="仿宋_GB2312" w:cs="仿宋_GB2312"/>
          <w:sz w:val="32"/>
          <w:szCs w:val="32"/>
        </w:rPr>
        <w:t>由于时间紧迫，在政策宣传方面还不够广泛和深入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部分项目资金下拨时间过晚导致项目成效不</w:t>
      </w:r>
      <w:r>
        <w:rPr>
          <w:rFonts w:hint="eastAsia" w:ascii="仿宋_GB2312" w:hAnsi="仿宋_GB2312" w:eastAsia="仿宋_GB2312" w:cs="仿宋_GB2312"/>
          <w:sz w:val="32"/>
          <w:szCs w:val="32"/>
          <w:lang w:eastAsia="zh-CN"/>
        </w:rPr>
        <w:t>太</w:t>
      </w:r>
      <w:r>
        <w:rPr>
          <w:rFonts w:hint="eastAsia" w:ascii="仿宋_GB2312" w:hAnsi="仿宋_GB2312" w:eastAsia="仿宋_GB2312" w:cs="仿宋_GB2312"/>
          <w:sz w:val="32"/>
          <w:szCs w:val="32"/>
        </w:rPr>
        <w:t>明显。</w:t>
      </w:r>
    </w:p>
    <w:p w14:paraId="53F9B984">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val="0"/>
          <w:bCs w:val="0"/>
          <w:i w:val="0"/>
          <w:iCs w:val="0"/>
          <w:color w:val="auto"/>
          <w:sz w:val="32"/>
          <w:szCs w:val="32"/>
          <w:highlight w:val="none"/>
          <w:lang w:eastAsia="zh-CN"/>
        </w:rPr>
      </w:pPr>
      <w:r>
        <w:rPr>
          <w:rFonts w:hint="eastAsia" w:ascii="仿宋_GB2312" w:hAnsi="仿宋_GB2312" w:eastAsia="仿宋_GB2312" w:cs="仿宋_GB2312"/>
          <w:b w:val="0"/>
          <w:bCs w:val="0"/>
          <w:i w:val="0"/>
          <w:iCs w:val="0"/>
          <w:color w:val="auto"/>
          <w:sz w:val="32"/>
          <w:szCs w:val="32"/>
          <w:highlight w:val="none"/>
          <w:lang w:eastAsia="zh-CN"/>
        </w:rPr>
        <w:t>（二）改进措施及建议</w:t>
      </w:r>
    </w:p>
    <w:p w14:paraId="03B9CEAF">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继续做好抚恤优待工作。</w:t>
      </w:r>
      <w:r>
        <w:rPr>
          <w:rFonts w:hint="eastAsia" w:ascii="仿宋_GB2312" w:hAnsi="仿宋_GB2312" w:eastAsia="仿宋_GB2312" w:cs="仿宋_GB2312"/>
          <w:sz w:val="32"/>
          <w:szCs w:val="32"/>
        </w:rPr>
        <w:t>加大优抚政策的落实力度，加强乡镇（街道）优抚政策落实的指导和督促，及时足额兑付优抚对象补助金。</w:t>
      </w:r>
    </w:p>
    <w:p w14:paraId="0AD6BB6F">
      <w:pPr>
        <w:pStyle w:val="4"/>
        <w:spacing w:line="560" w:lineRule="exact"/>
        <w:ind w:firstLine="3168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2.2020年</w:t>
      </w:r>
      <w:r>
        <w:rPr>
          <w:rFonts w:hint="eastAsia" w:ascii="仿宋_GB2312" w:hAnsi="仿宋_GB2312" w:eastAsia="仿宋_GB2312" w:cs="仿宋_GB2312"/>
          <w:sz w:val="32"/>
          <w:szCs w:val="32"/>
        </w:rPr>
        <w:t>将认真总结近年来优抚对象支付资金拨付使用过程中出现的问题，本着支付资金规划好、使用好、管理好的原则，进一步增强项目绩效目标制定的科学性和预见性；在今后项目申报工作中，做到早计划、早安排，使项目资金下拨及时到位，项目推进快速有效。</w:t>
      </w:r>
    </w:p>
    <w:p w14:paraId="38402551">
      <w:pPr>
        <w:pStyle w:val="15"/>
        <w:numPr>
          <w:ilvl w:val="0"/>
          <w:numId w:val="0"/>
        </w:numPr>
        <w:ind w:leftChars="202"/>
        <w:rPr>
          <w:rFonts w:hint="eastAsia" w:ascii="仿宋_GB2312" w:hAnsi="仿宋_GB2312" w:eastAsia="仿宋_GB2312" w:cs="仿宋_GB2312"/>
          <w:color w:val="auto"/>
          <w:sz w:val="32"/>
          <w:szCs w:val="32"/>
          <w:lang w:val="en-US" w:eastAsia="zh-CN"/>
        </w:rPr>
      </w:pPr>
    </w:p>
    <w:p w14:paraId="31682EA2">
      <w:pPr>
        <w:pStyle w:val="15"/>
        <w:numPr>
          <w:ilvl w:val="0"/>
          <w:numId w:val="0"/>
        </w:numPr>
        <w:ind w:leftChars="202"/>
        <w:rPr>
          <w:rFonts w:hint="eastAsia" w:ascii="仿宋_GB2312" w:hAnsi="仿宋_GB2312" w:eastAsia="仿宋_GB2312" w:cs="仿宋_GB2312"/>
          <w:b/>
          <w:bCs/>
          <w:color w:val="auto"/>
          <w:spacing w:val="0"/>
          <w:sz w:val="32"/>
          <w:szCs w:val="32"/>
          <w:highlight w:val="none"/>
          <w:lang w:val="en-US" w:eastAsia="zh-CN"/>
        </w:rPr>
      </w:pPr>
    </w:p>
    <w:p w14:paraId="3AED4A22">
      <w:pPr>
        <w:keepNext w:val="0"/>
        <w:keepLines w:val="0"/>
        <w:pageBreakBefore w:val="0"/>
        <w:widowControl w:val="0"/>
        <w:kinsoku/>
        <w:wordWrap/>
        <w:overflowPunct/>
        <w:topLinePunct/>
        <w:autoSpaceDE/>
        <w:autoSpaceDN/>
        <w:bidi w:val="0"/>
        <w:adjustRightInd/>
        <w:snapToGrid/>
        <w:spacing w:line="560" w:lineRule="atLeast"/>
        <w:ind w:left="0" w:leftChars="0" w:right="0" w:rightChars="0" w:firstLine="640" w:firstLineChars="0"/>
        <w:jc w:val="both"/>
        <w:textAlignment w:val="auto"/>
        <w:outlineLvl w:val="9"/>
        <w:rPr>
          <w:rFonts w:hint="eastAsia" w:ascii="仿宋_GB2312" w:hAnsi="仿宋_GB2312" w:cs="仿宋_GB2312"/>
          <w:b w:val="0"/>
          <w:bCs w:val="0"/>
          <w:color w:val="auto"/>
          <w:spacing w:val="0"/>
          <w:sz w:val="32"/>
          <w:szCs w:val="32"/>
          <w:highlight w:val="none"/>
          <w:lang w:val="en-US" w:eastAsia="zh-CN"/>
        </w:rPr>
      </w:pPr>
    </w:p>
    <w:p w14:paraId="7DF04B16">
      <w:pPr>
        <w:pStyle w:val="15"/>
        <w:numPr>
          <w:ilvl w:val="0"/>
          <w:numId w:val="0"/>
        </w:numPr>
        <w:rPr>
          <w:rFonts w:hint="default" w:ascii="仿宋_GB2312" w:hAnsi="仿宋_GB2312" w:eastAsia="仿宋_GB2312" w:cs="仿宋_GB2312"/>
          <w:b/>
          <w:bCs/>
          <w:kern w:val="0"/>
          <w:sz w:val="32"/>
          <w:szCs w:val="32"/>
          <w:lang w:val="en-US" w:eastAsia="zh-CN"/>
        </w:rPr>
      </w:pPr>
    </w:p>
    <w:p w14:paraId="7059BA5D">
      <w:pPr>
        <w:pStyle w:val="15"/>
        <w:numPr>
          <w:ilvl w:val="0"/>
          <w:numId w:val="0"/>
        </w:numPr>
        <w:ind w:left="642" w:leftChars="0"/>
        <w:rPr>
          <w:rFonts w:hint="default" w:ascii="仿宋_GB2312" w:hAnsi="仿宋_GB2312" w:eastAsia="仿宋_GB2312" w:cs="仿宋_GB2312"/>
          <w:b/>
          <w:bCs/>
          <w:kern w:val="0"/>
          <w:sz w:val="32"/>
          <w:szCs w:val="32"/>
          <w:lang w:val="en-US" w:eastAsia="zh-CN"/>
        </w:rPr>
      </w:pPr>
    </w:p>
    <w:p w14:paraId="3F44DC8A">
      <w:pPr>
        <w:spacing w:line="360" w:lineRule="auto"/>
        <w:jc w:val="center"/>
        <w:rPr>
          <w:rFonts w:hint="eastAsia" w:ascii="宋体" w:hAnsi="宋体" w:cs="宋体"/>
          <w:b/>
          <w:bCs/>
          <w:kern w:val="0"/>
          <w:sz w:val="36"/>
          <w:szCs w:val="36"/>
        </w:rPr>
      </w:pPr>
    </w:p>
    <w:p w14:paraId="45D8983B">
      <w:pPr>
        <w:spacing w:line="360" w:lineRule="auto"/>
        <w:jc w:val="center"/>
        <w:rPr>
          <w:rFonts w:hint="eastAsia" w:ascii="宋体" w:hAnsi="宋体" w:cs="宋体"/>
          <w:b/>
          <w:bCs/>
          <w:kern w:val="0"/>
          <w:sz w:val="36"/>
          <w:szCs w:val="36"/>
          <w:lang w:eastAsia="zh-CN"/>
        </w:rPr>
      </w:pPr>
      <w:r>
        <w:rPr>
          <w:rFonts w:hint="eastAsia" w:ascii="宋体" w:hAnsi="宋体" w:cs="宋体"/>
          <w:b/>
          <w:bCs/>
          <w:kern w:val="0"/>
          <w:sz w:val="36"/>
          <w:szCs w:val="36"/>
        </w:rPr>
        <w:t>东川区</w:t>
      </w:r>
      <w:r>
        <w:rPr>
          <w:rFonts w:hint="eastAsia" w:ascii="宋体" w:hAnsi="宋体" w:cs="宋体"/>
          <w:b/>
          <w:bCs/>
          <w:kern w:val="0"/>
          <w:sz w:val="36"/>
          <w:szCs w:val="36"/>
          <w:lang w:eastAsia="zh-CN"/>
        </w:rPr>
        <w:t>退役军人事务</w:t>
      </w:r>
      <w:r>
        <w:rPr>
          <w:rFonts w:hint="eastAsia" w:ascii="宋体" w:hAnsi="宋体" w:cs="宋体"/>
          <w:b/>
          <w:bCs/>
          <w:kern w:val="0"/>
          <w:sz w:val="36"/>
          <w:szCs w:val="36"/>
        </w:rPr>
        <w:t>局</w:t>
      </w:r>
      <w:r>
        <w:rPr>
          <w:rFonts w:ascii="宋体" w:hAnsi="宋体" w:cs="宋体"/>
          <w:b/>
          <w:bCs/>
          <w:kern w:val="0"/>
          <w:sz w:val="36"/>
          <w:szCs w:val="36"/>
        </w:rPr>
        <w:t>201</w:t>
      </w:r>
      <w:r>
        <w:rPr>
          <w:rFonts w:hint="eastAsia" w:ascii="宋体" w:hAnsi="宋体" w:cs="宋体"/>
          <w:b/>
          <w:bCs/>
          <w:kern w:val="0"/>
          <w:sz w:val="36"/>
          <w:szCs w:val="36"/>
          <w:lang w:val="en-US" w:eastAsia="zh-CN"/>
        </w:rPr>
        <w:t>9</w:t>
      </w:r>
      <w:r>
        <w:rPr>
          <w:rFonts w:hint="eastAsia" w:ascii="宋体" w:hAnsi="宋体" w:cs="宋体"/>
          <w:b/>
          <w:bCs/>
          <w:kern w:val="0"/>
          <w:sz w:val="36"/>
          <w:szCs w:val="36"/>
        </w:rPr>
        <w:t>年</w:t>
      </w:r>
      <w:r>
        <w:rPr>
          <w:rFonts w:hint="eastAsia" w:ascii="宋体" w:hAnsi="宋体" w:cs="宋体"/>
          <w:b/>
          <w:bCs/>
          <w:kern w:val="0"/>
          <w:sz w:val="36"/>
          <w:szCs w:val="36"/>
          <w:lang w:eastAsia="zh-CN"/>
        </w:rPr>
        <w:t>抚恤优待</w:t>
      </w:r>
    </w:p>
    <w:p w14:paraId="271E9358">
      <w:pPr>
        <w:spacing w:line="360" w:lineRule="auto"/>
        <w:jc w:val="center"/>
        <w:rPr>
          <w:rFonts w:hint="eastAsia" w:ascii="宋体" w:cs="Times New Roman"/>
          <w:b/>
          <w:bCs/>
          <w:kern w:val="0"/>
          <w:sz w:val="36"/>
          <w:szCs w:val="36"/>
        </w:rPr>
      </w:pPr>
      <w:r>
        <w:rPr>
          <w:rFonts w:hint="eastAsia" w:ascii="宋体" w:hAnsi="宋体" w:cs="宋体"/>
          <w:b/>
          <w:bCs/>
          <w:kern w:val="0"/>
          <w:sz w:val="36"/>
          <w:szCs w:val="36"/>
        </w:rPr>
        <w:t>项目支出绩效自评</w:t>
      </w:r>
    </w:p>
    <w:p w14:paraId="324FD281">
      <w:pPr>
        <w:topLinePunct/>
        <w:ind w:firstLine="640" w:firstLineChars="200"/>
        <w:rPr>
          <w:rFonts w:ascii="黑体" w:eastAsia="黑体"/>
          <w:sz w:val="32"/>
          <w:szCs w:val="32"/>
        </w:rPr>
      </w:pPr>
      <w:r>
        <w:rPr>
          <w:rFonts w:hint="eastAsia" w:ascii="黑体" w:eastAsia="黑体"/>
          <w:sz w:val="32"/>
          <w:szCs w:val="32"/>
        </w:rPr>
        <w:t>一、项目基本情况</w:t>
      </w:r>
    </w:p>
    <w:p w14:paraId="11EF344C">
      <w:pPr>
        <w:pStyle w:val="15"/>
        <w:numPr>
          <w:ilvl w:val="0"/>
          <w:numId w:val="0"/>
        </w:numPr>
        <w:ind w:left="642" w:left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（一）项</w:t>
      </w:r>
      <w:r>
        <w:rPr>
          <w:rFonts w:hint="eastAsia" w:ascii="仿宋_GB2312" w:hAnsi="仿宋_GB2312" w:eastAsia="仿宋_GB2312" w:cs="仿宋_GB2312"/>
          <w:b w:val="0"/>
          <w:bCs/>
          <w:sz w:val="32"/>
          <w:szCs w:val="32"/>
          <w:lang w:eastAsia="zh-CN"/>
        </w:rPr>
        <w:t>目概况</w:t>
      </w:r>
    </w:p>
    <w:p w14:paraId="2A98C435">
      <w:pPr>
        <w:pStyle w:val="15"/>
        <w:numPr>
          <w:ilvl w:val="0"/>
          <w:numId w:val="0"/>
        </w:numPr>
        <w:ind w:firstLine="640" w:firstLineChars="200"/>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1.项目背景及目的</w:t>
      </w:r>
    </w:p>
    <w:p w14:paraId="79BC7A64">
      <w:pPr>
        <w:spacing w:line="560" w:lineRule="exact"/>
        <w:ind w:firstLine="640" w:firstLineChars="200"/>
        <w:outlineLvl w:val="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根据《云南省退役军人事务厅 云南省财政厅关于转发退役军人事务部 财政部调整部分优抚对象等人员抚恤和生活补助标准的通知》（云退役发[2019]125号）、《云南省退役军人事务厅 云南省财政厅关于启动优抚对象价格临时补贴与物价上涨联动机制的通知》（云退役发[2019]136号）、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kern w:val="0"/>
          <w:sz w:val="32"/>
          <w:szCs w:val="32"/>
          <w:lang w:eastAsia="zh-CN"/>
        </w:rPr>
        <w:t>云南省民政厅</w:t>
      </w:r>
      <w:r>
        <w:rPr>
          <w:rFonts w:hint="eastAsia" w:ascii="仿宋_GB2312" w:hAnsi="仿宋_GB2312" w:eastAsia="仿宋_GB2312" w:cs="仿宋_GB2312"/>
          <w:b w:val="0"/>
          <w:bCs w:val="0"/>
          <w:kern w:val="0"/>
          <w:sz w:val="32"/>
          <w:szCs w:val="32"/>
          <w:lang w:val="en-US" w:eastAsia="zh-CN"/>
        </w:rPr>
        <w:t xml:space="preserve"> 云南省财政厅 云南省军区司令部关于义务兵家庭优待金发放有关问题的通知</w:t>
      </w:r>
      <w:r>
        <w:rPr>
          <w:rFonts w:hint="eastAsia" w:ascii="仿宋_GB2312" w:hAnsi="仿宋_GB2312" w:eastAsia="仿宋_GB2312" w:cs="仿宋_GB2312"/>
          <w:b w:val="0"/>
          <w:bCs w:val="0"/>
          <w:kern w:val="0"/>
          <w:sz w:val="32"/>
          <w:szCs w:val="32"/>
          <w:lang w:eastAsia="zh-CN"/>
        </w:rPr>
        <w:t>》（云民优[</w:t>
      </w:r>
      <w:r>
        <w:rPr>
          <w:rFonts w:hint="eastAsia" w:ascii="仿宋_GB2312" w:hAnsi="仿宋_GB2312" w:eastAsia="仿宋_GB2312" w:cs="仿宋_GB2312"/>
          <w:b w:val="0"/>
          <w:bCs w:val="0"/>
          <w:kern w:val="0"/>
          <w:sz w:val="32"/>
          <w:szCs w:val="32"/>
          <w:lang w:val="en-US" w:eastAsia="zh-CN"/>
        </w:rPr>
        <w:t>2016</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1号</w:t>
      </w:r>
      <w:r>
        <w:rPr>
          <w:rFonts w:hint="eastAsia" w:ascii="仿宋_GB2312" w:hAnsi="仿宋_GB2312" w:eastAsia="仿宋_GB2312" w:cs="仿宋_GB2312"/>
          <w:b w:val="0"/>
          <w:bCs w:val="0"/>
          <w:kern w:val="0"/>
          <w:sz w:val="32"/>
          <w:szCs w:val="32"/>
          <w:lang w:eastAsia="zh-CN"/>
        </w:rPr>
        <w:t>）、《云南省民政厅</w:t>
      </w:r>
      <w:r>
        <w:rPr>
          <w:rFonts w:hint="eastAsia" w:ascii="仿宋_GB2312" w:hAnsi="仿宋_GB2312" w:eastAsia="仿宋_GB2312" w:cs="仿宋_GB2312"/>
          <w:b w:val="0"/>
          <w:bCs w:val="0"/>
          <w:kern w:val="0"/>
          <w:sz w:val="32"/>
          <w:szCs w:val="32"/>
          <w:lang w:val="en-US" w:eastAsia="zh-CN"/>
        </w:rPr>
        <w:t xml:space="preserve"> 云南省财政厅关于切实做好农村重点优抚对象基本生活保障工作的通知</w:t>
      </w:r>
      <w:r>
        <w:rPr>
          <w:rFonts w:hint="eastAsia" w:ascii="仿宋_GB2312" w:hAnsi="仿宋_GB2312" w:eastAsia="仿宋_GB2312" w:cs="仿宋_GB2312"/>
          <w:b w:val="0"/>
          <w:bCs w:val="0"/>
          <w:kern w:val="0"/>
          <w:sz w:val="32"/>
          <w:szCs w:val="32"/>
          <w:lang w:eastAsia="zh-CN"/>
        </w:rPr>
        <w:t>》（云民[</w:t>
      </w:r>
      <w:r>
        <w:rPr>
          <w:rFonts w:hint="eastAsia" w:ascii="仿宋_GB2312" w:hAnsi="仿宋_GB2312" w:eastAsia="仿宋_GB2312" w:cs="仿宋_GB2312"/>
          <w:b w:val="0"/>
          <w:bCs w:val="0"/>
          <w:kern w:val="0"/>
          <w:sz w:val="32"/>
          <w:szCs w:val="32"/>
          <w:lang w:val="en-US" w:eastAsia="zh-CN"/>
        </w:rPr>
        <w:t>2015</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3号</w:t>
      </w:r>
      <w:r>
        <w:rPr>
          <w:rFonts w:hint="eastAsia" w:ascii="仿宋_GB2312" w:hAnsi="仿宋_GB2312" w:eastAsia="仿宋_GB2312" w:cs="仿宋_GB2312"/>
          <w:b w:val="0"/>
          <w:bCs w:val="0"/>
          <w:kern w:val="0"/>
          <w:sz w:val="32"/>
          <w:szCs w:val="32"/>
          <w:lang w:eastAsia="zh-CN"/>
        </w:rPr>
        <w:t>）、《退役军人事务部等5部门关于加强困难退役军人帮扶援助工作的意见》（退役军人部发（2019）62号）、</w:t>
      </w:r>
      <w:r>
        <w:rPr>
          <w:rFonts w:hint="eastAsia" w:ascii="仿宋_GB2312" w:hAnsi="仿宋_GB2312" w:eastAsia="仿宋_GB2312" w:cs="仿宋_GB2312"/>
          <w:b w:val="0"/>
          <w:bCs w:val="0"/>
          <w:kern w:val="0"/>
          <w:sz w:val="32"/>
          <w:szCs w:val="32"/>
          <w:lang w:val="en-US" w:eastAsia="zh-CN"/>
        </w:rPr>
        <w:t>《云南省民政厅 云南省财政厅 云南省人力资源和社会保障厅关于做好城镇部分重点优抚对象生活困难补助发放工作的通知》</w:t>
      </w:r>
      <w:r>
        <w:rPr>
          <w:rFonts w:hint="eastAsia" w:ascii="仿宋_GB2312" w:hAnsi="仿宋_GB2312" w:eastAsia="仿宋_GB2312" w:cs="仿宋_GB2312"/>
          <w:b w:val="0"/>
          <w:bCs w:val="0"/>
          <w:kern w:val="0"/>
          <w:sz w:val="32"/>
          <w:szCs w:val="32"/>
          <w:highlight w:val="none"/>
          <w:lang w:eastAsia="zh-CN"/>
        </w:rPr>
        <w:t>（云民优[</w:t>
      </w:r>
      <w:r>
        <w:rPr>
          <w:rFonts w:hint="eastAsia" w:ascii="仿宋_GB2312" w:hAnsi="仿宋_GB2312" w:eastAsia="仿宋_GB2312" w:cs="仿宋_GB2312"/>
          <w:b w:val="0"/>
          <w:bCs w:val="0"/>
          <w:kern w:val="0"/>
          <w:sz w:val="32"/>
          <w:szCs w:val="32"/>
          <w:highlight w:val="none"/>
          <w:lang w:val="en-US" w:eastAsia="zh-CN"/>
        </w:rPr>
        <w:t>2015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3号</w:t>
      </w:r>
      <w:r>
        <w:rPr>
          <w:rFonts w:hint="eastAsia" w:ascii="仿宋_GB2312" w:hAnsi="仿宋_GB2312" w:eastAsia="仿宋_GB2312" w:cs="仿宋_GB2312"/>
          <w:b w:val="0"/>
          <w:bCs w:val="0"/>
          <w:kern w:val="0"/>
          <w:sz w:val="32"/>
          <w:szCs w:val="32"/>
          <w:highlight w:val="none"/>
          <w:lang w:eastAsia="zh-CN"/>
        </w:rPr>
        <w:t>）、《昆明市人民政府办公厅关于综合运用现有政策做好参战退役人员等优抚对象解困工作的通知》（昆政办[</w:t>
      </w:r>
      <w:r>
        <w:rPr>
          <w:rFonts w:hint="eastAsia" w:ascii="仿宋_GB2312" w:hAnsi="仿宋_GB2312" w:eastAsia="仿宋_GB2312" w:cs="仿宋_GB2312"/>
          <w:b w:val="0"/>
          <w:bCs w:val="0"/>
          <w:kern w:val="0"/>
          <w:sz w:val="32"/>
          <w:szCs w:val="32"/>
          <w:highlight w:val="none"/>
          <w:lang w:val="en-US" w:eastAsia="zh-CN"/>
        </w:rPr>
        <w:t>2013</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126号</w:t>
      </w:r>
      <w:r>
        <w:rPr>
          <w:rFonts w:hint="eastAsia" w:ascii="仿宋_GB2312" w:hAnsi="仿宋_GB2312" w:eastAsia="仿宋_GB2312" w:cs="仿宋_GB2312"/>
          <w:b w:val="0"/>
          <w:bCs w:val="0"/>
          <w:kern w:val="0"/>
          <w:sz w:val="32"/>
          <w:szCs w:val="32"/>
          <w:highlight w:val="none"/>
          <w:lang w:eastAsia="zh-CN"/>
        </w:rPr>
        <w:t>）、《昆明市人民政府办公厅关于做好参战退役人员等优抚对象解困帮扶工作的补充通知》（昆政办[</w:t>
      </w:r>
      <w:r>
        <w:rPr>
          <w:rFonts w:hint="eastAsia" w:ascii="仿宋_GB2312" w:hAnsi="仿宋_GB2312" w:eastAsia="仿宋_GB2312" w:cs="仿宋_GB2312"/>
          <w:b w:val="0"/>
          <w:bCs w:val="0"/>
          <w:kern w:val="0"/>
          <w:sz w:val="32"/>
          <w:szCs w:val="32"/>
          <w:highlight w:val="none"/>
          <w:lang w:val="en-US" w:eastAsia="zh-CN"/>
        </w:rPr>
        <w:t>2015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64号</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sz w:val="32"/>
          <w:szCs w:val="32"/>
        </w:rPr>
        <w:t>《东川区优抚对象住院医疗保障实施细则》（试行）（东政办发【2009】150号）文件</w:t>
      </w:r>
      <w:r>
        <w:rPr>
          <w:rFonts w:hint="eastAsia" w:ascii="仿宋_GB2312" w:hAnsi="仿宋_GB2312" w:eastAsia="仿宋_GB2312" w:cs="仿宋_GB2312"/>
          <w:b w:val="0"/>
          <w:bCs w:val="0"/>
          <w:kern w:val="0"/>
          <w:sz w:val="32"/>
          <w:szCs w:val="32"/>
          <w:lang w:val="en-US" w:eastAsia="zh-CN"/>
        </w:rPr>
        <w:t>精神，</w:t>
      </w:r>
      <w:r>
        <w:rPr>
          <w:rFonts w:hint="eastAsia" w:ascii="仿宋_GB2312" w:hAnsi="仿宋_GB2312" w:eastAsia="仿宋_GB2312" w:cs="仿宋_GB2312"/>
          <w:sz w:val="32"/>
          <w:szCs w:val="32"/>
        </w:rPr>
        <w:t>做好</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优抚对象部分解困帮扶、三属、老烈士子女、伤残军人、复员军人、两参人员、带病回乡退伍军人、60岁以上农村藉老兵，共计</w:t>
      </w:r>
      <w:r>
        <w:rPr>
          <w:rFonts w:hint="eastAsia" w:ascii="仿宋_GB2312" w:hAnsi="仿宋_GB2312" w:eastAsia="仿宋_GB2312" w:cs="仿宋_GB2312"/>
          <w:sz w:val="32"/>
          <w:szCs w:val="32"/>
          <w:lang w:val="en-US" w:eastAsia="zh-CN"/>
        </w:rPr>
        <w:t>1874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服务工作，确保服务对象各项费用按时足额发放，为东川区建设提供稳定和谐的社会环境。</w:t>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sz w:val="32"/>
          <w:szCs w:val="32"/>
        </w:rPr>
        <w:t xml:space="preserve"> </w:t>
      </w:r>
    </w:p>
    <w:p w14:paraId="1C630D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2.项目实施情况</w:t>
      </w:r>
    </w:p>
    <w:p w14:paraId="57E47A5B">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rPr>
        <w:t>全区现有抚恤和生活补助对象</w:t>
      </w:r>
      <w:r>
        <w:rPr>
          <w:rFonts w:hint="eastAsia" w:ascii="仿宋_GB2312" w:hAnsi="仿宋_GB2312" w:eastAsia="仿宋_GB2312" w:cs="仿宋_GB2312"/>
          <w:sz w:val="32"/>
          <w:szCs w:val="32"/>
          <w:lang w:val="en-US" w:eastAsia="zh-CN"/>
        </w:rPr>
        <w:t>1874</w:t>
      </w:r>
      <w:r>
        <w:rPr>
          <w:rFonts w:hint="eastAsia" w:ascii="仿宋_GB2312" w:hAnsi="仿宋_GB2312" w:eastAsia="仿宋_GB2312" w:cs="仿宋_GB2312"/>
          <w:sz w:val="32"/>
          <w:szCs w:val="32"/>
        </w:rPr>
        <w:t>人，全年划拨抚恤生活补助及</w:t>
      </w:r>
      <w:r>
        <w:rPr>
          <w:rFonts w:hint="eastAsia" w:ascii="仿宋_GB2312" w:hAnsi="仿宋_GB2312" w:eastAsia="仿宋_GB2312" w:cs="仿宋_GB2312"/>
          <w:sz w:val="32"/>
          <w:szCs w:val="32"/>
          <w:lang w:eastAsia="zh-CN"/>
        </w:rPr>
        <w:t>医疗补助、义务兵家庭优待金、春节八一慰问金等</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1852.56</w:t>
      </w:r>
      <w:r>
        <w:rPr>
          <w:rFonts w:hint="eastAsia" w:ascii="仿宋_GB2312" w:hAnsi="仿宋_GB2312" w:eastAsia="仿宋_GB2312" w:cs="仿宋_GB2312"/>
          <w:sz w:val="32"/>
          <w:szCs w:val="32"/>
        </w:rPr>
        <w:t>万元。其中：三属对象2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人（含老烈士子女</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人），伤残军人1</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人，在乡复员军人</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人，带病回乡退伍军人3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 “两参人员”11</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人， 60岁以上农村藉老兵46</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现役军人家庭</w:t>
      </w:r>
      <w:r>
        <w:rPr>
          <w:rFonts w:hint="eastAsia" w:ascii="仿宋_GB2312" w:hAnsi="仿宋_GB2312" w:eastAsia="仿宋_GB2312" w:cs="仿宋_GB2312"/>
          <w:sz w:val="32"/>
          <w:szCs w:val="32"/>
          <w:lang w:val="en-US" w:eastAsia="zh-CN"/>
        </w:rPr>
        <w:t>157户，</w:t>
      </w:r>
      <w:r>
        <w:rPr>
          <w:rFonts w:hint="eastAsia" w:ascii="仿宋_GB2312" w:hAnsi="仿宋_GB2312" w:eastAsia="仿宋_GB2312" w:cs="仿宋_GB2312"/>
          <w:sz w:val="32"/>
          <w:szCs w:val="32"/>
          <w:lang w:eastAsia="zh-CN"/>
        </w:rPr>
        <w:t>补助资金按时</w:t>
      </w:r>
      <w:r>
        <w:rPr>
          <w:rFonts w:hint="eastAsia" w:ascii="仿宋_GB2312" w:hAnsi="仿宋_GB2312" w:eastAsia="仿宋_GB2312" w:cs="仿宋_GB2312"/>
          <w:sz w:val="32"/>
          <w:szCs w:val="32"/>
        </w:rPr>
        <w:t xml:space="preserve">足额发放到优抚对象手中。 </w:t>
      </w:r>
    </w:p>
    <w:p w14:paraId="7983A7DB">
      <w:pPr>
        <w:pStyle w:val="15"/>
        <w:numPr>
          <w:ilvl w:val="0"/>
          <w:numId w:val="0"/>
        </w:numPr>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3.资金来源及使用情况</w:t>
      </w:r>
    </w:p>
    <w:p w14:paraId="2D5D2C4F">
      <w:pPr>
        <w:numPr>
          <w:ilvl w:val="0"/>
          <w:numId w:val="0"/>
        </w:numPr>
        <w:topLinePunct/>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资金来源：2019年抚恤优待项目资金2127.56万元，由省市区三级承担，其中区发改局从</w:t>
      </w:r>
      <w:r>
        <w:rPr>
          <w:rFonts w:hint="eastAsia" w:ascii="仿宋_GB2312" w:hAnsi="仿宋_GB2312" w:eastAsia="仿宋_GB2312" w:cs="仿宋_GB2312"/>
          <w:b w:val="0"/>
          <w:bCs w:val="0"/>
          <w:color w:val="auto"/>
          <w:spacing w:val="0"/>
          <w:sz w:val="32"/>
          <w:szCs w:val="32"/>
          <w:highlight w:val="none"/>
          <w:lang w:eastAsia="zh-CN"/>
        </w:rPr>
        <w:t>资源枯竭型城市转型</w:t>
      </w:r>
      <w:r>
        <w:rPr>
          <w:rFonts w:hint="eastAsia" w:ascii="仿宋_GB2312" w:hAnsi="仿宋_GB2312" w:eastAsia="仿宋_GB2312" w:cs="仿宋_GB2312"/>
          <w:b w:val="0"/>
          <w:bCs w:val="0"/>
          <w:color w:val="auto"/>
          <w:spacing w:val="0"/>
          <w:sz w:val="32"/>
          <w:szCs w:val="32"/>
          <w:highlight w:val="none"/>
        </w:rPr>
        <w:t>专项转移</w:t>
      </w:r>
      <w:r>
        <w:rPr>
          <w:rFonts w:hint="eastAsia" w:ascii="仿宋_GB2312" w:hAnsi="仿宋_GB2312" w:eastAsia="仿宋_GB2312" w:cs="仿宋_GB2312"/>
          <w:b w:val="0"/>
          <w:bCs w:val="0"/>
          <w:color w:val="auto"/>
          <w:spacing w:val="0"/>
          <w:sz w:val="32"/>
          <w:szCs w:val="32"/>
          <w:highlight w:val="none"/>
          <w:lang w:eastAsia="zh-CN"/>
        </w:rPr>
        <w:t>资金中拨付</w:t>
      </w:r>
      <w:r>
        <w:rPr>
          <w:rFonts w:hint="eastAsia" w:ascii="仿宋_GB2312" w:hAnsi="仿宋_GB2312" w:eastAsia="仿宋_GB2312" w:cs="仿宋_GB2312"/>
          <w:b w:val="0"/>
          <w:bCs w:val="0"/>
          <w:color w:val="auto"/>
          <w:spacing w:val="0"/>
          <w:sz w:val="32"/>
          <w:szCs w:val="32"/>
          <w:highlight w:val="none"/>
          <w:lang w:val="en-US" w:eastAsia="zh-CN"/>
        </w:rPr>
        <w:t>420.67万元</w:t>
      </w:r>
      <w:r>
        <w:rPr>
          <w:rFonts w:hint="eastAsia" w:ascii="仿宋_GB2312" w:hAnsi="仿宋_GB2312" w:eastAsia="仿宋_GB2312" w:cs="仿宋_GB2312"/>
          <w:b w:val="0"/>
          <w:bCs w:val="0"/>
          <w:color w:val="auto"/>
          <w:spacing w:val="0"/>
          <w:sz w:val="32"/>
          <w:szCs w:val="32"/>
          <w:highlight w:val="none"/>
          <w:lang w:eastAsia="zh-CN"/>
        </w:rPr>
        <w:t>到我局。</w:t>
      </w:r>
    </w:p>
    <w:p w14:paraId="5460C31B">
      <w:pPr>
        <w:keepNext w:val="0"/>
        <w:keepLines w:val="0"/>
        <w:pageBreakBefore w:val="0"/>
        <w:widowControl w:val="0"/>
        <w:kinsoku/>
        <w:wordWrap/>
        <w:overflowPunct/>
        <w:autoSpaceDE/>
        <w:autoSpaceDN/>
        <w:bidi w:val="0"/>
        <w:adjustRightInd/>
        <w:snapToGrid/>
        <w:spacing w:line="560" w:lineRule="atLeas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使用情况：</w:t>
      </w:r>
      <w:r>
        <w:rPr>
          <w:rFonts w:hint="eastAsia" w:ascii="仿宋_GB2312" w:hAnsi="仿宋_GB2312" w:eastAsia="仿宋_GB2312" w:cs="仿宋_GB2312"/>
          <w:sz w:val="32"/>
          <w:szCs w:val="32"/>
          <w:lang w:val="en-US" w:eastAsia="zh-CN"/>
        </w:rPr>
        <w:t>2019年抚恤优待项目资金使用1852.56万元。其中死亡抚恤52.16万元、伤残抚恤286.03万元、义务兵优待金159.31万元、其他优抚支出1342.37万元、优抚对象医疗补助12.69万元。</w:t>
      </w:r>
    </w:p>
    <w:p w14:paraId="7AA120DC">
      <w:pPr>
        <w:pStyle w:val="15"/>
        <w:numPr>
          <w:ilvl w:val="0"/>
          <w:numId w:val="3"/>
        </w:num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项目组织及和管理情况</w:t>
      </w:r>
    </w:p>
    <w:p w14:paraId="1F2B4209">
      <w:pPr>
        <w:spacing w:line="560" w:lineRule="atLeas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eastAsia="zh-CN"/>
        </w:rPr>
        <w:t>东川区抚恤优待项目资金的组织和管理严格按照</w:t>
      </w:r>
      <w:r>
        <w:rPr>
          <w:rFonts w:hint="eastAsia" w:ascii="仿宋_GB2312" w:hAnsi="仿宋_GB2312" w:eastAsia="仿宋_GB2312" w:cs="仿宋_GB2312"/>
          <w:b w:val="0"/>
          <w:bCs w:val="0"/>
          <w:kern w:val="0"/>
          <w:sz w:val="32"/>
          <w:szCs w:val="32"/>
          <w:lang w:val="en-US" w:eastAsia="zh-CN"/>
        </w:rPr>
        <w:t>《云南省退役军人事务厅 云南省财政厅关于转发退役军人事务部 财政部调整部分优抚对象等人员抚恤和生活补助标准的通知》（云退役发[2019]125号）、《云南省退役军人事务厅 云南省财政厅关于启动优抚对象价格临时补贴与物价上涨联动机制的通知》（云退役发[2019]136号）、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kern w:val="0"/>
          <w:sz w:val="32"/>
          <w:szCs w:val="32"/>
          <w:lang w:eastAsia="zh-CN"/>
        </w:rPr>
        <w:t>云南省民政厅</w:t>
      </w:r>
      <w:r>
        <w:rPr>
          <w:rFonts w:hint="eastAsia" w:ascii="仿宋_GB2312" w:hAnsi="仿宋_GB2312" w:eastAsia="仿宋_GB2312" w:cs="仿宋_GB2312"/>
          <w:b w:val="0"/>
          <w:bCs w:val="0"/>
          <w:kern w:val="0"/>
          <w:sz w:val="32"/>
          <w:szCs w:val="32"/>
          <w:lang w:val="en-US" w:eastAsia="zh-CN"/>
        </w:rPr>
        <w:t xml:space="preserve"> 云南省财政厅 云南省军区司令部关于义务兵家庭优待金发放有关问题的通知</w:t>
      </w:r>
      <w:r>
        <w:rPr>
          <w:rFonts w:hint="eastAsia" w:ascii="仿宋_GB2312" w:hAnsi="仿宋_GB2312" w:eastAsia="仿宋_GB2312" w:cs="仿宋_GB2312"/>
          <w:b w:val="0"/>
          <w:bCs w:val="0"/>
          <w:kern w:val="0"/>
          <w:sz w:val="32"/>
          <w:szCs w:val="32"/>
          <w:lang w:eastAsia="zh-CN"/>
        </w:rPr>
        <w:t>》（云民优[</w:t>
      </w:r>
      <w:r>
        <w:rPr>
          <w:rFonts w:hint="eastAsia" w:ascii="仿宋_GB2312" w:hAnsi="仿宋_GB2312" w:eastAsia="仿宋_GB2312" w:cs="仿宋_GB2312"/>
          <w:b w:val="0"/>
          <w:bCs w:val="0"/>
          <w:kern w:val="0"/>
          <w:sz w:val="32"/>
          <w:szCs w:val="32"/>
          <w:lang w:val="en-US" w:eastAsia="zh-CN"/>
        </w:rPr>
        <w:t>2016</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1号</w:t>
      </w:r>
      <w:r>
        <w:rPr>
          <w:rFonts w:hint="eastAsia" w:ascii="仿宋_GB2312" w:hAnsi="仿宋_GB2312" w:eastAsia="仿宋_GB2312" w:cs="仿宋_GB2312"/>
          <w:b w:val="0"/>
          <w:bCs w:val="0"/>
          <w:kern w:val="0"/>
          <w:sz w:val="32"/>
          <w:szCs w:val="32"/>
          <w:lang w:eastAsia="zh-CN"/>
        </w:rPr>
        <w:t>）、《云南省民政厅</w:t>
      </w:r>
      <w:r>
        <w:rPr>
          <w:rFonts w:hint="eastAsia" w:ascii="仿宋_GB2312" w:hAnsi="仿宋_GB2312" w:eastAsia="仿宋_GB2312" w:cs="仿宋_GB2312"/>
          <w:b w:val="0"/>
          <w:bCs w:val="0"/>
          <w:kern w:val="0"/>
          <w:sz w:val="32"/>
          <w:szCs w:val="32"/>
          <w:lang w:val="en-US" w:eastAsia="zh-CN"/>
        </w:rPr>
        <w:t xml:space="preserve"> 云南省财政厅关于切实做好农村重点优抚对象基本生活保障工作的通知</w:t>
      </w:r>
      <w:r>
        <w:rPr>
          <w:rFonts w:hint="eastAsia" w:ascii="仿宋_GB2312" w:hAnsi="仿宋_GB2312" w:eastAsia="仿宋_GB2312" w:cs="仿宋_GB2312"/>
          <w:b w:val="0"/>
          <w:bCs w:val="0"/>
          <w:kern w:val="0"/>
          <w:sz w:val="32"/>
          <w:szCs w:val="32"/>
          <w:lang w:eastAsia="zh-CN"/>
        </w:rPr>
        <w:t>》（云民[</w:t>
      </w:r>
      <w:r>
        <w:rPr>
          <w:rFonts w:hint="eastAsia" w:ascii="仿宋_GB2312" w:hAnsi="仿宋_GB2312" w:eastAsia="仿宋_GB2312" w:cs="仿宋_GB2312"/>
          <w:b w:val="0"/>
          <w:bCs w:val="0"/>
          <w:kern w:val="0"/>
          <w:sz w:val="32"/>
          <w:szCs w:val="32"/>
          <w:lang w:val="en-US" w:eastAsia="zh-CN"/>
        </w:rPr>
        <w:t>2015</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3号</w:t>
      </w:r>
      <w:r>
        <w:rPr>
          <w:rFonts w:hint="eastAsia" w:ascii="仿宋_GB2312" w:hAnsi="仿宋_GB2312" w:eastAsia="仿宋_GB2312" w:cs="仿宋_GB2312"/>
          <w:b w:val="0"/>
          <w:bCs w:val="0"/>
          <w:kern w:val="0"/>
          <w:sz w:val="32"/>
          <w:szCs w:val="32"/>
          <w:lang w:eastAsia="zh-CN"/>
        </w:rPr>
        <w:t>）、《退役军人事务部等5部门关于加强困难退役军人帮扶援助工作的意见》（退役军人部发（2019）62号）、</w:t>
      </w:r>
      <w:r>
        <w:rPr>
          <w:rFonts w:hint="eastAsia" w:ascii="仿宋_GB2312" w:hAnsi="仿宋_GB2312" w:eastAsia="仿宋_GB2312" w:cs="仿宋_GB2312"/>
          <w:b w:val="0"/>
          <w:bCs w:val="0"/>
          <w:kern w:val="0"/>
          <w:sz w:val="32"/>
          <w:szCs w:val="32"/>
          <w:lang w:val="en-US" w:eastAsia="zh-CN"/>
        </w:rPr>
        <w:t>《云南省民政厅 云南省财政厅 云南省人力资源和社会保障厅关于做好城镇部分重点优抚对象生活困难补助发放工作的通知》</w:t>
      </w:r>
      <w:r>
        <w:rPr>
          <w:rFonts w:hint="eastAsia" w:ascii="仿宋_GB2312" w:hAnsi="仿宋_GB2312" w:eastAsia="仿宋_GB2312" w:cs="仿宋_GB2312"/>
          <w:b w:val="0"/>
          <w:bCs w:val="0"/>
          <w:kern w:val="0"/>
          <w:sz w:val="32"/>
          <w:szCs w:val="32"/>
          <w:highlight w:val="none"/>
          <w:lang w:eastAsia="zh-CN"/>
        </w:rPr>
        <w:t>（云民优[</w:t>
      </w:r>
      <w:r>
        <w:rPr>
          <w:rFonts w:hint="eastAsia" w:ascii="仿宋_GB2312" w:hAnsi="仿宋_GB2312" w:eastAsia="仿宋_GB2312" w:cs="仿宋_GB2312"/>
          <w:b w:val="0"/>
          <w:bCs w:val="0"/>
          <w:kern w:val="0"/>
          <w:sz w:val="32"/>
          <w:szCs w:val="32"/>
          <w:highlight w:val="none"/>
          <w:lang w:val="en-US" w:eastAsia="zh-CN"/>
        </w:rPr>
        <w:t>2015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3号</w:t>
      </w:r>
      <w:r>
        <w:rPr>
          <w:rFonts w:hint="eastAsia" w:ascii="仿宋_GB2312" w:hAnsi="仿宋_GB2312" w:eastAsia="仿宋_GB2312" w:cs="仿宋_GB2312"/>
          <w:b w:val="0"/>
          <w:bCs w:val="0"/>
          <w:kern w:val="0"/>
          <w:sz w:val="32"/>
          <w:szCs w:val="32"/>
          <w:highlight w:val="none"/>
          <w:lang w:eastAsia="zh-CN"/>
        </w:rPr>
        <w:t>）、《昆明市人民政府办公厅关于综合运用现有政策做好参战退役人员等优抚对象解困工作的通知》（昆政办[</w:t>
      </w:r>
      <w:r>
        <w:rPr>
          <w:rFonts w:hint="eastAsia" w:ascii="仿宋_GB2312" w:hAnsi="仿宋_GB2312" w:eastAsia="仿宋_GB2312" w:cs="仿宋_GB2312"/>
          <w:b w:val="0"/>
          <w:bCs w:val="0"/>
          <w:kern w:val="0"/>
          <w:sz w:val="32"/>
          <w:szCs w:val="32"/>
          <w:highlight w:val="none"/>
          <w:lang w:val="en-US" w:eastAsia="zh-CN"/>
        </w:rPr>
        <w:t>2013</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126号</w:t>
      </w:r>
      <w:r>
        <w:rPr>
          <w:rFonts w:hint="eastAsia" w:ascii="仿宋_GB2312" w:hAnsi="仿宋_GB2312" w:eastAsia="仿宋_GB2312" w:cs="仿宋_GB2312"/>
          <w:b w:val="0"/>
          <w:bCs w:val="0"/>
          <w:kern w:val="0"/>
          <w:sz w:val="32"/>
          <w:szCs w:val="32"/>
          <w:highlight w:val="none"/>
          <w:lang w:eastAsia="zh-CN"/>
        </w:rPr>
        <w:t>）、《昆明市人民政府办公厅关于做好参战退役人员等优抚对象解困帮扶工作的补充通知》（昆政办[</w:t>
      </w:r>
      <w:r>
        <w:rPr>
          <w:rFonts w:hint="eastAsia" w:ascii="仿宋_GB2312" w:hAnsi="仿宋_GB2312" w:eastAsia="仿宋_GB2312" w:cs="仿宋_GB2312"/>
          <w:b w:val="0"/>
          <w:bCs w:val="0"/>
          <w:kern w:val="0"/>
          <w:sz w:val="32"/>
          <w:szCs w:val="32"/>
          <w:highlight w:val="none"/>
          <w:lang w:val="en-US" w:eastAsia="zh-CN"/>
        </w:rPr>
        <w:t>2015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64号</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sz w:val="32"/>
          <w:szCs w:val="32"/>
        </w:rPr>
        <w:t>《东川区优抚对象住院医疗保障实施细则》（试行）（东政办发【2009】150号）</w:t>
      </w:r>
      <w:r>
        <w:rPr>
          <w:rFonts w:hint="eastAsia" w:ascii="仿宋_GB2312" w:hAnsi="仿宋_GB2312" w:eastAsia="仿宋_GB2312" w:cs="仿宋_GB2312"/>
          <w:b w:val="0"/>
          <w:bCs w:val="0"/>
          <w:kern w:val="0"/>
          <w:sz w:val="32"/>
          <w:szCs w:val="32"/>
          <w:lang w:eastAsia="zh-CN"/>
        </w:rPr>
        <w:t>等</w:t>
      </w:r>
      <w:r>
        <w:rPr>
          <w:rFonts w:hint="eastAsia" w:ascii="仿宋_GB2312" w:hAnsi="仿宋_GB2312" w:eastAsia="仿宋_GB2312" w:cs="仿宋_GB2312"/>
          <w:sz w:val="32"/>
          <w:szCs w:val="32"/>
        </w:rPr>
        <w:t>文件</w:t>
      </w:r>
      <w:r>
        <w:rPr>
          <w:rFonts w:hint="eastAsia" w:ascii="仿宋_GB2312" w:hAnsi="仿宋_GB2312" w:eastAsia="仿宋_GB2312" w:cs="仿宋_GB2312"/>
          <w:b w:val="0"/>
          <w:bCs w:val="0"/>
          <w:kern w:val="0"/>
          <w:sz w:val="32"/>
          <w:szCs w:val="32"/>
          <w:lang w:val="en-US" w:eastAsia="zh-CN"/>
        </w:rPr>
        <w:t>精神</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 xml:space="preserve">。 </w:t>
      </w:r>
    </w:p>
    <w:p w14:paraId="1BB74292">
      <w:pPr>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（二）绩效目标</w:t>
      </w:r>
    </w:p>
    <w:p w14:paraId="0161988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项目总目标：向全区符合享受抚恤、医疗补助条件的</w:t>
      </w:r>
      <w:r>
        <w:rPr>
          <w:rFonts w:hint="eastAsia" w:ascii="仿宋_GB2312" w:hAnsi="仿宋_GB2312" w:eastAsia="仿宋_GB2312" w:cs="仿宋_GB2312"/>
          <w:sz w:val="32"/>
          <w:szCs w:val="32"/>
          <w:lang w:val="en-US" w:eastAsia="zh-CN"/>
        </w:rPr>
        <w:t>1874名</w:t>
      </w:r>
      <w:r>
        <w:rPr>
          <w:rFonts w:hint="eastAsia" w:ascii="仿宋_GB2312" w:hAnsi="仿宋_GB2312" w:eastAsia="仿宋_GB2312" w:cs="仿宋_GB2312"/>
          <w:sz w:val="32"/>
          <w:szCs w:val="32"/>
          <w:lang w:eastAsia="zh-CN"/>
        </w:rPr>
        <w:t>重点优抚对象及时足额发放抚恤、医疗补助，逐步提高重点优抚对象抚恤、医疗补助标准，保障重点优抚对象基本生活。</w:t>
      </w:r>
    </w:p>
    <w:p w14:paraId="337079F6">
      <w:pPr>
        <w:pStyle w:val="15"/>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sz w:val="32"/>
          <w:szCs w:val="32"/>
          <w:lang w:val="en-US" w:eastAsia="zh-CN"/>
        </w:rPr>
        <w:t>2.项目年度目标：2019年</w:t>
      </w:r>
      <w:r>
        <w:rPr>
          <w:rFonts w:hint="eastAsia" w:ascii="仿宋_GB2312" w:hAnsi="仿宋_GB2312" w:eastAsia="仿宋_GB2312" w:cs="仿宋_GB2312"/>
          <w:color w:val="auto"/>
          <w:sz w:val="32"/>
          <w:szCs w:val="32"/>
          <w:highlight w:val="none"/>
          <w:shd w:val="clear" w:color="auto" w:fill="FFFFFF"/>
        </w:rPr>
        <w:t>按时足额发放全区重点优抚对象18</w:t>
      </w:r>
      <w:r>
        <w:rPr>
          <w:rFonts w:hint="eastAsia" w:ascii="仿宋_GB2312" w:hAnsi="仿宋_GB2312" w:eastAsia="仿宋_GB2312" w:cs="仿宋_GB2312"/>
          <w:color w:val="auto"/>
          <w:sz w:val="32"/>
          <w:szCs w:val="32"/>
          <w:highlight w:val="none"/>
          <w:shd w:val="clear" w:color="auto" w:fill="FFFFFF"/>
          <w:lang w:val="en-US" w:eastAsia="zh-CN"/>
        </w:rPr>
        <w:t>74</w:t>
      </w:r>
      <w:r>
        <w:rPr>
          <w:rFonts w:hint="eastAsia" w:ascii="仿宋_GB2312" w:hAnsi="仿宋_GB2312" w:eastAsia="仿宋_GB2312" w:cs="仿宋_GB2312"/>
          <w:color w:val="auto"/>
          <w:sz w:val="32"/>
          <w:szCs w:val="32"/>
          <w:highlight w:val="none"/>
          <w:shd w:val="clear" w:color="auto" w:fill="FFFFFF"/>
        </w:rPr>
        <w:t>人抚恤、医疗补助</w:t>
      </w:r>
      <w:r>
        <w:rPr>
          <w:rFonts w:hint="eastAsia" w:ascii="仿宋_GB2312" w:hAnsi="仿宋_GB2312" w:eastAsia="仿宋_GB2312" w:cs="仿宋_GB2312"/>
          <w:color w:val="auto"/>
          <w:sz w:val="32"/>
          <w:szCs w:val="32"/>
          <w:highlight w:val="none"/>
          <w:shd w:val="clear" w:color="auto" w:fill="FFFFFF"/>
          <w:lang w:eastAsia="zh-CN"/>
        </w:rPr>
        <w:t>和</w:t>
      </w:r>
      <w:r>
        <w:rPr>
          <w:rFonts w:hint="eastAsia" w:ascii="仿宋_GB2312" w:hAnsi="仿宋_GB2312" w:eastAsia="仿宋_GB2312" w:cs="仿宋_GB2312"/>
          <w:color w:val="auto"/>
          <w:sz w:val="32"/>
          <w:szCs w:val="32"/>
          <w:highlight w:val="none"/>
          <w:shd w:val="clear" w:color="auto" w:fill="FFFFFF"/>
          <w:lang w:val="en-US" w:eastAsia="zh-CN"/>
        </w:rPr>
        <w:t>157户</w:t>
      </w:r>
      <w:r>
        <w:rPr>
          <w:rFonts w:hint="eastAsia" w:ascii="仿宋_GB2312" w:hAnsi="仿宋_GB2312" w:eastAsia="仿宋_GB2312" w:cs="仿宋_GB2312"/>
          <w:color w:val="auto"/>
          <w:sz w:val="32"/>
          <w:szCs w:val="32"/>
          <w:highlight w:val="none"/>
          <w:shd w:val="clear" w:color="auto" w:fill="FFFFFF"/>
          <w:lang w:eastAsia="zh-CN"/>
        </w:rPr>
        <w:t>义务兵家庭优待金等</w:t>
      </w:r>
      <w:r>
        <w:rPr>
          <w:rFonts w:hint="eastAsia" w:ascii="仿宋_GB2312" w:hAnsi="仿宋_GB2312" w:eastAsia="仿宋_GB2312" w:cs="仿宋_GB2312"/>
          <w:color w:val="auto"/>
          <w:sz w:val="32"/>
          <w:szCs w:val="32"/>
          <w:highlight w:val="none"/>
          <w:shd w:val="clear" w:color="auto" w:fill="FFFFFF"/>
        </w:rPr>
        <w:t>，共发放金额1852.56万元，有效保障了全区重点优抚对象的基本生活。每月2</w:t>
      </w:r>
      <w:r>
        <w:rPr>
          <w:rFonts w:hint="eastAsia" w:ascii="仿宋_GB2312" w:hAnsi="仿宋_GB2312" w:eastAsia="仿宋_GB2312" w:cs="仿宋_GB2312"/>
          <w:color w:val="auto"/>
          <w:sz w:val="32"/>
          <w:szCs w:val="32"/>
          <w:highlight w:val="none"/>
          <w:shd w:val="clear" w:color="auto" w:fill="FFFFFF"/>
          <w:lang w:val="en-US" w:eastAsia="zh-CN"/>
        </w:rPr>
        <w:t>0</w:t>
      </w:r>
      <w:r>
        <w:rPr>
          <w:rFonts w:hint="eastAsia" w:ascii="仿宋_GB2312" w:hAnsi="仿宋_GB2312" w:eastAsia="仿宋_GB2312" w:cs="仿宋_GB2312"/>
          <w:color w:val="auto"/>
          <w:sz w:val="32"/>
          <w:szCs w:val="32"/>
          <w:highlight w:val="none"/>
          <w:shd w:val="clear" w:color="auto" w:fill="FFFFFF"/>
        </w:rPr>
        <w:t>日前完成各种</w:t>
      </w:r>
      <w:r>
        <w:rPr>
          <w:rFonts w:hint="eastAsia" w:ascii="仿宋_GB2312" w:hAnsi="仿宋_GB2312" w:eastAsia="仿宋_GB2312" w:cs="仿宋_GB2312"/>
          <w:color w:val="auto"/>
          <w:sz w:val="32"/>
          <w:szCs w:val="32"/>
          <w:highlight w:val="none"/>
          <w:shd w:val="clear" w:color="auto" w:fill="FFFFFF"/>
          <w:lang w:eastAsia="zh-CN"/>
        </w:rPr>
        <w:t>定期生活补助金的</w:t>
      </w:r>
      <w:r>
        <w:rPr>
          <w:rFonts w:hint="eastAsia" w:ascii="仿宋_GB2312" w:hAnsi="仿宋_GB2312" w:eastAsia="仿宋_GB2312" w:cs="仿宋_GB2312"/>
          <w:color w:val="auto"/>
          <w:sz w:val="32"/>
          <w:szCs w:val="32"/>
          <w:highlight w:val="none"/>
          <w:shd w:val="clear" w:color="auto" w:fill="FFFFFF"/>
        </w:rPr>
        <w:t>发放</w:t>
      </w:r>
      <w:r>
        <w:rPr>
          <w:rFonts w:hint="eastAsia" w:ascii="仿宋_GB2312" w:hAnsi="仿宋_GB2312" w:eastAsia="仿宋_GB2312" w:cs="仿宋_GB2312"/>
          <w:color w:val="auto"/>
          <w:sz w:val="32"/>
          <w:szCs w:val="32"/>
          <w:highlight w:val="none"/>
          <w:shd w:val="clear" w:color="auto" w:fill="FFFFFF"/>
          <w:lang w:eastAsia="zh-CN"/>
        </w:rPr>
        <w:t>，经费下拨率、发放及时率均为</w:t>
      </w:r>
      <w:r>
        <w:rPr>
          <w:rFonts w:hint="eastAsia" w:ascii="仿宋_GB2312" w:hAnsi="仿宋_GB2312" w:eastAsia="仿宋_GB2312" w:cs="仿宋_GB2312"/>
          <w:color w:val="auto"/>
          <w:sz w:val="32"/>
          <w:szCs w:val="32"/>
          <w:highlight w:val="none"/>
          <w:shd w:val="clear" w:color="auto" w:fill="FFFFFF"/>
          <w:lang w:val="en-US" w:eastAsia="zh-CN"/>
        </w:rPr>
        <w:t>100%，对维护社会安定团结的推动起到了明显作用，优抚对象生活有所改善，优抚对象满意率达到85%以上。</w:t>
      </w:r>
    </w:p>
    <w:p w14:paraId="6B0EDFCE">
      <w:pPr>
        <w:topLinePunct/>
        <w:spacing w:line="540" w:lineRule="exact"/>
        <w:ind w:firstLine="803" w:firstLineChars="25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二、绩效评价工作情况</w:t>
      </w:r>
    </w:p>
    <w:p w14:paraId="22DE4561">
      <w:pPr>
        <w:topLinePunct/>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w:t>
      </w:r>
    </w:p>
    <w:p w14:paraId="453F8671">
      <w:pPr>
        <w:topLinePunct/>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全面了解项目管理过程是否规范、产出目标是否完成以及效果目标是否实现等方面的内容，总结经验，查找不足，为项目在以后年度的开展提供可行性参考建议。评价财政资金的使用效率和效果，为以后年度编制项目预算、选择项目实施主体等提供参考依据。</w:t>
      </w:r>
    </w:p>
    <w:p w14:paraId="25DACB7B">
      <w:pPr>
        <w:topLinePunct/>
        <w:spacing w:line="540" w:lineRule="exact"/>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（二）绩效评价工作方案制定过程</w:t>
      </w:r>
    </w:p>
    <w:p w14:paraId="06550A51">
      <w:pPr>
        <w:topLinePunct/>
        <w:spacing w:line="540" w:lineRule="exact"/>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1.前期调研。</w:t>
      </w:r>
      <w:r>
        <w:rPr>
          <w:rFonts w:hint="eastAsia" w:ascii="仿宋_GB2312" w:hAnsi="仿宋_GB2312" w:eastAsia="仿宋_GB2312" w:cs="仿宋_GB2312"/>
          <w:color w:val="auto"/>
          <w:sz w:val="32"/>
          <w:szCs w:val="32"/>
          <w:lang w:eastAsia="zh-CN"/>
        </w:rPr>
        <w:t>对该项目立项背景，项目实施情况进行调研。</w:t>
      </w:r>
    </w:p>
    <w:p w14:paraId="232BA20A">
      <w:pPr>
        <w:topLinePunct/>
        <w:spacing w:line="540" w:lineRule="exact"/>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2.研究文件。</w:t>
      </w:r>
      <w:r>
        <w:rPr>
          <w:rFonts w:hint="eastAsia" w:ascii="仿宋_GB2312" w:hAnsi="仿宋_GB2312" w:eastAsia="仿宋_GB2312" w:cs="仿宋_GB2312"/>
          <w:color w:val="auto"/>
          <w:sz w:val="32"/>
          <w:szCs w:val="32"/>
          <w:lang w:eastAsia="zh-CN"/>
        </w:rPr>
        <w:t>认真研读项目立项政策依据，资金来源及使用范围标准。</w:t>
      </w:r>
    </w:p>
    <w:p w14:paraId="6C666CA6">
      <w:pPr>
        <w:topLinePunct/>
        <w:spacing w:line="540" w:lineRule="exact"/>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3.绩效评价指标体系及工作方案的设计。</w:t>
      </w:r>
      <w:r>
        <w:rPr>
          <w:rFonts w:hint="eastAsia" w:ascii="仿宋_GB2312" w:hAnsi="仿宋_GB2312" w:eastAsia="仿宋_GB2312" w:cs="仿宋_GB2312"/>
          <w:color w:val="auto"/>
          <w:sz w:val="32"/>
          <w:szCs w:val="32"/>
          <w:lang w:eastAsia="zh-CN"/>
        </w:rPr>
        <w:t>根据调研情况和政策文件要求，参照区财政局下发模版设计合适该项目的绩效评价指标体系和评价工作方案，按方案组织评价。</w:t>
      </w:r>
    </w:p>
    <w:p w14:paraId="0B864BD7">
      <w:pPr>
        <w:topLinePunct/>
        <w:spacing w:line="540" w:lineRule="exact"/>
        <w:ind w:firstLine="800" w:firstLineChars="25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（三）绩效评价原则、评价方法</w:t>
      </w:r>
    </w:p>
    <w:p w14:paraId="62606EF5">
      <w:pPr>
        <w:topLinePunct/>
        <w:spacing w:line="540" w:lineRule="exact"/>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1.绩效评价原则。</w:t>
      </w:r>
      <w:r>
        <w:rPr>
          <w:rFonts w:hint="eastAsia" w:ascii="仿宋_GB2312" w:hAnsi="仿宋_GB2312" w:eastAsia="仿宋_GB2312" w:cs="仿宋_GB2312"/>
          <w:color w:val="auto"/>
          <w:sz w:val="32"/>
          <w:szCs w:val="32"/>
          <w:lang w:eastAsia="zh-CN"/>
        </w:rPr>
        <w:t>该项目绩效评价遵循</w:t>
      </w:r>
      <w:r>
        <w:rPr>
          <w:rFonts w:hint="eastAsia" w:ascii="仿宋_GB2312" w:hAnsi="仿宋_GB2312" w:eastAsia="仿宋_GB2312" w:cs="仿宋_GB2312"/>
          <w:color w:val="auto"/>
          <w:sz w:val="32"/>
          <w:szCs w:val="32"/>
        </w:rPr>
        <w:t>科学规范、公开公正、绩效相关</w:t>
      </w:r>
      <w:r>
        <w:rPr>
          <w:rFonts w:hint="eastAsia" w:ascii="仿宋_GB2312" w:hAnsi="仿宋_GB2312" w:eastAsia="仿宋_GB2312" w:cs="仿宋_GB2312"/>
          <w:color w:val="auto"/>
          <w:sz w:val="32"/>
          <w:szCs w:val="32"/>
          <w:lang w:eastAsia="zh-CN"/>
        </w:rPr>
        <w:t>、分级分类</w:t>
      </w:r>
      <w:r>
        <w:rPr>
          <w:rFonts w:hint="eastAsia" w:ascii="仿宋_GB2312" w:hAnsi="仿宋_GB2312" w:eastAsia="仿宋_GB2312" w:cs="仿宋_GB2312"/>
          <w:color w:val="auto"/>
          <w:sz w:val="32"/>
          <w:szCs w:val="32"/>
        </w:rPr>
        <w:t>等原则。</w:t>
      </w:r>
    </w:p>
    <w:p w14:paraId="23C72032">
      <w:pPr>
        <w:topLinePunct/>
        <w:spacing w:line="540" w:lineRule="exact"/>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2.绩效评价方法。项目考评小组</w:t>
      </w:r>
      <w:r>
        <w:rPr>
          <w:rFonts w:hint="eastAsia" w:ascii="仿宋_GB2312" w:hAnsi="仿宋_GB2312" w:eastAsia="仿宋_GB2312" w:cs="仿宋_GB2312"/>
          <w:color w:val="auto"/>
          <w:sz w:val="32"/>
          <w:szCs w:val="32"/>
          <w:lang w:eastAsia="zh-CN"/>
        </w:rPr>
        <w:t>采取</w:t>
      </w:r>
      <w:r>
        <w:rPr>
          <w:rFonts w:hint="eastAsia" w:ascii="仿宋_GB2312" w:hAnsi="仿宋_GB2312" w:eastAsia="仿宋_GB2312" w:cs="仿宋_GB2312"/>
          <w:color w:val="auto"/>
          <w:sz w:val="32"/>
          <w:szCs w:val="32"/>
        </w:rPr>
        <w:t>指标评价数据采集和社会调查</w:t>
      </w:r>
      <w:r>
        <w:rPr>
          <w:rFonts w:hint="eastAsia" w:ascii="仿宋_GB2312" w:hAnsi="仿宋_GB2312" w:eastAsia="仿宋_GB2312" w:cs="仿宋_GB2312"/>
          <w:color w:val="auto"/>
          <w:sz w:val="32"/>
          <w:szCs w:val="32"/>
          <w:lang w:eastAsia="zh-CN"/>
        </w:rPr>
        <w:t>相结合的</w:t>
      </w:r>
      <w:r>
        <w:rPr>
          <w:rFonts w:hint="eastAsia" w:ascii="仿宋_GB2312" w:hAnsi="仿宋_GB2312" w:eastAsia="仿宋_GB2312" w:cs="仿宋_GB2312"/>
          <w:color w:val="auto"/>
          <w:sz w:val="32"/>
          <w:szCs w:val="32"/>
        </w:rPr>
        <w:t>方法</w:t>
      </w:r>
      <w:r>
        <w:rPr>
          <w:rFonts w:hint="eastAsia" w:ascii="仿宋_GB2312" w:hAnsi="仿宋_GB2312" w:eastAsia="仿宋_GB2312" w:cs="仿宋_GB2312"/>
          <w:color w:val="auto"/>
          <w:sz w:val="32"/>
          <w:szCs w:val="32"/>
          <w:lang w:eastAsia="zh-CN"/>
        </w:rPr>
        <w:t>进行项目绩效评价</w:t>
      </w:r>
      <w:r>
        <w:rPr>
          <w:rFonts w:hint="eastAsia" w:ascii="仿宋_GB2312" w:hAnsi="仿宋_GB2312" w:eastAsia="仿宋_GB2312" w:cs="仿宋_GB2312"/>
          <w:color w:val="auto"/>
          <w:sz w:val="32"/>
          <w:szCs w:val="32"/>
        </w:rPr>
        <w:t>。</w:t>
      </w:r>
    </w:p>
    <w:p w14:paraId="4B015FD8">
      <w:pPr>
        <w:topLinePunct/>
        <w:spacing w:line="540" w:lineRule="exact"/>
        <w:ind w:firstLine="800" w:firstLineChars="25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（四）绩效评价实施过程</w:t>
      </w:r>
    </w:p>
    <w:p w14:paraId="51AED3B0">
      <w:pPr>
        <w:topLinePunct/>
        <w:spacing w:line="540" w:lineRule="exact"/>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1.数据填报和采集。</w:t>
      </w:r>
      <w:r>
        <w:rPr>
          <w:rFonts w:hint="eastAsia" w:ascii="仿宋_GB2312" w:hAnsi="仿宋_GB2312" w:eastAsia="仿宋_GB2312" w:cs="仿宋_GB2312"/>
          <w:color w:val="auto"/>
          <w:sz w:val="32"/>
          <w:szCs w:val="32"/>
          <w:lang w:eastAsia="zh-CN"/>
        </w:rPr>
        <w:t>项目评价小组收集项目实施过程中相关数据和佐证材料，根据材料填报项目绩效自评表。</w:t>
      </w:r>
    </w:p>
    <w:p w14:paraId="1517A4DF">
      <w:pPr>
        <w:topLinePunct/>
        <w:spacing w:line="540" w:lineRule="exact"/>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2.社会调查。</w:t>
      </w:r>
      <w:r>
        <w:rPr>
          <w:rFonts w:hint="eastAsia" w:ascii="仿宋_GB2312" w:hAnsi="仿宋_GB2312" w:eastAsia="仿宋_GB2312" w:cs="仿宋_GB2312"/>
          <w:color w:val="auto"/>
          <w:sz w:val="32"/>
          <w:szCs w:val="32"/>
          <w:lang w:eastAsia="zh-CN"/>
        </w:rPr>
        <w:t>项目评价小组发放社会问卷调查表</w:t>
      </w:r>
      <w:r>
        <w:rPr>
          <w:rFonts w:hint="eastAsia" w:ascii="仿宋_GB2312" w:hAnsi="仿宋_GB2312" w:eastAsia="仿宋_GB2312" w:cs="仿宋_GB2312"/>
          <w:color w:val="auto"/>
          <w:sz w:val="32"/>
          <w:szCs w:val="32"/>
          <w:lang w:val="en-US" w:eastAsia="zh-CN"/>
        </w:rPr>
        <w:t>20份</w:t>
      </w:r>
      <w:r>
        <w:rPr>
          <w:rFonts w:hint="eastAsia" w:ascii="仿宋_GB2312" w:hAnsi="仿宋_GB2312" w:eastAsia="仿宋_GB2312" w:cs="仿宋_GB2312"/>
          <w:color w:val="auto"/>
          <w:sz w:val="32"/>
          <w:szCs w:val="32"/>
          <w:lang w:eastAsia="zh-CN"/>
        </w:rPr>
        <w:t>，随机抽取项目受益人作访谈。</w:t>
      </w:r>
    </w:p>
    <w:p w14:paraId="4909D708">
      <w:pPr>
        <w:topLinePunct/>
        <w:spacing w:line="540" w:lineRule="exact"/>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3.数据分析和撰写报告。</w:t>
      </w:r>
      <w:r>
        <w:rPr>
          <w:rFonts w:hint="eastAsia" w:ascii="仿宋_GB2312" w:hAnsi="仿宋_GB2312" w:eastAsia="仿宋_GB2312" w:cs="仿宋_GB2312"/>
          <w:color w:val="auto"/>
          <w:sz w:val="32"/>
          <w:szCs w:val="32"/>
          <w:lang w:eastAsia="zh-CN"/>
        </w:rPr>
        <w:t>根据问卷调查结果和访谈做出调查分析报告，访谈报告。</w:t>
      </w:r>
    </w:p>
    <w:p w14:paraId="1D0EB3F5">
      <w:pPr>
        <w:topLinePunct/>
        <w:spacing w:line="540" w:lineRule="exact"/>
        <w:ind w:firstLine="800" w:firstLineChars="25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（五）本次绩效评价的局限性</w:t>
      </w:r>
    </w:p>
    <w:p w14:paraId="6123E129">
      <w:pPr>
        <w:topLinePunct/>
        <w:spacing w:line="540" w:lineRule="exact"/>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无</w:t>
      </w:r>
    </w:p>
    <w:p w14:paraId="2F595EFE">
      <w:pPr>
        <w:topLinePunct/>
        <w:spacing w:line="540" w:lineRule="exact"/>
        <w:ind w:firstLine="803" w:firstLineChars="25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三、评价结论和绩效分析</w:t>
      </w:r>
    </w:p>
    <w:p w14:paraId="28249E3E">
      <w:pPr>
        <w:topLinePunct/>
        <w:spacing w:line="540" w:lineRule="exact"/>
        <w:ind w:firstLine="800" w:firstLineChars="25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（一）评价结论</w:t>
      </w:r>
    </w:p>
    <w:p w14:paraId="7A7B6158">
      <w:pPr>
        <w:topLinePun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1.评价结果。</w:t>
      </w:r>
      <w:r>
        <w:rPr>
          <w:rFonts w:hint="eastAsia" w:ascii="仿宋_GB2312" w:hAnsi="仿宋_GB2312" w:eastAsia="仿宋_GB2312" w:cs="仿宋_GB2312"/>
          <w:b w:val="0"/>
          <w:bCs w:val="0"/>
          <w:color w:val="auto"/>
          <w:sz w:val="32"/>
          <w:szCs w:val="32"/>
          <w:lang w:eastAsia="zh-CN"/>
        </w:rPr>
        <w:t>自评</w:t>
      </w:r>
      <w:r>
        <w:rPr>
          <w:rFonts w:hint="eastAsia" w:ascii="仿宋_GB2312" w:hAnsi="仿宋_GB2312" w:eastAsia="仿宋_GB2312" w:cs="仿宋_GB2312"/>
          <w:color w:val="auto"/>
          <w:sz w:val="32"/>
          <w:szCs w:val="32"/>
          <w:lang w:eastAsia="zh-CN"/>
        </w:rPr>
        <w:t>小组对照</w:t>
      </w:r>
      <w:r>
        <w:rPr>
          <w:rFonts w:hint="eastAsia" w:ascii="仿宋_GB2312" w:hAnsi="仿宋_GB2312" w:eastAsia="仿宋_GB2312" w:cs="仿宋_GB2312"/>
          <w:color w:val="auto"/>
          <w:sz w:val="32"/>
          <w:szCs w:val="32"/>
        </w:rPr>
        <w:t>2019年项目支出绩效自评指标体系逐项分析、评价并打分。</w:t>
      </w:r>
      <w:r>
        <w:rPr>
          <w:rFonts w:hint="eastAsia" w:ascii="仿宋_GB2312" w:hAnsi="仿宋_GB2312" w:eastAsia="仿宋_GB2312" w:cs="仿宋_GB2312"/>
          <w:color w:val="auto"/>
          <w:sz w:val="32"/>
          <w:szCs w:val="32"/>
          <w:lang w:eastAsia="zh-CN"/>
        </w:rPr>
        <w:t>自评分为</w:t>
      </w:r>
      <w:r>
        <w:rPr>
          <w:rFonts w:hint="eastAsia" w:ascii="仿宋_GB2312" w:hAnsi="仿宋_GB2312" w:eastAsia="仿宋_GB2312" w:cs="仿宋_GB2312"/>
          <w:color w:val="auto"/>
          <w:sz w:val="32"/>
          <w:szCs w:val="32"/>
          <w:lang w:val="en-US" w:eastAsia="zh-CN"/>
        </w:rPr>
        <w:t xml:space="preserve"> 99分。</w:t>
      </w:r>
    </w:p>
    <w:p w14:paraId="7579D0D3">
      <w:pPr>
        <w:spacing w:line="56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2.主要绩效。</w:t>
      </w:r>
      <w:r>
        <w:rPr>
          <w:rFonts w:hint="eastAsia" w:ascii="仿宋_GB2312" w:hAnsi="仿宋_GB2312" w:eastAsia="仿宋_GB2312" w:cs="仿宋_GB2312"/>
          <w:color w:val="auto"/>
          <w:sz w:val="32"/>
          <w:szCs w:val="32"/>
          <w:highlight w:val="none"/>
          <w:shd w:val="clear" w:color="auto" w:fill="FFFFFF"/>
          <w:lang w:eastAsia="zh-CN"/>
        </w:rPr>
        <w:t>东川区</w:t>
      </w:r>
      <w:r>
        <w:rPr>
          <w:rFonts w:hint="eastAsia" w:ascii="仿宋_GB2312" w:hAnsi="仿宋_GB2312" w:eastAsia="仿宋_GB2312" w:cs="仿宋_GB2312"/>
          <w:color w:val="auto"/>
          <w:sz w:val="32"/>
          <w:szCs w:val="32"/>
          <w:highlight w:val="none"/>
          <w:shd w:val="clear" w:color="auto" w:fill="FFFFFF"/>
          <w:lang w:val="en-US" w:eastAsia="zh-CN"/>
        </w:rPr>
        <w:t>2019年重点优抚对象</w:t>
      </w:r>
      <w:r>
        <w:rPr>
          <w:rFonts w:hint="eastAsia" w:ascii="仿宋_GB2312" w:hAnsi="仿宋_GB2312" w:eastAsia="仿宋_GB2312" w:cs="仿宋_GB2312"/>
          <w:color w:val="auto"/>
          <w:sz w:val="32"/>
          <w:szCs w:val="32"/>
          <w:highlight w:val="none"/>
          <w:shd w:val="clear" w:color="auto" w:fill="FFFFFF"/>
        </w:rPr>
        <w:t>人数为</w:t>
      </w:r>
      <w:r>
        <w:rPr>
          <w:rFonts w:hint="eastAsia" w:ascii="仿宋_GB2312" w:hAnsi="仿宋_GB2312" w:eastAsia="仿宋_GB2312" w:cs="仿宋_GB2312"/>
          <w:color w:val="auto"/>
          <w:sz w:val="32"/>
          <w:szCs w:val="32"/>
          <w:highlight w:val="none"/>
          <w:shd w:val="clear" w:color="auto" w:fill="FFFFFF"/>
          <w:lang w:val="en-US" w:eastAsia="zh-CN"/>
        </w:rPr>
        <w:t>1874</w:t>
      </w:r>
      <w:r>
        <w:rPr>
          <w:rFonts w:hint="eastAsia" w:ascii="仿宋_GB2312" w:hAnsi="仿宋_GB2312" w:eastAsia="仿宋_GB2312" w:cs="仿宋_GB2312"/>
          <w:color w:val="auto"/>
          <w:sz w:val="32"/>
          <w:szCs w:val="32"/>
          <w:highlight w:val="none"/>
          <w:shd w:val="clear" w:color="auto" w:fill="FFFFFF"/>
        </w:rPr>
        <w:t>人，</w:t>
      </w:r>
      <w:r>
        <w:rPr>
          <w:rFonts w:hint="eastAsia" w:ascii="仿宋_GB2312" w:hAnsi="仿宋_GB2312" w:eastAsia="仿宋_GB2312" w:cs="仿宋_GB2312"/>
          <w:color w:val="auto"/>
          <w:sz w:val="32"/>
          <w:szCs w:val="32"/>
          <w:highlight w:val="none"/>
          <w:shd w:val="clear" w:color="auto" w:fill="FFFFFF"/>
          <w:lang w:eastAsia="zh-CN"/>
        </w:rPr>
        <w:t>共发放各类补助资金</w:t>
      </w:r>
      <w:r>
        <w:rPr>
          <w:rFonts w:hint="eastAsia" w:ascii="仿宋_GB2312" w:hAnsi="仿宋_GB2312" w:eastAsia="仿宋_GB2312" w:cs="仿宋_GB2312"/>
          <w:color w:val="auto"/>
          <w:sz w:val="32"/>
          <w:szCs w:val="32"/>
          <w:highlight w:val="none"/>
          <w:shd w:val="clear" w:color="auto" w:fill="FFFFFF"/>
          <w:lang w:val="en-US" w:eastAsia="zh-CN"/>
        </w:rPr>
        <w:t>1852.56万元。</w:t>
      </w:r>
    </w:p>
    <w:p w14:paraId="40198314">
      <w:pPr>
        <w:topLinePunct/>
        <w:spacing w:line="54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（二）具体绩效分析</w:t>
      </w:r>
    </w:p>
    <w:p w14:paraId="66C83DA0">
      <w:pPr>
        <w:topLinePunct/>
        <w:spacing w:line="540" w:lineRule="exact"/>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对照绩效评价指标体系逐项进行分析、评价并打分</w:t>
      </w:r>
      <w:r>
        <w:rPr>
          <w:rFonts w:hint="eastAsia" w:ascii="仿宋_GB2312" w:hAnsi="仿宋_GB2312" w:eastAsia="仿宋_GB2312" w:cs="仿宋_GB2312"/>
          <w:color w:val="auto"/>
          <w:sz w:val="32"/>
          <w:szCs w:val="32"/>
          <w:lang w:val="en-US" w:eastAsia="zh-CN"/>
        </w:rPr>
        <w:t>(详见《项目支出绩效自评表》</w:t>
      </w:r>
      <w:r>
        <w:rPr>
          <w:rFonts w:hint="eastAsia" w:ascii="仿宋_GB2312" w:hAnsi="仿宋_GB2312" w:eastAsia="仿宋_GB2312" w:cs="仿宋_GB2312"/>
          <w:color w:val="auto"/>
          <w:sz w:val="32"/>
          <w:szCs w:val="32"/>
        </w:rPr>
        <w:t>。</w:t>
      </w:r>
    </w:p>
    <w:p w14:paraId="086FD31E">
      <w:pPr>
        <w:topLinePunct/>
        <w:spacing w:line="540" w:lineRule="exact"/>
        <w:ind w:firstLine="803" w:firstLineChars="25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四、成本效益分析</w:t>
      </w:r>
    </w:p>
    <w:p w14:paraId="0689DA69">
      <w:pPr>
        <w:topLinePunct/>
        <w:spacing w:line="54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（一）资金使用方向：2019年东川区使用抚恤优待项目资</w:t>
      </w:r>
      <w:r>
        <w:rPr>
          <w:rFonts w:hint="eastAsia" w:ascii="仿宋_GB2312" w:hAnsi="仿宋_GB2312" w:eastAsia="仿宋_GB2312" w:cs="仿宋_GB2312"/>
          <w:sz w:val="32"/>
          <w:szCs w:val="32"/>
          <w:highlight w:val="none"/>
          <w:lang w:val="en-US" w:eastAsia="zh-CN"/>
        </w:rPr>
        <w:t>金</w:t>
      </w:r>
      <w:r>
        <w:rPr>
          <w:rFonts w:hint="eastAsia" w:ascii="仿宋_GB2312" w:hAnsi="仿宋_GB2312" w:eastAsia="仿宋_GB2312" w:cs="仿宋_GB2312"/>
          <w:color w:val="auto"/>
          <w:sz w:val="32"/>
          <w:szCs w:val="32"/>
          <w:highlight w:val="none"/>
          <w:lang w:val="en-US" w:eastAsia="zh-CN"/>
        </w:rPr>
        <w:t>1852.56</w:t>
      </w:r>
      <w:r>
        <w:rPr>
          <w:rFonts w:hint="eastAsia" w:ascii="仿宋_GB2312" w:hAnsi="仿宋_GB2312" w:eastAsia="仿宋_GB2312" w:cs="仿宋_GB2312"/>
          <w:sz w:val="32"/>
          <w:szCs w:val="32"/>
          <w:lang w:val="en-US" w:eastAsia="zh-CN"/>
        </w:rPr>
        <w:t>万元，资金主要使用在</w:t>
      </w:r>
      <w:r>
        <w:rPr>
          <w:rFonts w:hint="eastAsia" w:ascii="仿宋_GB2312" w:hAnsi="仿宋_GB2312" w:eastAsia="仿宋_GB2312" w:cs="仿宋_GB2312"/>
          <w:sz w:val="32"/>
          <w:szCs w:val="32"/>
        </w:rPr>
        <w:t>三属对象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伤残军人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在乡复员军人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带病回乡退伍军人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“两参人员”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60岁以上农村藉老兵</w:t>
      </w:r>
      <w:r>
        <w:rPr>
          <w:rFonts w:hint="eastAsia" w:ascii="仿宋_GB2312" w:hAnsi="仿宋_GB2312" w:eastAsia="仿宋_GB2312" w:cs="仿宋_GB2312"/>
          <w:sz w:val="32"/>
          <w:szCs w:val="32"/>
          <w:lang w:eastAsia="zh-CN"/>
        </w:rPr>
        <w:t>和现役军人家庭的各项补助上</w:t>
      </w:r>
      <w:r>
        <w:rPr>
          <w:rFonts w:hint="eastAsia" w:ascii="仿宋_GB2312" w:hAnsi="仿宋_GB2312" w:eastAsia="仿宋_GB2312" w:cs="仿宋_GB2312"/>
          <w:sz w:val="32"/>
          <w:szCs w:val="32"/>
          <w:lang w:val="en-US" w:eastAsia="zh-CN"/>
        </w:rPr>
        <w:t>。</w:t>
      </w:r>
    </w:p>
    <w:p w14:paraId="7EDE88A3">
      <w:pPr>
        <w:numPr>
          <w:ilvl w:val="0"/>
          <w:numId w:val="0"/>
        </w:numPr>
        <w:topLinePunct/>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情况</w:t>
      </w:r>
    </w:p>
    <w:p w14:paraId="0B865526">
      <w:pPr>
        <w:keepNext w:val="0"/>
        <w:keepLines w:val="0"/>
        <w:pageBreakBefore w:val="0"/>
        <w:widowControl w:val="0"/>
        <w:kinsoku/>
        <w:wordWrap/>
        <w:overflowPunct/>
        <w:autoSpaceDE/>
        <w:autoSpaceDN/>
        <w:bidi w:val="0"/>
        <w:adjustRightInd/>
        <w:snapToGrid/>
        <w:spacing w:line="560" w:lineRule="atLeast"/>
        <w:ind w:right="0" w:rightChars="0" w:firstLine="640" w:firstLineChars="200"/>
        <w:textAlignment w:val="auto"/>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sz w:val="32"/>
          <w:szCs w:val="32"/>
          <w:lang w:eastAsia="zh-CN"/>
        </w:rPr>
        <w:t>资金收入</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eastAsia="zh-CN"/>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年东川区</w:t>
      </w:r>
      <w:r>
        <w:rPr>
          <w:rFonts w:hint="eastAsia" w:ascii="仿宋_GB2312" w:hAnsi="仿宋_GB2312" w:eastAsia="仿宋_GB2312" w:cs="仿宋_GB2312"/>
          <w:sz w:val="32"/>
          <w:szCs w:val="32"/>
          <w:lang w:eastAsia="zh-CN"/>
        </w:rPr>
        <w:t>抚恤优待项目资金收入</w:t>
      </w:r>
      <w:r>
        <w:rPr>
          <w:rFonts w:hint="eastAsia" w:ascii="仿宋_GB2312" w:hAnsi="仿宋_GB2312" w:eastAsia="仿宋_GB2312" w:cs="仿宋_GB2312"/>
          <w:color w:val="auto"/>
          <w:sz w:val="32"/>
          <w:szCs w:val="32"/>
          <w:highlight w:val="none"/>
          <w:lang w:val="en-US" w:eastAsia="zh-CN"/>
        </w:rPr>
        <w:t>2127.56</w:t>
      </w:r>
      <w:r>
        <w:rPr>
          <w:rFonts w:hint="eastAsia" w:ascii="仿宋_GB2312" w:hAnsi="仿宋_GB2312" w:eastAsia="仿宋_GB2312" w:cs="仿宋_GB2312"/>
          <w:sz w:val="32"/>
          <w:szCs w:val="32"/>
          <w:lang w:val="en-US" w:eastAsia="zh-CN"/>
        </w:rPr>
        <w:t>万元，其中由区发改局根据需要安排</w:t>
      </w:r>
      <w:r>
        <w:rPr>
          <w:rFonts w:hint="eastAsia" w:ascii="仿宋_GB2312" w:hAnsi="仿宋_GB2312" w:eastAsia="仿宋_GB2312" w:cs="仿宋_GB2312"/>
          <w:sz w:val="32"/>
          <w:szCs w:val="32"/>
        </w:rPr>
        <w:t>资源枯竭城市</w:t>
      </w:r>
      <w:r>
        <w:rPr>
          <w:rFonts w:hint="eastAsia" w:ascii="仿宋_GB2312" w:hAnsi="仿宋_GB2312" w:eastAsia="仿宋_GB2312" w:cs="仿宋_GB2312"/>
          <w:b w:val="0"/>
          <w:bCs w:val="0"/>
          <w:color w:val="auto"/>
          <w:spacing w:val="0"/>
          <w:sz w:val="32"/>
          <w:szCs w:val="32"/>
          <w:highlight w:val="none"/>
          <w:lang w:eastAsia="zh-CN"/>
        </w:rPr>
        <w:t>转型</w:t>
      </w:r>
      <w:r>
        <w:rPr>
          <w:rFonts w:hint="eastAsia" w:ascii="仿宋_GB2312" w:hAnsi="仿宋_GB2312" w:eastAsia="仿宋_GB2312" w:cs="仿宋_GB2312"/>
          <w:b w:val="0"/>
          <w:bCs w:val="0"/>
          <w:color w:val="auto"/>
          <w:spacing w:val="0"/>
          <w:sz w:val="32"/>
          <w:szCs w:val="32"/>
          <w:highlight w:val="none"/>
        </w:rPr>
        <w:t>专项转移</w:t>
      </w:r>
      <w:r>
        <w:rPr>
          <w:rFonts w:hint="eastAsia" w:ascii="仿宋_GB2312" w:hAnsi="仿宋_GB2312" w:eastAsia="仿宋_GB2312" w:cs="仿宋_GB2312"/>
          <w:b w:val="0"/>
          <w:bCs w:val="0"/>
          <w:color w:val="auto"/>
          <w:spacing w:val="0"/>
          <w:sz w:val="32"/>
          <w:szCs w:val="32"/>
          <w:highlight w:val="none"/>
          <w:lang w:eastAsia="zh-CN"/>
        </w:rPr>
        <w:t>资金</w:t>
      </w:r>
      <w:r>
        <w:rPr>
          <w:rFonts w:hint="eastAsia" w:ascii="仿宋_GB2312" w:hAnsi="仿宋_GB2312" w:eastAsia="仿宋_GB2312" w:cs="仿宋_GB2312"/>
          <w:b w:val="0"/>
          <w:bCs w:val="0"/>
          <w:color w:val="auto"/>
          <w:spacing w:val="0"/>
          <w:sz w:val="32"/>
          <w:szCs w:val="32"/>
          <w:highlight w:val="none"/>
          <w:lang w:val="en-US" w:eastAsia="zh-CN"/>
        </w:rPr>
        <w:t>420.67万元；</w:t>
      </w:r>
    </w:p>
    <w:p w14:paraId="0948F011">
      <w:pPr>
        <w:keepNext w:val="0"/>
        <w:keepLines w:val="0"/>
        <w:pageBreakBefore w:val="0"/>
        <w:widowControl w:val="0"/>
        <w:kinsoku/>
        <w:wordWrap/>
        <w:overflowPunct/>
        <w:autoSpaceDE/>
        <w:autoSpaceDN/>
        <w:bidi w:val="0"/>
        <w:adjustRightInd/>
        <w:snapToGrid/>
        <w:spacing w:line="560" w:lineRule="atLeas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资金支出情况</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eastAsia="zh-CN"/>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抚恤优待项目资金支出</w:t>
      </w:r>
      <w:r>
        <w:rPr>
          <w:rFonts w:hint="eastAsia" w:ascii="仿宋_GB2312" w:hAnsi="仿宋_GB2312" w:eastAsia="仿宋_GB2312" w:cs="仿宋_GB2312"/>
          <w:color w:val="auto"/>
          <w:sz w:val="32"/>
          <w:szCs w:val="32"/>
          <w:lang w:val="en-US" w:eastAsia="zh-CN"/>
        </w:rPr>
        <w:t>1852.56万元。其中</w:t>
      </w:r>
      <w:r>
        <w:rPr>
          <w:rFonts w:hint="eastAsia" w:ascii="仿宋_GB2312" w:hAnsi="仿宋_GB2312" w:eastAsia="仿宋_GB2312" w:cs="仿宋_GB2312"/>
          <w:sz w:val="32"/>
          <w:szCs w:val="32"/>
          <w:lang w:val="en-US" w:eastAsia="zh-CN"/>
        </w:rPr>
        <w:t>死亡抚恤52.16万元、伤残抚恤286.03万元、义务兵优待金159.31万元、其他优抚支出1342.37万元、优抚对象医疗补助12.69万元。</w:t>
      </w:r>
    </w:p>
    <w:p w14:paraId="182D0056">
      <w:pPr>
        <w:keepNext w:val="0"/>
        <w:keepLines w:val="0"/>
        <w:pageBreakBefore w:val="0"/>
        <w:widowControl w:val="0"/>
        <w:kinsoku/>
        <w:wordWrap/>
        <w:overflowPunct/>
        <w:autoSpaceDE/>
        <w:autoSpaceDN/>
        <w:bidi w:val="0"/>
        <w:adjustRightInd/>
        <w:snapToGrid/>
        <w:spacing w:line="560" w:lineRule="atLeast"/>
        <w:ind w:right="0" w:rightChars="0"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（三）项目和资金管理情况</w:t>
      </w:r>
    </w:p>
    <w:p w14:paraId="3E8B0428">
      <w:pPr>
        <w:spacing w:line="560" w:lineRule="atLeas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eastAsia="zh-CN"/>
        </w:rPr>
        <w:t>东川区抚恤优待项目资金的组织和管理严格按照</w:t>
      </w:r>
      <w:r>
        <w:rPr>
          <w:rFonts w:hint="eastAsia" w:ascii="仿宋_GB2312" w:hAnsi="仿宋_GB2312" w:eastAsia="仿宋_GB2312" w:cs="仿宋_GB2312"/>
          <w:b w:val="0"/>
          <w:bCs w:val="0"/>
          <w:kern w:val="0"/>
          <w:sz w:val="32"/>
          <w:szCs w:val="32"/>
          <w:lang w:val="en-US" w:eastAsia="zh-CN"/>
        </w:rPr>
        <w:t>《云南省退役军人事务厅 云南省财政厅关于转发退役军人事务部 财政部调整部分优抚对象等人员抚恤和生活补助标准的通知》（云退役发[2019]125号）、《云南省退役军人事务厅 云南省财政厅关于启动优抚对象价格临时补贴与物价上涨联动机制的通知》（云退役发[2019]136号）、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kern w:val="0"/>
          <w:sz w:val="32"/>
          <w:szCs w:val="32"/>
          <w:lang w:eastAsia="zh-CN"/>
        </w:rPr>
        <w:t>云南省民政厅</w:t>
      </w:r>
      <w:r>
        <w:rPr>
          <w:rFonts w:hint="eastAsia" w:ascii="仿宋_GB2312" w:hAnsi="仿宋_GB2312" w:eastAsia="仿宋_GB2312" w:cs="仿宋_GB2312"/>
          <w:b w:val="0"/>
          <w:bCs w:val="0"/>
          <w:kern w:val="0"/>
          <w:sz w:val="32"/>
          <w:szCs w:val="32"/>
          <w:lang w:val="en-US" w:eastAsia="zh-CN"/>
        </w:rPr>
        <w:t xml:space="preserve"> 云南省财政厅 云南省军区司令部关于义务兵家庭优待金发放有关问题的通知</w:t>
      </w:r>
      <w:r>
        <w:rPr>
          <w:rFonts w:hint="eastAsia" w:ascii="仿宋_GB2312" w:hAnsi="仿宋_GB2312" w:eastAsia="仿宋_GB2312" w:cs="仿宋_GB2312"/>
          <w:b w:val="0"/>
          <w:bCs w:val="0"/>
          <w:kern w:val="0"/>
          <w:sz w:val="32"/>
          <w:szCs w:val="32"/>
          <w:lang w:eastAsia="zh-CN"/>
        </w:rPr>
        <w:t>》（云民优[</w:t>
      </w:r>
      <w:r>
        <w:rPr>
          <w:rFonts w:hint="eastAsia" w:ascii="仿宋_GB2312" w:hAnsi="仿宋_GB2312" w:eastAsia="仿宋_GB2312" w:cs="仿宋_GB2312"/>
          <w:b w:val="0"/>
          <w:bCs w:val="0"/>
          <w:kern w:val="0"/>
          <w:sz w:val="32"/>
          <w:szCs w:val="32"/>
          <w:lang w:val="en-US" w:eastAsia="zh-CN"/>
        </w:rPr>
        <w:t>2016</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1号</w:t>
      </w:r>
      <w:r>
        <w:rPr>
          <w:rFonts w:hint="eastAsia" w:ascii="仿宋_GB2312" w:hAnsi="仿宋_GB2312" w:eastAsia="仿宋_GB2312" w:cs="仿宋_GB2312"/>
          <w:b w:val="0"/>
          <w:bCs w:val="0"/>
          <w:kern w:val="0"/>
          <w:sz w:val="32"/>
          <w:szCs w:val="32"/>
          <w:lang w:eastAsia="zh-CN"/>
        </w:rPr>
        <w:t>）、《云南省民政厅</w:t>
      </w:r>
      <w:r>
        <w:rPr>
          <w:rFonts w:hint="eastAsia" w:ascii="仿宋_GB2312" w:hAnsi="仿宋_GB2312" w:eastAsia="仿宋_GB2312" w:cs="仿宋_GB2312"/>
          <w:b w:val="0"/>
          <w:bCs w:val="0"/>
          <w:kern w:val="0"/>
          <w:sz w:val="32"/>
          <w:szCs w:val="32"/>
          <w:lang w:val="en-US" w:eastAsia="zh-CN"/>
        </w:rPr>
        <w:t xml:space="preserve"> 云南省财政厅关于切实做好农村重点优抚对象基本生活保障工作的通知</w:t>
      </w:r>
      <w:r>
        <w:rPr>
          <w:rFonts w:hint="eastAsia" w:ascii="仿宋_GB2312" w:hAnsi="仿宋_GB2312" w:eastAsia="仿宋_GB2312" w:cs="仿宋_GB2312"/>
          <w:b w:val="0"/>
          <w:bCs w:val="0"/>
          <w:kern w:val="0"/>
          <w:sz w:val="32"/>
          <w:szCs w:val="32"/>
          <w:lang w:eastAsia="zh-CN"/>
        </w:rPr>
        <w:t>》（云民[</w:t>
      </w:r>
      <w:r>
        <w:rPr>
          <w:rFonts w:hint="eastAsia" w:ascii="仿宋_GB2312" w:hAnsi="仿宋_GB2312" w:eastAsia="仿宋_GB2312" w:cs="仿宋_GB2312"/>
          <w:b w:val="0"/>
          <w:bCs w:val="0"/>
          <w:kern w:val="0"/>
          <w:sz w:val="32"/>
          <w:szCs w:val="32"/>
          <w:lang w:val="en-US" w:eastAsia="zh-CN"/>
        </w:rPr>
        <w:t>2015</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3号</w:t>
      </w:r>
      <w:r>
        <w:rPr>
          <w:rFonts w:hint="eastAsia" w:ascii="仿宋_GB2312" w:hAnsi="仿宋_GB2312" w:eastAsia="仿宋_GB2312" w:cs="仿宋_GB2312"/>
          <w:b w:val="0"/>
          <w:bCs w:val="0"/>
          <w:kern w:val="0"/>
          <w:sz w:val="32"/>
          <w:szCs w:val="32"/>
          <w:lang w:eastAsia="zh-CN"/>
        </w:rPr>
        <w:t>）、《退役军人事务部等5部门关于加强困难退役军人帮扶援助工作的意见》（退役军人部发（2019）62号）、</w:t>
      </w:r>
      <w:r>
        <w:rPr>
          <w:rFonts w:hint="eastAsia" w:ascii="仿宋_GB2312" w:hAnsi="仿宋_GB2312" w:eastAsia="仿宋_GB2312" w:cs="仿宋_GB2312"/>
          <w:b w:val="0"/>
          <w:bCs w:val="0"/>
          <w:kern w:val="0"/>
          <w:sz w:val="32"/>
          <w:szCs w:val="32"/>
          <w:lang w:val="en-US" w:eastAsia="zh-CN"/>
        </w:rPr>
        <w:t>《云南省民政厅 云南省财政厅 云南省人力资源和社会保障厅关于做好城镇部分重点优抚对象生活困难补助发放工作的通知》</w:t>
      </w:r>
      <w:r>
        <w:rPr>
          <w:rFonts w:hint="eastAsia" w:ascii="仿宋_GB2312" w:hAnsi="仿宋_GB2312" w:eastAsia="仿宋_GB2312" w:cs="仿宋_GB2312"/>
          <w:b w:val="0"/>
          <w:bCs w:val="0"/>
          <w:kern w:val="0"/>
          <w:sz w:val="32"/>
          <w:szCs w:val="32"/>
          <w:highlight w:val="none"/>
          <w:lang w:eastAsia="zh-CN"/>
        </w:rPr>
        <w:t>（云民优[</w:t>
      </w:r>
      <w:r>
        <w:rPr>
          <w:rFonts w:hint="eastAsia" w:ascii="仿宋_GB2312" w:hAnsi="仿宋_GB2312" w:eastAsia="仿宋_GB2312" w:cs="仿宋_GB2312"/>
          <w:b w:val="0"/>
          <w:bCs w:val="0"/>
          <w:kern w:val="0"/>
          <w:sz w:val="32"/>
          <w:szCs w:val="32"/>
          <w:highlight w:val="none"/>
          <w:lang w:val="en-US" w:eastAsia="zh-CN"/>
        </w:rPr>
        <w:t>2015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3号</w:t>
      </w:r>
      <w:r>
        <w:rPr>
          <w:rFonts w:hint="eastAsia" w:ascii="仿宋_GB2312" w:hAnsi="仿宋_GB2312" w:eastAsia="仿宋_GB2312" w:cs="仿宋_GB2312"/>
          <w:b w:val="0"/>
          <w:bCs w:val="0"/>
          <w:kern w:val="0"/>
          <w:sz w:val="32"/>
          <w:szCs w:val="32"/>
          <w:highlight w:val="none"/>
          <w:lang w:eastAsia="zh-CN"/>
        </w:rPr>
        <w:t>）、《昆明市人民政府办公厅关于综合运用现有政策做好参战退役人员等优抚对象解困工作的通知》（昆政办[</w:t>
      </w:r>
      <w:r>
        <w:rPr>
          <w:rFonts w:hint="eastAsia" w:ascii="仿宋_GB2312" w:hAnsi="仿宋_GB2312" w:eastAsia="仿宋_GB2312" w:cs="仿宋_GB2312"/>
          <w:b w:val="0"/>
          <w:bCs w:val="0"/>
          <w:kern w:val="0"/>
          <w:sz w:val="32"/>
          <w:szCs w:val="32"/>
          <w:highlight w:val="none"/>
          <w:lang w:val="en-US" w:eastAsia="zh-CN"/>
        </w:rPr>
        <w:t>2013</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126号</w:t>
      </w:r>
      <w:r>
        <w:rPr>
          <w:rFonts w:hint="eastAsia" w:ascii="仿宋_GB2312" w:hAnsi="仿宋_GB2312" w:eastAsia="仿宋_GB2312" w:cs="仿宋_GB2312"/>
          <w:b w:val="0"/>
          <w:bCs w:val="0"/>
          <w:kern w:val="0"/>
          <w:sz w:val="32"/>
          <w:szCs w:val="32"/>
          <w:highlight w:val="none"/>
          <w:lang w:eastAsia="zh-CN"/>
        </w:rPr>
        <w:t>）、《昆明市人民政府办公厅关于做好参战退役人员等优抚对象解困帮扶工作的补充通知》（昆政办[</w:t>
      </w:r>
      <w:r>
        <w:rPr>
          <w:rFonts w:hint="eastAsia" w:ascii="仿宋_GB2312" w:hAnsi="仿宋_GB2312" w:eastAsia="仿宋_GB2312" w:cs="仿宋_GB2312"/>
          <w:b w:val="0"/>
          <w:bCs w:val="0"/>
          <w:kern w:val="0"/>
          <w:sz w:val="32"/>
          <w:szCs w:val="32"/>
          <w:highlight w:val="none"/>
          <w:lang w:val="en-US" w:eastAsia="zh-CN"/>
        </w:rPr>
        <w:t>2015</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64号</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sz w:val="32"/>
          <w:szCs w:val="32"/>
        </w:rPr>
        <w:t>《东川区优抚对象住院医疗保障实施细则》（试行）（东政办发【2009】150号）</w:t>
      </w:r>
      <w:r>
        <w:rPr>
          <w:rFonts w:hint="eastAsia" w:ascii="仿宋_GB2312" w:hAnsi="仿宋_GB2312" w:eastAsia="仿宋_GB2312" w:cs="仿宋_GB2312"/>
          <w:b w:val="0"/>
          <w:bCs w:val="0"/>
          <w:kern w:val="0"/>
          <w:sz w:val="32"/>
          <w:szCs w:val="32"/>
          <w:lang w:eastAsia="zh-CN"/>
        </w:rPr>
        <w:t>等</w:t>
      </w:r>
      <w:r>
        <w:rPr>
          <w:rFonts w:hint="eastAsia" w:ascii="仿宋_GB2312" w:hAnsi="仿宋_GB2312" w:eastAsia="仿宋_GB2312" w:cs="仿宋_GB2312"/>
          <w:sz w:val="32"/>
          <w:szCs w:val="32"/>
        </w:rPr>
        <w:t>文件</w:t>
      </w:r>
      <w:r>
        <w:rPr>
          <w:rFonts w:hint="eastAsia" w:ascii="仿宋_GB2312" w:hAnsi="仿宋_GB2312" w:eastAsia="仿宋_GB2312" w:cs="仿宋_GB2312"/>
          <w:b w:val="0"/>
          <w:bCs w:val="0"/>
          <w:kern w:val="0"/>
          <w:sz w:val="32"/>
          <w:szCs w:val="32"/>
          <w:lang w:val="en-US" w:eastAsia="zh-CN"/>
        </w:rPr>
        <w:t>精神</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 xml:space="preserve">。 </w:t>
      </w:r>
    </w:p>
    <w:p w14:paraId="20D4F851">
      <w:pPr>
        <w:keepNext w:val="0"/>
        <w:keepLines w:val="0"/>
        <w:pageBreakBefore w:val="0"/>
        <w:widowControl w:val="0"/>
        <w:numPr>
          <w:ilvl w:val="0"/>
          <w:numId w:val="0"/>
        </w:numPr>
        <w:kinsoku/>
        <w:wordWrap/>
        <w:overflowPunct/>
        <w:autoSpaceDE/>
        <w:autoSpaceDN/>
        <w:bidi w:val="0"/>
        <w:adjustRightInd/>
        <w:snapToGrid/>
        <w:spacing w:line="560" w:lineRule="atLeast"/>
        <w:ind w:leftChars="200" w:right="0" w:rightChars="0" w:firstLine="320" w:firstLineChars="1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（四）项目取得效果</w:t>
      </w:r>
    </w:p>
    <w:p w14:paraId="71D4865D">
      <w:pPr>
        <w:pStyle w:val="15"/>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color w:val="auto"/>
          <w:sz w:val="32"/>
          <w:szCs w:val="32"/>
          <w:highlight w:val="none"/>
          <w:shd w:val="clear" w:color="auto" w:fill="FFFFFF"/>
        </w:rPr>
        <w:t>按时足额发放全区重点优抚对象18</w:t>
      </w:r>
      <w:r>
        <w:rPr>
          <w:rFonts w:hint="eastAsia" w:ascii="仿宋_GB2312" w:hAnsi="仿宋_GB2312" w:eastAsia="仿宋_GB2312" w:cs="仿宋_GB2312"/>
          <w:color w:val="auto"/>
          <w:sz w:val="32"/>
          <w:szCs w:val="32"/>
          <w:highlight w:val="none"/>
          <w:shd w:val="clear" w:color="auto" w:fill="FFFFFF"/>
          <w:lang w:val="en-US" w:eastAsia="zh-CN"/>
        </w:rPr>
        <w:t>74</w:t>
      </w:r>
      <w:r>
        <w:rPr>
          <w:rFonts w:hint="eastAsia" w:ascii="仿宋_GB2312" w:hAnsi="仿宋_GB2312" w:eastAsia="仿宋_GB2312" w:cs="仿宋_GB2312"/>
          <w:color w:val="auto"/>
          <w:sz w:val="32"/>
          <w:szCs w:val="32"/>
          <w:highlight w:val="none"/>
          <w:shd w:val="clear" w:color="auto" w:fill="FFFFFF"/>
        </w:rPr>
        <w:t>人抚恤、医疗补助</w:t>
      </w:r>
      <w:r>
        <w:rPr>
          <w:rFonts w:hint="eastAsia" w:ascii="仿宋_GB2312" w:hAnsi="仿宋_GB2312" w:eastAsia="仿宋_GB2312" w:cs="仿宋_GB2312"/>
          <w:color w:val="auto"/>
          <w:sz w:val="32"/>
          <w:szCs w:val="32"/>
          <w:highlight w:val="none"/>
          <w:shd w:val="clear" w:color="auto" w:fill="FFFFFF"/>
          <w:lang w:eastAsia="zh-CN"/>
        </w:rPr>
        <w:t>和</w:t>
      </w:r>
      <w:r>
        <w:rPr>
          <w:rFonts w:hint="eastAsia" w:ascii="仿宋_GB2312" w:hAnsi="仿宋_GB2312" w:eastAsia="仿宋_GB2312" w:cs="仿宋_GB2312"/>
          <w:color w:val="auto"/>
          <w:sz w:val="32"/>
          <w:szCs w:val="32"/>
          <w:highlight w:val="none"/>
          <w:shd w:val="clear" w:color="auto" w:fill="FFFFFF"/>
          <w:lang w:val="en-US" w:eastAsia="zh-CN"/>
        </w:rPr>
        <w:t>157户</w:t>
      </w:r>
      <w:r>
        <w:rPr>
          <w:rFonts w:hint="eastAsia" w:ascii="仿宋_GB2312" w:hAnsi="仿宋_GB2312" w:eastAsia="仿宋_GB2312" w:cs="仿宋_GB2312"/>
          <w:color w:val="auto"/>
          <w:sz w:val="32"/>
          <w:szCs w:val="32"/>
          <w:highlight w:val="none"/>
          <w:shd w:val="clear" w:color="auto" w:fill="FFFFFF"/>
          <w:lang w:eastAsia="zh-CN"/>
        </w:rPr>
        <w:t>义务兵家庭优待金</w:t>
      </w:r>
      <w:r>
        <w:rPr>
          <w:rFonts w:hint="eastAsia" w:ascii="仿宋_GB2312" w:hAnsi="仿宋_GB2312" w:eastAsia="仿宋_GB2312" w:cs="仿宋_GB2312"/>
          <w:color w:val="auto"/>
          <w:sz w:val="32"/>
          <w:szCs w:val="32"/>
          <w:highlight w:val="none"/>
          <w:shd w:val="clear" w:color="auto" w:fill="FFFFFF"/>
        </w:rPr>
        <w:t>，共发放金额1852.56万元，有效保障了全区重点优抚对象的基本生活。每月2</w:t>
      </w:r>
      <w:r>
        <w:rPr>
          <w:rFonts w:hint="eastAsia" w:ascii="仿宋_GB2312" w:hAnsi="仿宋_GB2312" w:eastAsia="仿宋_GB2312" w:cs="仿宋_GB2312"/>
          <w:color w:val="auto"/>
          <w:sz w:val="32"/>
          <w:szCs w:val="32"/>
          <w:highlight w:val="none"/>
          <w:shd w:val="clear" w:color="auto" w:fill="FFFFFF"/>
          <w:lang w:val="en-US" w:eastAsia="zh-CN"/>
        </w:rPr>
        <w:t>0</w:t>
      </w:r>
      <w:r>
        <w:rPr>
          <w:rFonts w:hint="eastAsia" w:ascii="仿宋_GB2312" w:hAnsi="仿宋_GB2312" w:eastAsia="仿宋_GB2312" w:cs="仿宋_GB2312"/>
          <w:color w:val="auto"/>
          <w:sz w:val="32"/>
          <w:szCs w:val="32"/>
          <w:highlight w:val="none"/>
          <w:shd w:val="clear" w:color="auto" w:fill="FFFFFF"/>
        </w:rPr>
        <w:t>日前完成各种</w:t>
      </w:r>
      <w:r>
        <w:rPr>
          <w:rFonts w:hint="eastAsia" w:ascii="仿宋_GB2312" w:hAnsi="仿宋_GB2312" w:eastAsia="仿宋_GB2312" w:cs="仿宋_GB2312"/>
          <w:color w:val="auto"/>
          <w:sz w:val="32"/>
          <w:szCs w:val="32"/>
          <w:highlight w:val="none"/>
          <w:shd w:val="clear" w:color="auto" w:fill="FFFFFF"/>
          <w:lang w:eastAsia="zh-CN"/>
        </w:rPr>
        <w:t>定期生活补助金的</w:t>
      </w:r>
      <w:r>
        <w:rPr>
          <w:rFonts w:hint="eastAsia" w:ascii="仿宋_GB2312" w:hAnsi="仿宋_GB2312" w:eastAsia="仿宋_GB2312" w:cs="仿宋_GB2312"/>
          <w:color w:val="auto"/>
          <w:sz w:val="32"/>
          <w:szCs w:val="32"/>
          <w:highlight w:val="none"/>
          <w:shd w:val="clear" w:color="auto" w:fill="FFFFFF"/>
        </w:rPr>
        <w:t>发放</w:t>
      </w:r>
      <w:r>
        <w:rPr>
          <w:rFonts w:hint="eastAsia" w:ascii="仿宋_GB2312" w:hAnsi="仿宋_GB2312" w:eastAsia="仿宋_GB2312" w:cs="仿宋_GB2312"/>
          <w:color w:val="auto"/>
          <w:sz w:val="32"/>
          <w:szCs w:val="32"/>
          <w:highlight w:val="none"/>
          <w:shd w:val="clear" w:color="auto" w:fill="FFFFFF"/>
          <w:lang w:eastAsia="zh-CN"/>
        </w:rPr>
        <w:t>，经费下拨率、发放及时率均为</w:t>
      </w:r>
      <w:r>
        <w:rPr>
          <w:rFonts w:hint="eastAsia" w:ascii="仿宋_GB2312" w:hAnsi="仿宋_GB2312" w:eastAsia="仿宋_GB2312" w:cs="仿宋_GB2312"/>
          <w:color w:val="auto"/>
          <w:sz w:val="32"/>
          <w:szCs w:val="32"/>
          <w:highlight w:val="none"/>
          <w:shd w:val="clear" w:color="auto" w:fill="FFFFFF"/>
          <w:lang w:val="en-US" w:eastAsia="zh-CN"/>
        </w:rPr>
        <w:t>100%，对维护社会安定团结的推动起到了明显作用，优抚对象生活有所改善，优抚对象满意率达到85%以上。</w:t>
      </w:r>
    </w:p>
    <w:p w14:paraId="12916238">
      <w:pPr>
        <w:topLinePunct/>
        <w:spacing w:line="540" w:lineRule="exact"/>
        <w:ind w:firstLine="803" w:firstLineChars="25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五、主要经验及做法、存在的问题和建议</w:t>
      </w:r>
    </w:p>
    <w:p w14:paraId="2C2ECE5E">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rPr>
        <w:t>存在的问题</w:t>
      </w:r>
    </w:p>
    <w:p w14:paraId="0D3E0FD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经费缺乏，对工作造成一定影响</w:t>
      </w:r>
    </w:p>
    <w:p w14:paraId="797AE7B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因退役军人事务局属新组建单位，按机构改革的总体安排，办公场地设在现民政局三楼，由于经费紧张，所需办公设备还未完全配齐，对工作的正常开展造成一定的影响。</w:t>
      </w:r>
    </w:p>
    <w:p w14:paraId="690D9BE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人员还未完全配备到位，存在人员少、工作量大的问题</w:t>
      </w:r>
    </w:p>
    <w:p w14:paraId="0BED93D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退役军人事务局</w:t>
      </w:r>
      <w:bookmarkStart w:id="0" w:name="_GoBack"/>
      <w:bookmarkEnd w:id="0"/>
      <w:r>
        <w:rPr>
          <w:rFonts w:hint="eastAsia" w:ascii="仿宋_GB2312" w:hAnsi="仿宋_GB2312" w:eastAsia="仿宋_GB2312" w:cs="仿宋_GB2312"/>
          <w:sz w:val="32"/>
          <w:szCs w:val="32"/>
        </w:rPr>
        <w:t>编办核定了</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编，但人少事多矛盾较为突出，加之组建时调入的同志基本上未从事过该项工作，政策法规、业务知识和工作经验欠缺，一定程度上影响了工作的推进。</w:t>
      </w:r>
    </w:p>
    <w:p w14:paraId="31ABCC4E">
      <w:pPr>
        <w:keepNext w:val="0"/>
        <w:keepLines w:val="0"/>
        <w:pageBreakBefore w:val="0"/>
        <w:kinsoku/>
        <w:wordWrap/>
        <w:overflowPunct/>
        <w:topLinePunct w:val="0"/>
        <w:autoSpaceDE/>
        <w:autoSpaceDN/>
        <w:bidi w:val="0"/>
        <w:adjustRightInd/>
        <w:spacing w:line="560" w:lineRule="exact"/>
        <w:ind w:right="0" w:rightChars="0" w:firstLine="640" w:firstLineChars="200"/>
        <w:jc w:val="left"/>
        <w:textAlignment w:val="auto"/>
        <w:outlineLvl w:val="9"/>
        <w:rPr>
          <w:rFonts w:hint="eastAsia" w:ascii="仿宋_GB2312" w:hAnsi="仿宋_GB2312" w:eastAsia="仿宋_GB2312" w:cs="仿宋_GB2312"/>
          <w:b w:val="0"/>
          <w:bCs w:val="0"/>
          <w:i w:val="0"/>
          <w:iCs w:val="0"/>
          <w:color w:val="auto"/>
          <w:sz w:val="32"/>
          <w:szCs w:val="32"/>
          <w:highlight w:val="none"/>
          <w:lang w:val="en-US" w:eastAsia="zh-CN"/>
        </w:rPr>
      </w:pPr>
      <w:r>
        <w:rPr>
          <w:rFonts w:hint="eastAsia" w:ascii="仿宋_GB2312" w:hAnsi="仿宋_GB2312" w:eastAsia="仿宋_GB2312" w:cs="仿宋_GB2312"/>
          <w:b w:val="0"/>
          <w:bCs w:val="0"/>
          <w:i w:val="0"/>
          <w:iCs w:val="0"/>
          <w:color w:val="auto"/>
          <w:sz w:val="32"/>
          <w:szCs w:val="32"/>
          <w:highlight w:val="none"/>
          <w:lang w:val="en-US" w:eastAsia="zh-CN"/>
        </w:rPr>
        <w:t>3.</w:t>
      </w:r>
      <w:r>
        <w:rPr>
          <w:rFonts w:hint="eastAsia" w:ascii="仿宋_GB2312" w:hAnsi="仿宋_GB2312" w:eastAsia="仿宋_GB2312" w:cs="仿宋_GB2312"/>
          <w:sz w:val="32"/>
          <w:szCs w:val="32"/>
        </w:rPr>
        <w:t>由于时间紧迫，在政策宣传方面还不够广泛和深入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部分项目资金下拨时间过晚导致项目成效不</w:t>
      </w:r>
      <w:r>
        <w:rPr>
          <w:rFonts w:hint="eastAsia" w:ascii="仿宋_GB2312" w:hAnsi="仿宋_GB2312" w:eastAsia="仿宋_GB2312" w:cs="仿宋_GB2312"/>
          <w:sz w:val="32"/>
          <w:szCs w:val="32"/>
          <w:lang w:eastAsia="zh-CN"/>
        </w:rPr>
        <w:t>太</w:t>
      </w:r>
      <w:r>
        <w:rPr>
          <w:rFonts w:hint="eastAsia" w:ascii="仿宋_GB2312" w:hAnsi="仿宋_GB2312" w:eastAsia="仿宋_GB2312" w:cs="仿宋_GB2312"/>
          <w:sz w:val="32"/>
          <w:szCs w:val="32"/>
        </w:rPr>
        <w:t>明显。</w:t>
      </w:r>
    </w:p>
    <w:p w14:paraId="30ACA4CD">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val="0"/>
          <w:bCs w:val="0"/>
          <w:i w:val="0"/>
          <w:iCs w:val="0"/>
          <w:color w:val="auto"/>
          <w:sz w:val="32"/>
          <w:szCs w:val="32"/>
          <w:highlight w:val="none"/>
          <w:lang w:eastAsia="zh-CN"/>
        </w:rPr>
      </w:pPr>
      <w:r>
        <w:rPr>
          <w:rFonts w:hint="eastAsia" w:ascii="仿宋_GB2312" w:hAnsi="仿宋_GB2312" w:eastAsia="仿宋_GB2312" w:cs="仿宋_GB2312"/>
          <w:b w:val="0"/>
          <w:bCs w:val="0"/>
          <w:i w:val="0"/>
          <w:iCs w:val="0"/>
          <w:color w:val="auto"/>
          <w:sz w:val="32"/>
          <w:szCs w:val="32"/>
          <w:highlight w:val="none"/>
          <w:lang w:eastAsia="zh-CN"/>
        </w:rPr>
        <w:t>（二）改进措施及建议</w:t>
      </w:r>
    </w:p>
    <w:p w14:paraId="6FC61DF2">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继续做好抚恤优待工作。</w:t>
      </w:r>
      <w:r>
        <w:rPr>
          <w:rFonts w:hint="eastAsia" w:ascii="仿宋_GB2312" w:hAnsi="仿宋_GB2312" w:eastAsia="仿宋_GB2312" w:cs="仿宋_GB2312"/>
          <w:sz w:val="32"/>
          <w:szCs w:val="32"/>
        </w:rPr>
        <w:t>加大优抚政策的落实力度，加强乡镇（街道）优抚政策落实的指导和督促，及时足额兑付优抚对象补助金。</w:t>
      </w:r>
    </w:p>
    <w:p w14:paraId="7754CA2E">
      <w:pPr>
        <w:pStyle w:val="4"/>
        <w:spacing w:line="560" w:lineRule="exact"/>
        <w:ind w:firstLine="3168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2.2020年</w:t>
      </w:r>
      <w:r>
        <w:rPr>
          <w:rFonts w:hint="eastAsia" w:ascii="仿宋_GB2312" w:hAnsi="仿宋_GB2312" w:eastAsia="仿宋_GB2312" w:cs="仿宋_GB2312"/>
          <w:sz w:val="32"/>
          <w:szCs w:val="32"/>
        </w:rPr>
        <w:t>将认真总结近年来优抚对象支付资金拨付使用过程中出现的问题，本着支付资金规划好、使用好、管理好的原则，进一步增强项目绩效目标制定的科学性和预见性；在今后项目申报工作中，做到早计划、早安排，使项目资金下拨及时到位，项目推进快速有效。</w:t>
      </w:r>
    </w:p>
    <w:p w14:paraId="532FB3BE">
      <w:pPr>
        <w:pStyle w:val="15"/>
        <w:numPr>
          <w:ilvl w:val="0"/>
          <w:numId w:val="0"/>
        </w:numPr>
        <w:ind w:leftChars="202"/>
        <w:rPr>
          <w:rFonts w:hint="eastAsia" w:ascii="仿宋_GB2312" w:hAnsi="仿宋_GB2312" w:eastAsia="仿宋_GB2312" w:cs="仿宋_GB2312"/>
          <w:color w:val="auto"/>
          <w:sz w:val="32"/>
          <w:szCs w:val="32"/>
          <w:lang w:val="en-US" w:eastAsia="zh-CN"/>
        </w:rPr>
      </w:pPr>
    </w:p>
    <w:p w14:paraId="0644C0A7">
      <w:pPr>
        <w:pStyle w:val="15"/>
        <w:rPr>
          <w:rFonts w:hint="eastAsia" w:ascii="仿宋_GB2312" w:hAnsi="仿宋_GB2312" w:eastAsia="仿宋_GB2312" w:cs="仿宋_GB2312"/>
          <w:sz w:val="32"/>
          <w:szCs w:val="32"/>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2F5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0380C">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E9CD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FAC10">
    <w:pPr>
      <w:pStyle w:val="6"/>
      <w:pBdr>
        <w:bottom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0B4B8">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9680">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3ABFCA"/>
    <w:multiLevelType w:val="singleLevel"/>
    <w:tmpl w:val="A03ABFCA"/>
    <w:lvl w:ilvl="0" w:tentative="0">
      <w:start w:val="1"/>
      <w:numFmt w:val="chineseCounting"/>
      <w:suff w:val="nothing"/>
      <w:lvlText w:val="%1、"/>
      <w:lvlJc w:val="left"/>
      <w:rPr>
        <w:rFonts w:hint="eastAsia"/>
      </w:rPr>
    </w:lvl>
  </w:abstractNum>
  <w:abstractNum w:abstractNumId="1">
    <w:nsid w:val="E1D9E3B6"/>
    <w:multiLevelType w:val="singleLevel"/>
    <w:tmpl w:val="E1D9E3B6"/>
    <w:lvl w:ilvl="0" w:tentative="0">
      <w:start w:val="1"/>
      <w:numFmt w:val="chineseCounting"/>
      <w:suff w:val="nothing"/>
      <w:lvlText w:val="（%1）"/>
      <w:lvlJc w:val="left"/>
      <w:pPr>
        <w:ind w:left="630" w:firstLine="0"/>
      </w:pPr>
      <w:rPr>
        <w:rFonts w:hint="eastAsia"/>
      </w:rPr>
    </w:lvl>
  </w:abstractNum>
  <w:abstractNum w:abstractNumId="2">
    <w:nsid w:val="F07D9BAA"/>
    <w:multiLevelType w:val="singleLevel"/>
    <w:tmpl w:val="F07D9BAA"/>
    <w:lvl w:ilvl="0" w:tentative="0">
      <w:start w:val="4"/>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4FC"/>
    <w:rsid w:val="000005C8"/>
    <w:rsid w:val="0000721D"/>
    <w:rsid w:val="00007712"/>
    <w:rsid w:val="000168C4"/>
    <w:rsid w:val="0002374F"/>
    <w:rsid w:val="00040AB4"/>
    <w:rsid w:val="0004763B"/>
    <w:rsid w:val="000D3AD5"/>
    <w:rsid w:val="000F6CE7"/>
    <w:rsid w:val="0010457D"/>
    <w:rsid w:val="00106C98"/>
    <w:rsid w:val="00127CAA"/>
    <w:rsid w:val="00133D5A"/>
    <w:rsid w:val="00134D54"/>
    <w:rsid w:val="00163379"/>
    <w:rsid w:val="001663FD"/>
    <w:rsid w:val="00196CAD"/>
    <w:rsid w:val="001A4FE7"/>
    <w:rsid w:val="001A5A3F"/>
    <w:rsid w:val="001D1996"/>
    <w:rsid w:val="001E1B90"/>
    <w:rsid w:val="001E664A"/>
    <w:rsid w:val="00226DBF"/>
    <w:rsid w:val="00257D36"/>
    <w:rsid w:val="00267CD8"/>
    <w:rsid w:val="002878C0"/>
    <w:rsid w:val="0029733B"/>
    <w:rsid w:val="002A2BC8"/>
    <w:rsid w:val="00302687"/>
    <w:rsid w:val="0032388E"/>
    <w:rsid w:val="003509D0"/>
    <w:rsid w:val="00351BB0"/>
    <w:rsid w:val="00390742"/>
    <w:rsid w:val="00391AA2"/>
    <w:rsid w:val="003C770E"/>
    <w:rsid w:val="004155FF"/>
    <w:rsid w:val="004454A3"/>
    <w:rsid w:val="00470057"/>
    <w:rsid w:val="004B001A"/>
    <w:rsid w:val="004B2FF2"/>
    <w:rsid w:val="004C61CA"/>
    <w:rsid w:val="004D72D3"/>
    <w:rsid w:val="00524D0C"/>
    <w:rsid w:val="00535039"/>
    <w:rsid w:val="005978BA"/>
    <w:rsid w:val="005A02D0"/>
    <w:rsid w:val="005A2222"/>
    <w:rsid w:val="005B623B"/>
    <w:rsid w:val="005D0C6D"/>
    <w:rsid w:val="00600B21"/>
    <w:rsid w:val="006013BF"/>
    <w:rsid w:val="006151B0"/>
    <w:rsid w:val="00622D27"/>
    <w:rsid w:val="00647349"/>
    <w:rsid w:val="00684A66"/>
    <w:rsid w:val="006B3B3D"/>
    <w:rsid w:val="006D0C77"/>
    <w:rsid w:val="006E087F"/>
    <w:rsid w:val="006E72A4"/>
    <w:rsid w:val="006F1B83"/>
    <w:rsid w:val="007103E3"/>
    <w:rsid w:val="00712521"/>
    <w:rsid w:val="00721104"/>
    <w:rsid w:val="00733551"/>
    <w:rsid w:val="00734DAD"/>
    <w:rsid w:val="00744F0E"/>
    <w:rsid w:val="00752B2E"/>
    <w:rsid w:val="007553A5"/>
    <w:rsid w:val="007619C4"/>
    <w:rsid w:val="007B4750"/>
    <w:rsid w:val="007B7D6C"/>
    <w:rsid w:val="007C2DBF"/>
    <w:rsid w:val="007C761B"/>
    <w:rsid w:val="007C7AD1"/>
    <w:rsid w:val="0081564B"/>
    <w:rsid w:val="0083668C"/>
    <w:rsid w:val="0084786D"/>
    <w:rsid w:val="008830BC"/>
    <w:rsid w:val="008974F6"/>
    <w:rsid w:val="008A5BF3"/>
    <w:rsid w:val="008A76FC"/>
    <w:rsid w:val="008C623E"/>
    <w:rsid w:val="008E1B42"/>
    <w:rsid w:val="00902822"/>
    <w:rsid w:val="0093128F"/>
    <w:rsid w:val="0095351E"/>
    <w:rsid w:val="00956DE9"/>
    <w:rsid w:val="00957E43"/>
    <w:rsid w:val="00966EAA"/>
    <w:rsid w:val="00971853"/>
    <w:rsid w:val="009A3CD1"/>
    <w:rsid w:val="009E3632"/>
    <w:rsid w:val="00A22ED9"/>
    <w:rsid w:val="00A36951"/>
    <w:rsid w:val="00A36DC5"/>
    <w:rsid w:val="00AD2C54"/>
    <w:rsid w:val="00AD7661"/>
    <w:rsid w:val="00AD7803"/>
    <w:rsid w:val="00AE6262"/>
    <w:rsid w:val="00B16C29"/>
    <w:rsid w:val="00B20C44"/>
    <w:rsid w:val="00B314A2"/>
    <w:rsid w:val="00B7196B"/>
    <w:rsid w:val="00B833DE"/>
    <w:rsid w:val="00BB5E2E"/>
    <w:rsid w:val="00BF0401"/>
    <w:rsid w:val="00C32599"/>
    <w:rsid w:val="00C334BC"/>
    <w:rsid w:val="00C61795"/>
    <w:rsid w:val="00C63822"/>
    <w:rsid w:val="00C73FEA"/>
    <w:rsid w:val="00C759F7"/>
    <w:rsid w:val="00C92B0F"/>
    <w:rsid w:val="00CA6FD6"/>
    <w:rsid w:val="00CC7857"/>
    <w:rsid w:val="00D0393B"/>
    <w:rsid w:val="00D3552C"/>
    <w:rsid w:val="00D4771D"/>
    <w:rsid w:val="00D534FC"/>
    <w:rsid w:val="00D576A1"/>
    <w:rsid w:val="00DA08DB"/>
    <w:rsid w:val="00DA7B1D"/>
    <w:rsid w:val="00DC5A5A"/>
    <w:rsid w:val="00E3302E"/>
    <w:rsid w:val="00E34842"/>
    <w:rsid w:val="00E63781"/>
    <w:rsid w:val="00E670C8"/>
    <w:rsid w:val="00E716F5"/>
    <w:rsid w:val="00E83C4F"/>
    <w:rsid w:val="00EE002A"/>
    <w:rsid w:val="00EF5CBC"/>
    <w:rsid w:val="00F10908"/>
    <w:rsid w:val="00F11F02"/>
    <w:rsid w:val="00F376F6"/>
    <w:rsid w:val="00F4086B"/>
    <w:rsid w:val="00F6070E"/>
    <w:rsid w:val="00F62DC5"/>
    <w:rsid w:val="00F77F36"/>
    <w:rsid w:val="00FB07F9"/>
    <w:rsid w:val="00FD1695"/>
    <w:rsid w:val="039B4611"/>
    <w:rsid w:val="040438BE"/>
    <w:rsid w:val="048B085F"/>
    <w:rsid w:val="05A23CA4"/>
    <w:rsid w:val="05AB1E2E"/>
    <w:rsid w:val="069370E2"/>
    <w:rsid w:val="072505BB"/>
    <w:rsid w:val="07452A96"/>
    <w:rsid w:val="08500FD0"/>
    <w:rsid w:val="085A3463"/>
    <w:rsid w:val="0C306491"/>
    <w:rsid w:val="0C316E0D"/>
    <w:rsid w:val="0CA2662A"/>
    <w:rsid w:val="0F114D9E"/>
    <w:rsid w:val="101A38CC"/>
    <w:rsid w:val="11916EBC"/>
    <w:rsid w:val="1388287D"/>
    <w:rsid w:val="14135274"/>
    <w:rsid w:val="15EC1B73"/>
    <w:rsid w:val="16DD7C71"/>
    <w:rsid w:val="1871343D"/>
    <w:rsid w:val="1AC21E7D"/>
    <w:rsid w:val="1BEB144C"/>
    <w:rsid w:val="1CC87312"/>
    <w:rsid w:val="1DC75C86"/>
    <w:rsid w:val="1DCD7A93"/>
    <w:rsid w:val="234C03E0"/>
    <w:rsid w:val="24BE3E2A"/>
    <w:rsid w:val="27F506B1"/>
    <w:rsid w:val="2A900110"/>
    <w:rsid w:val="2D652A1A"/>
    <w:rsid w:val="30014057"/>
    <w:rsid w:val="35333B63"/>
    <w:rsid w:val="36D212CE"/>
    <w:rsid w:val="372F16E3"/>
    <w:rsid w:val="37691EBB"/>
    <w:rsid w:val="38344528"/>
    <w:rsid w:val="3C9B6059"/>
    <w:rsid w:val="3D337B60"/>
    <w:rsid w:val="401B35FE"/>
    <w:rsid w:val="40F3423B"/>
    <w:rsid w:val="46EA4E9A"/>
    <w:rsid w:val="4CF521E0"/>
    <w:rsid w:val="4D664B93"/>
    <w:rsid w:val="4F787EBC"/>
    <w:rsid w:val="5001398F"/>
    <w:rsid w:val="51B14F5A"/>
    <w:rsid w:val="532E5462"/>
    <w:rsid w:val="57A85BB2"/>
    <w:rsid w:val="5952254C"/>
    <w:rsid w:val="5AA30D5B"/>
    <w:rsid w:val="5C3F3E0E"/>
    <w:rsid w:val="5DED6CBC"/>
    <w:rsid w:val="5FD26CCB"/>
    <w:rsid w:val="5FDF0C54"/>
    <w:rsid w:val="601E1304"/>
    <w:rsid w:val="60721891"/>
    <w:rsid w:val="67F524A6"/>
    <w:rsid w:val="68CE3219"/>
    <w:rsid w:val="6E014173"/>
    <w:rsid w:val="73173527"/>
    <w:rsid w:val="73416D09"/>
    <w:rsid w:val="73887F5F"/>
    <w:rsid w:val="74EC3E02"/>
    <w:rsid w:val="75C01DDA"/>
    <w:rsid w:val="75F06BFA"/>
    <w:rsid w:val="762B46E6"/>
    <w:rsid w:val="77846E13"/>
    <w:rsid w:val="7A8E6F4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name="header"/>
    <w:lsdException w:unhideWhenUsed="0" w:uiPriority="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Calibri"/>
      <w:kern w:val="2"/>
      <w:sz w:val="21"/>
      <w:szCs w:val="21"/>
      <w:lang w:val="en-US" w:eastAsia="zh-CN" w:bidi="ar-SA"/>
    </w:rPr>
  </w:style>
  <w:style w:type="paragraph" w:styleId="2">
    <w:name w:val="heading 1"/>
    <w:basedOn w:val="1"/>
    <w:next w:val="1"/>
    <w:link w:val="11"/>
    <w:qFormat/>
    <w:uiPriority w:val="0"/>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9"/>
    <w:qFormat/>
    <w:uiPriority w:val="0"/>
    <w:pPr>
      <w:keepNext/>
      <w:keepLines/>
      <w:spacing w:before="260" w:after="260" w:line="416" w:lineRule="auto"/>
      <w:outlineLvl w:val="1"/>
    </w:pPr>
    <w:rPr>
      <w:rFonts w:ascii="Cambria" w:hAnsi="Cambria" w:cs="Cambria"/>
      <w:b/>
      <w:bCs/>
      <w:sz w:val="32"/>
      <w:szCs w:val="32"/>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4">
    <w:name w:val="Normal Indent"/>
    <w:basedOn w:val="1"/>
    <w:qFormat/>
    <w:uiPriority w:val="0"/>
    <w:pPr>
      <w:widowControl/>
      <w:ind w:firstLine="200" w:firstLineChars="200"/>
      <w:jc w:val="left"/>
    </w:pPr>
    <w:rPr>
      <w:rFonts w:ascii="宋体" w:eastAsia="宋体" w:cs="宋体"/>
      <w:kern w:val="0"/>
      <w:sz w:val="28"/>
      <w:szCs w:val="28"/>
    </w:rPr>
  </w:style>
  <w:style w:type="paragraph" w:styleId="5">
    <w:name w:val="footer"/>
    <w:basedOn w:val="1"/>
    <w:link w:val="10"/>
    <w:semiHidden/>
    <w:uiPriority w:val="0"/>
    <w:pPr>
      <w:tabs>
        <w:tab w:val="center" w:pos="4153"/>
        <w:tab w:val="right" w:pos="8306"/>
      </w:tabs>
      <w:snapToGrid w:val="0"/>
      <w:jc w:val="left"/>
    </w:pPr>
    <w:rPr>
      <w:sz w:val="18"/>
      <w:szCs w:val="18"/>
    </w:rPr>
  </w:style>
  <w:style w:type="paragraph" w:styleId="6">
    <w:name w:val="header"/>
    <w:basedOn w:val="1"/>
    <w:link w:val="12"/>
    <w:semiHidden/>
    <w:uiPriority w:val="0"/>
    <w:pPr>
      <w:pBdr>
        <w:bottom w:val="single" w:color="auto" w:sz="6" w:space="1"/>
      </w:pBdr>
      <w:tabs>
        <w:tab w:val="center" w:pos="4153"/>
        <w:tab w:val="right" w:pos="8306"/>
      </w:tabs>
      <w:snapToGrid w:val="0"/>
      <w:jc w:val="center"/>
    </w:pPr>
    <w:rPr>
      <w:sz w:val="18"/>
      <w:szCs w:val="18"/>
    </w:rPr>
  </w:style>
  <w:style w:type="character" w:customStyle="1" w:styleId="9">
    <w:name w:val=" Char Char2"/>
    <w:basedOn w:val="8"/>
    <w:link w:val="3"/>
    <w:locked/>
    <w:uiPriority w:val="0"/>
    <w:rPr>
      <w:rFonts w:ascii="Cambria" w:hAnsi="Cambria" w:eastAsia="宋体" w:cs="Cambria"/>
      <w:b/>
      <w:bCs/>
      <w:sz w:val="32"/>
      <w:szCs w:val="32"/>
    </w:rPr>
  </w:style>
  <w:style w:type="character" w:customStyle="1" w:styleId="10">
    <w:name w:val=" Char Char"/>
    <w:basedOn w:val="8"/>
    <w:link w:val="5"/>
    <w:semiHidden/>
    <w:locked/>
    <w:uiPriority w:val="0"/>
    <w:rPr>
      <w:sz w:val="18"/>
      <w:szCs w:val="18"/>
    </w:rPr>
  </w:style>
  <w:style w:type="character" w:customStyle="1" w:styleId="11">
    <w:name w:val=" Char Char3"/>
    <w:basedOn w:val="8"/>
    <w:link w:val="2"/>
    <w:locked/>
    <w:uiPriority w:val="0"/>
    <w:rPr>
      <w:rFonts w:ascii="Times New Roman" w:hAnsi="Times New Roman" w:eastAsia="宋体" w:cs="Times New Roman"/>
      <w:b/>
      <w:bCs/>
      <w:kern w:val="44"/>
      <w:sz w:val="44"/>
      <w:szCs w:val="44"/>
    </w:rPr>
  </w:style>
  <w:style w:type="character" w:customStyle="1" w:styleId="12">
    <w:name w:val=" Char Char1"/>
    <w:basedOn w:val="8"/>
    <w:link w:val="6"/>
    <w:semiHidden/>
    <w:locked/>
    <w:uiPriority w:val="0"/>
    <w:rPr>
      <w:sz w:val="18"/>
      <w:szCs w:val="18"/>
    </w:rPr>
  </w:style>
  <w:style w:type="paragraph" w:customStyle="1" w:styleId="13">
    <w:name w:val="正文 New"/>
    <w:uiPriority w:val="0"/>
    <w:pPr>
      <w:widowControl w:val="0"/>
      <w:jc w:val="both"/>
    </w:pPr>
    <w:rPr>
      <w:rFonts w:ascii="Times New Roman" w:hAnsi="Times New Roman"/>
      <w:kern w:val="2"/>
      <w:sz w:val="21"/>
      <w:szCs w:val="21"/>
      <w:lang w:val="en-US" w:eastAsia="zh-CN" w:bidi="ar-SA"/>
    </w:rPr>
  </w:style>
  <w:style w:type="paragraph" w:customStyle="1" w:styleId="14">
    <w:name w:val="List Paragraph"/>
    <w:basedOn w:val="1"/>
    <w:uiPriority w:val="0"/>
    <w:pPr>
      <w:ind w:firstLine="420" w:firstLineChars="200"/>
    </w:pPr>
  </w:style>
  <w:style w:type="paragraph" w:customStyle="1" w:styleId="15">
    <w:name w:val="实施方案正文"/>
    <w:basedOn w:val="1"/>
    <w:qFormat/>
    <w:uiPriority w:val="99"/>
    <w:pPr>
      <w:ind w:firstLine="566" w:firstLineChars="202"/>
    </w:pPr>
    <w:rPr>
      <w:szCs w:val="21"/>
    </w:rPr>
  </w:style>
  <w:style w:type="paragraph" w:customStyle="1" w:styleId="16">
    <w:name w:val="_Style 1"/>
    <w:basedOn w:val="1"/>
    <w:qFormat/>
    <w:uiPriority w:val="34"/>
    <w:pPr>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XYZH CPA</Company>
  <Pages>11</Pages>
  <Words>2526</Words>
  <Characters>2820</Characters>
  <Lines>17</Lines>
  <Paragraphs>4</Paragraphs>
  <TotalTime>0</TotalTime>
  <ScaleCrop>false</ScaleCrop>
  <LinksUpToDate>false</LinksUpToDate>
  <CharactersWithSpaces>2856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2016-05-30T01:04:00Z</dcterms:created>
  <dc:creator>Wu.Lin</dc:creator>
  <cp:lastModifiedBy>符号</cp:lastModifiedBy>
  <cp:lastPrinted>2017-05-16T01:32:00Z</cp:lastPrinted>
  <dcterms:modified xsi:type="dcterms:W3CDTF">2026-07-16T04:06:28Z</dcterms:modified>
  <dc:title>附件3</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14B88F67F15948358E7D2B2D7E72C01B_13</vt:lpwstr>
  </property>
  <property fmtid="{D5CDD505-2E9C-101B-9397-08002B2CF9AE}" pid="4" name="KSOTemplateDocerSaveRecord">
    <vt:lpwstr>eyJoZGlkIjoiOGQyZDRkZmFlNWM0MDliNWRhYTQ0Nzc4MzE5NmI0MjQiLCJ1c2VySWQiOiIzNjE2NjA5NTcifQ==</vt:lpwstr>
  </property>
</Properties>
</file>