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24295">
      <w:pPr>
        <w:widowControl w:val="0"/>
        <w:autoSpaceDE/>
        <w:autoSpaceDN/>
        <w:adjustRightInd/>
        <w:snapToGrid/>
        <w:spacing w:beforeAutospacing="0" w:afterAutospacing="0" w:line="1400" w:lineRule="exact"/>
        <w:ind w:left="0" w:leftChars="0" w:right="0" w:rightChars="0" w:firstLine="0" w:firstLineChars="0"/>
        <w:jc w:val="distribute"/>
        <w:outlineLvl w:val="9"/>
        <w:rPr>
          <w:rFonts w:hint="default" w:ascii="Times New Roman" w:hAnsi="Times New Roman" w:eastAsia="方正小标宋简体" w:cs="Times New Roman"/>
          <w:b w:val="0"/>
          <w:i w:val="0"/>
          <w:strike w:val="0"/>
          <w:dstrike w:val="0"/>
          <w:snapToGrid/>
          <w:color w:val="FF0000"/>
          <w:spacing w:val="0"/>
          <w:w w:val="75"/>
          <w:kern w:val="0"/>
          <w:position w:val="0"/>
          <w:sz w:val="84"/>
          <w:u w:val="none"/>
          <w:lang w:eastAsia="zh-CN"/>
        </w:rPr>
      </w:pPr>
    </w:p>
    <w:p w14:paraId="65051083">
      <w:pPr>
        <w:widowControl w:val="0"/>
        <w:autoSpaceDE/>
        <w:autoSpaceDN/>
        <w:adjustRightInd/>
        <w:snapToGrid/>
        <w:spacing w:beforeAutospacing="0" w:afterAutospacing="0" w:line="1400" w:lineRule="exact"/>
        <w:ind w:left="0" w:leftChars="0" w:right="0" w:rightChars="0" w:firstLine="0" w:firstLineChars="0"/>
        <w:jc w:val="distribute"/>
        <w:outlineLvl w:val="9"/>
        <w:rPr>
          <w:rFonts w:hint="default" w:ascii="Times New Roman" w:hAnsi="Times New Roman" w:eastAsia="方正小标宋简体" w:cs="Times New Roman"/>
          <w:b w:val="0"/>
          <w:i w:val="0"/>
          <w:strike w:val="0"/>
          <w:dstrike w:val="0"/>
          <w:snapToGrid/>
          <w:color w:val="FF0000"/>
          <w:spacing w:val="0"/>
          <w:w w:val="75"/>
          <w:kern w:val="0"/>
          <w:position w:val="0"/>
          <w:sz w:val="84"/>
          <w:u w:val="none"/>
          <w:lang w:eastAsia="zh-CN"/>
        </w:rPr>
      </w:pPr>
      <w:r>
        <w:rPr>
          <w:rFonts w:hint="default" w:ascii="Times New Roman" w:hAnsi="Times New Roman" w:eastAsia="方正小标宋简体" w:cs="Times New Roman"/>
          <w:b w:val="0"/>
          <w:i w:val="0"/>
          <w:strike w:val="0"/>
          <w:dstrike w:val="0"/>
          <w:snapToGrid/>
          <w:color w:val="FF0000"/>
          <w:spacing w:val="0"/>
          <w:w w:val="75"/>
          <w:kern w:val="0"/>
          <w:position w:val="0"/>
          <w:sz w:val="84"/>
          <w:u w:val="none"/>
          <w:lang w:eastAsia="zh-CN"/>
        </w:rPr>
        <w:t>昆明市生态环境局东川分局文件</w:t>
      </w:r>
    </w:p>
    <w:p w14:paraId="107D22A9">
      <w:pPr>
        <w:widowControl w:val="0"/>
        <w:autoSpaceDE/>
        <w:autoSpaceDN/>
        <w:adjustRightInd/>
        <w:snapToGrid/>
        <w:spacing w:beforeAutospacing="0" w:afterAutospacing="0" w:line="840" w:lineRule="exact"/>
        <w:ind w:left="320" w:leftChars="100" w:right="320" w:rightChars="100" w:firstLine="0" w:firstLineChars="0"/>
        <w:jc w:val="center"/>
        <w:outlineLvl w:val="9"/>
        <w:rPr>
          <w:rFonts w:hint="default" w:ascii="Times New Roman" w:hAnsi="Times New Roman" w:eastAsia="方正小标宋简体" w:cs="Times New Roman"/>
          <w:b w:val="0"/>
          <w:i w:val="0"/>
          <w:strike w:val="0"/>
          <w:dstrike w:val="0"/>
          <w:snapToGrid/>
          <w:color w:val="FF0000"/>
          <w:spacing w:val="0"/>
          <w:w w:val="75"/>
          <w:kern w:val="0"/>
          <w:position w:val="0"/>
          <w:sz w:val="84"/>
          <w:u w:val="none"/>
          <w:lang w:eastAsia="zh-CN"/>
        </w:rPr>
      </w:pPr>
    </w:p>
    <w:p w14:paraId="103CDAE5">
      <w:pPr>
        <w:widowControl w:val="0"/>
        <w:autoSpaceDE/>
        <w:autoSpaceDN/>
        <w:adjustRightInd/>
        <w:snapToGrid/>
        <w:spacing w:beforeAutospacing="0" w:afterAutospacing="0" w:line="240" w:lineRule="auto"/>
        <w:ind w:left="320" w:leftChars="100" w:right="320" w:rightChars="100" w:firstLine="0" w:firstLineChars="0"/>
        <w:jc w:val="distribute"/>
        <w:outlineLvl w:val="9"/>
        <w:rPr>
          <w:rFonts w:hint="default" w:ascii="Times New Roman" w:hAnsi="Times New Roman" w:eastAsia="楷体_GB2312" w:cs="Times New Roman"/>
          <w:b w:val="0"/>
          <w:i w:val="0"/>
          <w:strike w:val="0"/>
          <w:dstrike w:val="0"/>
          <w:snapToGrid/>
          <w:color w:val="auto"/>
          <w:spacing w:val="0"/>
          <w:w w:val="100"/>
          <w:kern w:val="0"/>
          <w:position w:val="0"/>
          <w:sz w:val="32"/>
          <w:u w:val="none"/>
          <w:lang w:eastAsia="zh-CN"/>
        </w:rPr>
      </w:pPr>
      <w:r>
        <w:rPr>
          <w:rFonts w:hint="default" w:ascii="Times New Roman" w:hAnsi="Times New Roman" w:eastAsia="仿宋_GB2312" w:cs="Times New Roman"/>
          <w:b w:val="0"/>
          <w:i w:val="0"/>
          <w:strike w:val="0"/>
          <w:dstrike w:val="0"/>
          <w:snapToGrid/>
          <w:color w:val="auto"/>
          <w:spacing w:val="0"/>
          <w:w w:val="100"/>
          <w:kern w:val="0"/>
          <w:position w:val="0"/>
          <w:sz w:val="32"/>
          <w:u w:val="none"/>
          <w:lang w:eastAsia="zh-CN"/>
        </w:rPr>
        <w:t>昆生环（东）〔202</w:t>
      </w:r>
      <w:r>
        <w:rPr>
          <w:rFonts w:hint="eastAsia" w:cs="Times New Roman"/>
          <w:b w:val="0"/>
          <w:i w:val="0"/>
          <w:strike w:val="0"/>
          <w:dstrike w:val="0"/>
          <w:snapToGrid/>
          <w:color w:val="auto"/>
          <w:spacing w:val="0"/>
          <w:w w:val="100"/>
          <w:kern w:val="0"/>
          <w:position w:val="0"/>
          <w:sz w:val="32"/>
          <w:u w:val="none"/>
          <w:lang w:val="en-US" w:eastAsia="zh-CN"/>
        </w:rPr>
        <w:t>6</w:t>
      </w:r>
      <w:r>
        <w:rPr>
          <w:rFonts w:hint="default" w:ascii="Times New Roman" w:hAnsi="Times New Roman" w:eastAsia="仿宋_GB2312" w:cs="Times New Roman"/>
          <w:b w:val="0"/>
          <w:i w:val="0"/>
          <w:strike w:val="0"/>
          <w:dstrike w:val="0"/>
          <w:snapToGrid/>
          <w:color w:val="auto"/>
          <w:spacing w:val="0"/>
          <w:w w:val="100"/>
          <w:kern w:val="0"/>
          <w:position w:val="0"/>
          <w:sz w:val="32"/>
          <w:u w:val="none"/>
          <w:lang w:eastAsia="zh-CN"/>
        </w:rPr>
        <w:t>〕</w:t>
      </w:r>
      <w:r>
        <w:rPr>
          <w:rFonts w:hint="eastAsia" w:cs="Times New Roman"/>
          <w:b w:val="0"/>
          <w:i w:val="0"/>
          <w:strike w:val="0"/>
          <w:dstrike w:val="0"/>
          <w:snapToGrid/>
          <w:color w:val="auto"/>
          <w:spacing w:val="0"/>
          <w:w w:val="100"/>
          <w:kern w:val="0"/>
          <w:position w:val="0"/>
          <w:sz w:val="32"/>
          <w:u w:val="none"/>
          <w:lang w:val="en-US" w:eastAsia="zh-CN"/>
        </w:rPr>
        <w:t>6</w:t>
      </w:r>
      <w:r>
        <w:rPr>
          <w:rFonts w:hint="default" w:ascii="Times New Roman" w:hAnsi="Times New Roman" w:eastAsia="仿宋_GB2312" w:cs="Times New Roman"/>
          <w:b w:val="0"/>
          <w:i w:val="0"/>
          <w:strike w:val="0"/>
          <w:dstrike w:val="0"/>
          <w:snapToGrid/>
          <w:color w:val="auto"/>
          <w:spacing w:val="0"/>
          <w:w w:val="100"/>
          <w:kern w:val="0"/>
          <w:position w:val="0"/>
          <w:sz w:val="32"/>
          <w:u w:val="none"/>
          <w:lang w:eastAsia="zh-CN"/>
        </w:rPr>
        <w:t xml:space="preserve">号   </w:t>
      </w:r>
      <w:r>
        <w:rPr>
          <w:rFonts w:hint="eastAsia" w:cs="Times New Roman"/>
          <w:b w:val="0"/>
          <w:i w:val="0"/>
          <w:strike w:val="0"/>
          <w:dstrike w:val="0"/>
          <w:snapToGrid/>
          <w:color w:val="auto"/>
          <w:spacing w:val="0"/>
          <w:w w:val="100"/>
          <w:kern w:val="0"/>
          <w:position w:val="0"/>
          <w:sz w:val="32"/>
          <w:u w:val="none"/>
          <w:lang w:val="en-US" w:eastAsia="zh-CN"/>
        </w:rPr>
        <w:t xml:space="preserve">     </w:t>
      </w:r>
      <w:r>
        <w:rPr>
          <w:rFonts w:hint="default" w:ascii="Times New Roman" w:hAnsi="Times New Roman" w:eastAsia="仿宋_GB2312" w:cs="Times New Roman"/>
          <w:b w:val="0"/>
          <w:i w:val="0"/>
          <w:strike w:val="0"/>
          <w:dstrike w:val="0"/>
          <w:snapToGrid/>
          <w:color w:val="auto"/>
          <w:spacing w:val="0"/>
          <w:w w:val="100"/>
          <w:kern w:val="0"/>
          <w:position w:val="0"/>
          <w:sz w:val="32"/>
          <w:u w:val="none"/>
          <w:lang w:eastAsia="zh-CN"/>
        </w:rPr>
        <w:t xml:space="preserve">        签发人：</w:t>
      </w:r>
      <w:r>
        <w:rPr>
          <w:rFonts w:hint="default" w:ascii="Times New Roman" w:hAnsi="Times New Roman" w:eastAsia="楷体_GB2312" w:cs="Times New Roman"/>
          <w:b w:val="0"/>
          <w:i w:val="0"/>
          <w:strike w:val="0"/>
          <w:dstrike w:val="0"/>
          <w:snapToGrid/>
          <w:color w:val="auto"/>
          <w:spacing w:val="0"/>
          <w:w w:val="100"/>
          <w:kern w:val="0"/>
          <w:position w:val="0"/>
          <w:sz w:val="32"/>
          <w:u w:val="none"/>
          <w:lang w:eastAsia="zh-CN"/>
        </w:rPr>
        <w:t>江虎</w:t>
      </w:r>
    </w:p>
    <w:p w14:paraId="62E89061">
      <w:pPr>
        <w:widowControl w:val="0"/>
        <w:autoSpaceDE/>
        <w:autoSpaceDN/>
        <w:adjustRightInd/>
        <w:snapToGrid/>
        <w:spacing w:beforeAutospacing="0" w:afterAutospacing="0" w:line="120" w:lineRule="exact"/>
        <w:ind w:left="0" w:leftChars="0" w:right="0" w:rightChars="0" w:firstLine="0" w:firstLineChars="0"/>
        <w:jc w:val="center"/>
        <w:outlineLvl w:val="9"/>
        <w:rPr>
          <w:rFonts w:hint="default" w:ascii="Times New Roman" w:hAnsi="Times New Roman" w:cs="Times New Roman"/>
          <w:sz w:val="32"/>
        </w:rPr>
      </w:pPr>
      <w:r>
        <w:rPr>
          <w:rFonts w:hint="default" w:ascii="Times New Roman" w:hAnsi="Times New Roman" w:cs="Times New Roman"/>
          <w:sz w:val="32"/>
        </w:rPr>
        <mc:AlternateContent>
          <mc:Choice Requires="wps">
            <w:drawing>
              <wp:inline distT="0" distB="0" distL="114300" distR="114300">
                <wp:extent cx="5613400" cy="0"/>
                <wp:effectExtent l="0" t="13970" r="6350" b="24130"/>
                <wp:docPr id="2" name="直接连接符 2"/>
                <wp:cNvGraphicFramePr/>
                <a:graphic xmlns:a="http://schemas.openxmlformats.org/drawingml/2006/main">
                  <a:graphicData uri="http://schemas.microsoft.com/office/word/2010/wordprocessingShape">
                    <wps:wsp>
                      <wps:cNvCnPr/>
                      <wps:spPr>
                        <a:xfrm>
                          <a:off x="0" y="0"/>
                          <a:ext cx="5613400" cy="0"/>
                        </a:xfrm>
                        <a:prstGeom prst="line">
                          <a:avLst/>
                        </a:prstGeom>
                        <a:ln w="28575" cap="flat" cmpd="sng">
                          <a:solidFill>
                            <a:srgbClr val="FF0000"/>
                          </a:solidFill>
                          <a:prstDash val="solid"/>
                          <a:headEnd type="none" w="med" len="med"/>
                          <a:tailEnd type="none" w="med" len="med"/>
                        </a:ln>
                      </wps:spPr>
                      <wps:bodyPr upright="1"/>
                    </wps:wsp>
                  </a:graphicData>
                </a:graphic>
              </wp:inline>
            </w:drawing>
          </mc:Choice>
          <mc:Fallback>
            <w:pict>
              <v:line id="_x0000_s1026" o:spid="_x0000_s1026" o:spt="20" style="height:0pt;width:442pt;" filled="f" stroked="t" coordsize="21600,21600" o:gfxdata="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VTrQAAAAAgEAAA8AAAAAAAAAAQAgAAAAIgAAAGRycy9kb3ducmV2LnhtbFBLAQIUABQA&#10;AAAIAIdO4kDwYqny+AEAAOUDAAAOAAAAAAAAAAEAIAAAAB8BAABkcnMvZTJvRG9jLnhtbFBLBQYA&#10;AAAABgAGAFkBAACJBQAAAAA=&#10;">
                <v:fill on="f" focussize="0,0"/>
                <v:stroke weight="2.25pt" color="#FF0000" joinstyle="round"/>
                <v:imagedata o:title=""/>
                <o:lock v:ext="edit" aspectratio="f"/>
                <w10:wrap type="none"/>
                <w10:anchorlock/>
              </v:line>
            </w:pict>
          </mc:Fallback>
        </mc:AlternateContent>
      </w:r>
    </w:p>
    <w:p w14:paraId="225758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44"/>
          <w:szCs w:val="44"/>
          <w:lang w:val="en-US" w:eastAsia="zh-CN"/>
        </w:rPr>
      </w:pPr>
    </w:p>
    <w:p w14:paraId="2657921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kern w:val="2"/>
          <w:sz w:val="44"/>
          <w:szCs w:val="44"/>
        </w:rPr>
      </w:pPr>
      <w:bookmarkStart w:id="0" w:name="OLE_LINK1"/>
      <w:r>
        <w:rPr>
          <w:rFonts w:hint="default" w:ascii="Times New Roman" w:hAnsi="Times New Roman" w:eastAsia="宋体" w:cs="Times New Roman"/>
          <w:kern w:val="2"/>
          <w:sz w:val="44"/>
          <w:szCs w:val="44"/>
        </w:rPr>
        <w:t>20</w:t>
      </w:r>
      <w:r>
        <w:rPr>
          <w:rFonts w:hint="default" w:ascii="Times New Roman" w:hAnsi="Times New Roman" w:eastAsia="宋体" w:cs="Times New Roman"/>
          <w:kern w:val="2"/>
          <w:sz w:val="44"/>
          <w:szCs w:val="44"/>
          <w:lang w:val="en-US" w:eastAsia="zh-CN"/>
        </w:rPr>
        <w:t>26</w:t>
      </w:r>
      <w:r>
        <w:rPr>
          <w:rFonts w:hint="default"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二</w:t>
      </w:r>
      <w:r>
        <w:rPr>
          <w:rFonts w:hint="default" w:ascii="Times New Roman" w:hAnsi="Times New Roman" w:eastAsia="方正小标宋简体" w:cs="Times New Roman"/>
          <w:kern w:val="2"/>
          <w:sz w:val="44"/>
          <w:szCs w:val="44"/>
        </w:rPr>
        <w:t>季度集中式饮用水源水质监测信息公开情况报告</w:t>
      </w:r>
    </w:p>
    <w:p w14:paraId="401E1B33">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kern w:val="2"/>
          <w:sz w:val="32"/>
          <w:szCs w:val="32"/>
        </w:rPr>
      </w:pPr>
    </w:p>
    <w:p w14:paraId="31C942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按照《昆明市环境保护局关于转发全国集中式生活饮用水水源水质监测信息公开有关文件的通知》（昆环保通〔</w:t>
      </w:r>
      <w:r>
        <w:rPr>
          <w:rFonts w:hint="default" w:ascii="Times New Roman" w:hAnsi="Times New Roman" w:eastAsia="仿宋_GB2312" w:cs="Times New Roman"/>
          <w:kern w:val="2"/>
          <w:sz w:val="32"/>
          <w:szCs w:val="32"/>
          <w:lang w:val="en-US" w:eastAsia="zh-CN"/>
        </w:rPr>
        <w:t>2016</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42</w:t>
      </w:r>
      <w:r>
        <w:rPr>
          <w:rFonts w:hint="default" w:ascii="Times New Roman" w:hAnsi="Times New Roman" w:eastAsia="仿宋_GB2312" w:cs="Times New Roman"/>
          <w:kern w:val="2"/>
          <w:sz w:val="32"/>
          <w:szCs w:val="32"/>
        </w:rPr>
        <w:t>号）文件要求，东川区</w:t>
      </w:r>
      <w:r>
        <w:rPr>
          <w:rFonts w:hint="default" w:ascii="Times New Roman" w:hAnsi="Times New Roman" w:eastAsia="仿宋_GB2312" w:cs="Times New Roman"/>
          <w:kern w:val="2"/>
          <w:sz w:val="32"/>
          <w:szCs w:val="32"/>
          <w:lang w:val="en-US" w:eastAsia="zh-CN"/>
        </w:rPr>
        <w:t>2026</w:t>
      </w:r>
      <w:r>
        <w:rPr>
          <w:rFonts w:hint="default" w:ascii="Times New Roman" w:hAnsi="Times New Roman" w:eastAsia="仿宋_GB2312" w:cs="Times New Roman"/>
          <w:kern w:val="2"/>
          <w:sz w:val="32"/>
          <w:szCs w:val="32"/>
        </w:rPr>
        <w:t>年</w:t>
      </w:r>
      <w:r>
        <w:rPr>
          <w:rFonts w:hint="eastAsia" w:ascii="Times New Roman" w:hAnsi="Times New Roman" w:cs="Times New Roman"/>
          <w:kern w:val="2"/>
          <w:sz w:val="32"/>
          <w:szCs w:val="32"/>
          <w:lang w:val="en-US" w:eastAsia="zh-CN"/>
        </w:rPr>
        <w:t>二</w:t>
      </w:r>
      <w:r>
        <w:rPr>
          <w:rFonts w:hint="default" w:ascii="Times New Roman" w:hAnsi="Times New Roman" w:eastAsia="仿宋_GB2312" w:cs="Times New Roman"/>
          <w:kern w:val="2"/>
          <w:sz w:val="32"/>
          <w:szCs w:val="32"/>
        </w:rPr>
        <w:t>季度集中式生活饮用水水源水质监测信息将</w:t>
      </w:r>
      <w:r>
        <w:rPr>
          <w:rFonts w:hint="default" w:ascii="Times New Roman" w:hAnsi="Times New Roman" w:eastAsia="仿宋_GB2312" w:cs="Times New Roman"/>
          <w:kern w:val="2"/>
          <w:sz w:val="32"/>
          <w:szCs w:val="32"/>
          <w:lang w:eastAsia="zh-CN"/>
        </w:rPr>
        <w:t>于</w:t>
      </w:r>
      <w:r>
        <w:rPr>
          <w:rFonts w:hint="default" w:ascii="Times New Roman" w:hAnsi="Times New Roman" w:eastAsia="仿宋_GB2312" w:cs="Times New Roman"/>
          <w:kern w:val="2"/>
          <w:sz w:val="32"/>
          <w:szCs w:val="32"/>
          <w:lang w:val="en-US" w:eastAsia="zh-CN"/>
        </w:rPr>
        <w:t>2026</w:t>
      </w:r>
      <w:r>
        <w:rPr>
          <w:rFonts w:hint="default" w:ascii="Times New Roman" w:hAnsi="Times New Roman" w:eastAsia="仿宋_GB2312" w:cs="Times New Roman"/>
          <w:kern w:val="2"/>
          <w:sz w:val="32"/>
          <w:szCs w:val="32"/>
        </w:rPr>
        <w:t>年</w:t>
      </w:r>
      <w:r>
        <w:rPr>
          <w:rFonts w:hint="eastAsia" w:ascii="Times New Roman" w:hAnsi="Times New Roman" w:cs="Times New Roman"/>
          <w:kern w:val="2"/>
          <w:sz w:val="32"/>
          <w:szCs w:val="32"/>
          <w:lang w:val="en-US" w:eastAsia="zh-CN"/>
        </w:rPr>
        <w:t>6</w:t>
      </w:r>
      <w:r>
        <w:rPr>
          <w:rFonts w:hint="default" w:ascii="Times New Roman" w:hAnsi="Times New Roman" w:eastAsia="仿宋_GB2312" w:cs="Times New Roman"/>
          <w:kern w:val="2"/>
          <w:sz w:val="32"/>
          <w:szCs w:val="32"/>
        </w:rPr>
        <w:t>月</w:t>
      </w:r>
      <w:r>
        <w:rPr>
          <w:rFonts w:hint="eastAsia" w:cs="Times New Roman"/>
          <w:kern w:val="2"/>
          <w:sz w:val="32"/>
          <w:szCs w:val="32"/>
          <w:lang w:val="en-US" w:eastAsia="zh-CN"/>
        </w:rPr>
        <w:t>30</w:t>
      </w:r>
      <w:r>
        <w:rPr>
          <w:rFonts w:hint="default" w:ascii="Times New Roman" w:hAnsi="Times New Roman" w:eastAsia="仿宋_GB2312" w:cs="Times New Roman"/>
          <w:kern w:val="2"/>
          <w:sz w:val="32"/>
          <w:szCs w:val="32"/>
        </w:rPr>
        <w:t>日</w:t>
      </w:r>
      <w:r>
        <w:rPr>
          <w:rFonts w:hint="default" w:ascii="Times New Roman" w:hAnsi="Times New Roman" w:eastAsia="仿宋_GB2312" w:cs="Times New Roman"/>
          <w:kern w:val="0"/>
          <w:sz w:val="32"/>
          <w:szCs w:val="32"/>
        </w:rPr>
        <w:t>在</w:t>
      </w:r>
      <w:r>
        <w:rPr>
          <w:rFonts w:hint="default" w:ascii="Times New Roman" w:hAnsi="Times New Roman" w:eastAsia="仿宋_GB2312" w:cs="Times New Roman"/>
          <w:kern w:val="0"/>
          <w:sz w:val="32"/>
          <w:szCs w:val="32"/>
          <w:lang w:eastAsia="zh-CN"/>
        </w:rPr>
        <w:t>昆明信息港东川区人民政府网站</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kern w:val="2"/>
          <w:sz w:val="32"/>
          <w:szCs w:val="32"/>
        </w:rPr>
        <w:t>现将相关情况报告如下：</w:t>
      </w:r>
    </w:p>
    <w:p w14:paraId="09C9E0F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一、饮用水源基本情况</w:t>
      </w:r>
    </w:p>
    <w:p w14:paraId="55AEDA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宋体" w:cs="Times New Roman"/>
          <w:kern w:val="2"/>
          <w:sz w:val="32"/>
          <w:szCs w:val="32"/>
          <w:lang w:val="en-US" w:eastAsia="zh-CN"/>
        </w:rPr>
        <w:t>2026</w:t>
      </w:r>
      <w:r>
        <w:rPr>
          <w:rFonts w:hint="default" w:ascii="Times New Roman" w:hAnsi="Times New Roman" w:eastAsia="仿宋_GB2312" w:cs="Times New Roman"/>
          <w:kern w:val="2"/>
          <w:sz w:val="32"/>
          <w:szCs w:val="32"/>
        </w:rPr>
        <w:t>年</w:t>
      </w:r>
      <w:r>
        <w:rPr>
          <w:rFonts w:hint="eastAsia" w:ascii="Times New Roman" w:hAnsi="Times New Roman" w:cs="Times New Roman"/>
          <w:kern w:val="2"/>
          <w:sz w:val="32"/>
          <w:szCs w:val="32"/>
          <w:lang w:val="en-US" w:eastAsia="zh-CN"/>
        </w:rPr>
        <w:t>二</w:t>
      </w:r>
      <w:r>
        <w:rPr>
          <w:rFonts w:hint="default" w:ascii="Times New Roman" w:hAnsi="Times New Roman" w:eastAsia="仿宋_GB2312" w:cs="Times New Roman"/>
          <w:kern w:val="2"/>
          <w:sz w:val="32"/>
          <w:szCs w:val="32"/>
        </w:rPr>
        <w:t>季度，东川区</w:t>
      </w:r>
      <w:r>
        <w:rPr>
          <w:rFonts w:hint="default" w:ascii="Times New Roman" w:hAnsi="Times New Roman" w:eastAsia="仿宋_GB2312" w:cs="Times New Roman"/>
          <w:kern w:val="2"/>
          <w:sz w:val="32"/>
          <w:szCs w:val="32"/>
          <w:lang w:eastAsia="zh-CN"/>
        </w:rPr>
        <w:t>开展了</w:t>
      </w:r>
      <w:r>
        <w:rPr>
          <w:rFonts w:hint="default" w:ascii="Times New Roman" w:hAnsi="Times New Roman" w:eastAsia="宋体" w:cs="Times New Roman"/>
          <w:kern w:val="2"/>
          <w:sz w:val="32"/>
          <w:szCs w:val="32"/>
          <w:lang w:val="en-US" w:eastAsia="zh-CN"/>
        </w:rPr>
        <w:t>1</w:t>
      </w:r>
      <w:r>
        <w:rPr>
          <w:rFonts w:hint="default" w:ascii="Times New Roman" w:hAnsi="Times New Roman" w:eastAsia="仿宋_GB2312" w:cs="Times New Roman"/>
          <w:kern w:val="2"/>
          <w:sz w:val="32"/>
          <w:szCs w:val="32"/>
        </w:rPr>
        <w:t>个在用集中式饮用水源</w:t>
      </w:r>
      <w:r>
        <w:rPr>
          <w:rFonts w:hint="default" w:ascii="Times New Roman" w:hAnsi="Times New Roman" w:eastAsia="仿宋_GB2312" w:cs="Times New Roman"/>
          <w:kern w:val="2"/>
          <w:sz w:val="32"/>
          <w:szCs w:val="32"/>
          <w:lang w:eastAsia="zh-CN"/>
        </w:rPr>
        <w:t>地水质监测</w:t>
      </w:r>
      <w:r>
        <w:rPr>
          <w:rFonts w:hint="default" w:ascii="Times New Roman" w:hAnsi="Times New Roman" w:eastAsia="仿宋_GB2312" w:cs="Times New Roman"/>
          <w:kern w:val="2"/>
          <w:sz w:val="32"/>
          <w:szCs w:val="32"/>
        </w:rPr>
        <w:t>，具体为大菜园</w:t>
      </w:r>
      <w:r>
        <w:rPr>
          <w:rFonts w:hint="default" w:ascii="Times New Roman" w:hAnsi="Times New Roman" w:eastAsia="仿宋_GB2312" w:cs="Times New Roman"/>
          <w:kern w:val="2"/>
          <w:sz w:val="32"/>
          <w:szCs w:val="32"/>
          <w:lang w:eastAsia="zh-CN"/>
        </w:rPr>
        <w:t>集中式饮用</w:t>
      </w:r>
      <w:r>
        <w:rPr>
          <w:rFonts w:hint="default" w:ascii="Times New Roman" w:hAnsi="Times New Roman" w:eastAsia="仿宋_GB2312" w:cs="Times New Roman"/>
          <w:kern w:val="2"/>
          <w:sz w:val="32"/>
          <w:szCs w:val="32"/>
        </w:rPr>
        <w:t>水源，为地表水类型水源</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野牛水库</w:t>
      </w:r>
      <w:r>
        <w:rPr>
          <w:rFonts w:hint="default" w:ascii="Times New Roman" w:hAnsi="Times New Roman" w:eastAsia="仿宋_GB2312" w:cs="Times New Roman"/>
          <w:kern w:val="2"/>
          <w:sz w:val="32"/>
          <w:szCs w:val="32"/>
          <w:lang w:eastAsia="zh-CN"/>
        </w:rPr>
        <w:t>水源未进行生活饮用水供水，暂停监测。</w:t>
      </w:r>
    </w:p>
    <w:p w14:paraId="36714B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二、监测情况</w:t>
      </w:r>
    </w:p>
    <w:p w14:paraId="1BC760B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监测项目为《地表水环境质量标准》（GB</w:t>
      </w:r>
      <w:r>
        <w:rPr>
          <w:rFonts w:hint="default" w:ascii="Times New Roman" w:hAnsi="Times New Roman" w:eastAsia="仿宋_GB2312" w:cs="Times New Roman"/>
          <w:kern w:val="2"/>
          <w:sz w:val="32"/>
          <w:szCs w:val="32"/>
          <w:lang w:val="en-US" w:eastAsia="zh-CN"/>
        </w:rPr>
        <w:t>3838</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2002</w:t>
      </w:r>
      <w:r>
        <w:rPr>
          <w:rFonts w:hint="default" w:ascii="Times New Roman" w:hAnsi="Times New Roman" w:eastAsia="仿宋_GB2312" w:cs="Times New Roman"/>
          <w:kern w:val="2"/>
          <w:sz w:val="32"/>
          <w:szCs w:val="32"/>
        </w:rPr>
        <w:t>）表1的基本项目（</w:t>
      </w:r>
      <w:r>
        <w:rPr>
          <w:rFonts w:hint="default" w:ascii="Times New Roman" w:hAnsi="Times New Roman" w:eastAsia="仿宋_GB2312" w:cs="Times New Roman"/>
          <w:kern w:val="2"/>
          <w:sz w:val="32"/>
          <w:szCs w:val="32"/>
          <w:lang w:val="en-US" w:eastAsia="zh-CN"/>
        </w:rPr>
        <w:t>24</w:t>
      </w:r>
      <w:r>
        <w:rPr>
          <w:rFonts w:hint="default" w:ascii="Times New Roman" w:hAnsi="Times New Roman" w:eastAsia="仿宋_GB2312" w:cs="Times New Roman"/>
          <w:kern w:val="2"/>
          <w:sz w:val="32"/>
          <w:szCs w:val="32"/>
        </w:rPr>
        <w:t>项）、表</w:t>
      </w:r>
      <w:r>
        <w:rPr>
          <w:rFonts w:hint="default"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的补充项目（</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项）</w:t>
      </w:r>
      <w:r>
        <w:rPr>
          <w:rFonts w:hint="default" w:ascii="Times New Roman" w:hAnsi="Times New Roman" w:eastAsia="仿宋_GB2312" w:cs="Times New Roman"/>
          <w:kern w:val="2"/>
          <w:sz w:val="32"/>
          <w:szCs w:val="32"/>
          <w:lang w:eastAsia="zh-CN"/>
        </w:rPr>
        <w:t>及</w:t>
      </w:r>
      <w:r>
        <w:rPr>
          <w:rFonts w:hint="default" w:ascii="Times New Roman" w:hAnsi="Times New Roman" w:eastAsia="仿宋_GB2312" w:cs="Times New Roman"/>
          <w:kern w:val="2"/>
          <w:sz w:val="32"/>
          <w:szCs w:val="32"/>
          <w:lang w:val="en-US" w:eastAsia="zh-CN"/>
        </w:rPr>
        <w:t>33个</w:t>
      </w:r>
      <w:r>
        <w:rPr>
          <w:rFonts w:hint="default" w:ascii="Times New Roman" w:hAnsi="Times New Roman" w:eastAsia="仿宋_GB2312" w:cs="Times New Roman"/>
          <w:kern w:val="2"/>
          <w:sz w:val="32"/>
          <w:szCs w:val="32"/>
          <w:lang w:eastAsia="zh-CN"/>
        </w:rPr>
        <w:t>特定项目，</w:t>
      </w:r>
      <w:r>
        <w:rPr>
          <w:rFonts w:hint="default" w:ascii="Times New Roman" w:hAnsi="Times New Roman" w:eastAsia="仿宋_GB2312" w:cs="Times New Roman"/>
          <w:kern w:val="2"/>
          <w:sz w:val="32"/>
          <w:szCs w:val="32"/>
          <w:lang w:val="en-US" w:eastAsia="zh-CN"/>
        </w:rPr>
        <w:t>共计62项</w:t>
      </w:r>
      <w:r>
        <w:rPr>
          <w:rFonts w:hint="default" w:ascii="Times New Roman" w:hAnsi="Times New Roman" w:eastAsia="仿宋_GB2312" w:cs="Times New Roman"/>
          <w:kern w:val="2"/>
          <w:sz w:val="32"/>
          <w:szCs w:val="32"/>
        </w:rPr>
        <w:t>。</w:t>
      </w:r>
    </w:p>
    <w:p w14:paraId="15CD2B7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评价依据为《地表水环境质量标准》（GB</w:t>
      </w:r>
      <w:r>
        <w:rPr>
          <w:rFonts w:hint="default" w:ascii="Times New Roman" w:hAnsi="Times New Roman" w:eastAsia="仿宋_GB2312" w:cs="Times New Roman"/>
          <w:kern w:val="2"/>
          <w:sz w:val="32"/>
          <w:szCs w:val="32"/>
          <w:lang w:val="en-US" w:eastAsia="zh-CN"/>
        </w:rPr>
        <w:t>3838</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2002</w:t>
      </w:r>
      <w:r>
        <w:rPr>
          <w:rFonts w:hint="default" w:ascii="Times New Roman" w:hAnsi="Times New Roman" w:eastAsia="仿宋_GB2312" w:cs="Times New Roman"/>
          <w:kern w:val="2"/>
          <w:sz w:val="32"/>
          <w:szCs w:val="32"/>
        </w:rPr>
        <w:t>），基本项目按照《地表水环境质量评价方法（试行）》（环办</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2"/>
          <w:sz w:val="32"/>
          <w:szCs w:val="32"/>
          <w:lang w:val="en-US" w:eastAsia="zh-CN"/>
        </w:rPr>
        <w:t>2011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2"/>
          <w:sz w:val="32"/>
          <w:szCs w:val="32"/>
          <w:lang w:val="en-US" w:eastAsia="zh-CN"/>
        </w:rPr>
        <w:t>22</w:t>
      </w:r>
      <w:r>
        <w:rPr>
          <w:rFonts w:hint="default" w:ascii="Times New Roman" w:hAnsi="Times New Roman" w:eastAsia="仿宋_GB2312" w:cs="Times New Roman"/>
          <w:kern w:val="2"/>
          <w:sz w:val="32"/>
          <w:szCs w:val="32"/>
        </w:rPr>
        <w:t>号）进行评价，补充项目、特定项目采用单因子评价法进行评价。</w:t>
      </w:r>
    </w:p>
    <w:p w14:paraId="5E1ECA8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2026</w:t>
      </w:r>
      <w:r>
        <w:rPr>
          <w:rFonts w:hint="default" w:ascii="Times New Roman" w:hAnsi="Times New Roman" w:eastAsia="仿宋_GB2312" w:cs="Times New Roman"/>
          <w:kern w:val="2"/>
          <w:sz w:val="32"/>
          <w:szCs w:val="32"/>
        </w:rPr>
        <w:t>年</w:t>
      </w:r>
      <w:r>
        <w:rPr>
          <w:rFonts w:hint="eastAsia" w:ascii="Times New Roman" w:hAnsi="Times New Roman" w:cs="Times New Roman"/>
          <w:kern w:val="2"/>
          <w:sz w:val="32"/>
          <w:szCs w:val="32"/>
          <w:lang w:val="en-US" w:eastAsia="zh-CN"/>
        </w:rPr>
        <w:t>二</w:t>
      </w:r>
      <w:r>
        <w:rPr>
          <w:rFonts w:hint="default" w:ascii="Times New Roman" w:hAnsi="Times New Roman" w:eastAsia="仿宋_GB2312" w:cs="Times New Roman"/>
          <w:kern w:val="2"/>
          <w:sz w:val="32"/>
          <w:szCs w:val="32"/>
        </w:rPr>
        <w:t>季度，大菜园集中式饮用水源</w:t>
      </w:r>
      <w:r>
        <w:rPr>
          <w:rFonts w:hint="default" w:ascii="Times New Roman" w:hAnsi="Times New Roman" w:eastAsia="仿宋_GB2312" w:cs="Times New Roman"/>
          <w:kern w:val="2"/>
          <w:sz w:val="32"/>
          <w:szCs w:val="32"/>
          <w:lang w:eastAsia="zh-CN"/>
        </w:rPr>
        <w:t>水质</w:t>
      </w:r>
      <w:r>
        <w:rPr>
          <w:rFonts w:hint="default" w:ascii="Times New Roman" w:hAnsi="Times New Roman" w:eastAsia="仿宋_GB2312" w:cs="Times New Roman"/>
          <w:kern w:val="2"/>
          <w:sz w:val="32"/>
          <w:szCs w:val="32"/>
        </w:rPr>
        <w:t>达标（</w:t>
      </w:r>
      <w:r>
        <w:rPr>
          <w:rFonts w:hint="default" w:ascii="Times New Roman" w:hAnsi="Times New Roman" w:eastAsia="仿宋_GB2312" w:cs="Times New Roman"/>
          <w:kern w:val="2"/>
          <w:sz w:val="32"/>
          <w:szCs w:val="32"/>
          <w:lang w:eastAsia="zh-CN"/>
        </w:rPr>
        <w:t>水源</w:t>
      </w:r>
      <w:r>
        <w:rPr>
          <w:rFonts w:hint="default" w:ascii="Times New Roman" w:hAnsi="Times New Roman" w:eastAsia="仿宋_GB2312" w:cs="Times New Roman"/>
          <w:kern w:val="2"/>
          <w:sz w:val="32"/>
          <w:szCs w:val="32"/>
        </w:rPr>
        <w:t>达到或优于Ⅱ类标准），占100.0%。</w:t>
      </w:r>
    </w:p>
    <w:p w14:paraId="0E3C8DA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kern w:val="2"/>
          <w:sz w:val="32"/>
          <w:szCs w:val="32"/>
        </w:rPr>
      </w:pPr>
    </w:p>
    <w:p w14:paraId="157FED6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kern w:val="2"/>
          <w:sz w:val="32"/>
          <w:szCs w:val="32"/>
        </w:rPr>
      </w:pPr>
      <w:r>
        <w:rPr>
          <w:rFonts w:hint="default" w:ascii="Times New Roman" w:hAnsi="Times New Roman" w:eastAsia="方正小标宋简体" w:cs="Times New Roman"/>
          <w:kern w:val="2"/>
          <w:sz w:val="32"/>
          <w:szCs w:val="32"/>
          <w:lang w:val="en-US" w:eastAsia="zh-CN"/>
        </w:rPr>
        <w:t>2026</w:t>
      </w:r>
      <w:r>
        <w:rPr>
          <w:rFonts w:hint="default" w:ascii="Times New Roman" w:hAnsi="Times New Roman" w:eastAsia="方正小标宋简体" w:cs="Times New Roman"/>
          <w:b w:val="0"/>
          <w:bCs/>
          <w:kern w:val="2"/>
          <w:sz w:val="32"/>
          <w:szCs w:val="32"/>
        </w:rPr>
        <w:t>年</w:t>
      </w:r>
      <w:r>
        <w:rPr>
          <w:rFonts w:hint="eastAsia" w:ascii="Times New Roman" w:hAnsi="Times New Roman" w:eastAsia="方正小标宋简体" w:cs="Times New Roman"/>
          <w:b w:val="0"/>
          <w:bCs/>
          <w:kern w:val="2"/>
          <w:sz w:val="32"/>
          <w:szCs w:val="32"/>
          <w:lang w:val="en-US" w:eastAsia="zh-CN"/>
        </w:rPr>
        <w:t>二</w:t>
      </w:r>
      <w:r>
        <w:rPr>
          <w:rFonts w:hint="default" w:ascii="Times New Roman" w:hAnsi="Times New Roman" w:eastAsia="方正小标宋简体" w:cs="Times New Roman"/>
          <w:b w:val="0"/>
          <w:bCs/>
          <w:kern w:val="2"/>
          <w:sz w:val="32"/>
          <w:szCs w:val="32"/>
        </w:rPr>
        <w:t>季度东川区集中式饮用水水源水质状况</w:t>
      </w:r>
    </w:p>
    <w:p w14:paraId="42C96E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小标宋简体" w:cs="Times New Roman"/>
          <w:b w:val="0"/>
          <w:bCs/>
          <w:kern w:val="2"/>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18"/>
        <w:gridCol w:w="1691"/>
        <w:gridCol w:w="1704"/>
        <w:gridCol w:w="2617"/>
      </w:tblGrid>
      <w:tr w14:paraId="7157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6ACA846">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序号</w:t>
            </w:r>
          </w:p>
        </w:tc>
        <w:tc>
          <w:tcPr>
            <w:tcW w:w="2018" w:type="dxa"/>
            <w:noWrap w:val="0"/>
            <w:vAlign w:val="center"/>
          </w:tcPr>
          <w:p w14:paraId="6BC27D61">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水源名称</w:t>
            </w:r>
          </w:p>
          <w:p w14:paraId="510D8DBB">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（监测点位）</w:t>
            </w:r>
          </w:p>
        </w:tc>
        <w:tc>
          <w:tcPr>
            <w:tcW w:w="1691" w:type="dxa"/>
            <w:noWrap w:val="0"/>
            <w:vAlign w:val="center"/>
          </w:tcPr>
          <w:p w14:paraId="77EA6E4A">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水源类型</w:t>
            </w:r>
          </w:p>
        </w:tc>
        <w:tc>
          <w:tcPr>
            <w:tcW w:w="1704" w:type="dxa"/>
            <w:noWrap w:val="0"/>
            <w:vAlign w:val="center"/>
          </w:tcPr>
          <w:p w14:paraId="6ADB3FCF">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达标情况</w:t>
            </w:r>
          </w:p>
        </w:tc>
        <w:tc>
          <w:tcPr>
            <w:tcW w:w="2617" w:type="dxa"/>
            <w:noWrap w:val="0"/>
            <w:vAlign w:val="center"/>
          </w:tcPr>
          <w:p w14:paraId="15D0FB31">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超标指标及超标倍数</w:t>
            </w:r>
          </w:p>
        </w:tc>
      </w:tr>
      <w:tr w14:paraId="6EB4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14F52299">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1</w:t>
            </w:r>
          </w:p>
        </w:tc>
        <w:tc>
          <w:tcPr>
            <w:tcW w:w="2018" w:type="dxa"/>
            <w:noWrap w:val="0"/>
            <w:vAlign w:val="center"/>
          </w:tcPr>
          <w:p w14:paraId="3CAA3417">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大菜园</w:t>
            </w:r>
          </w:p>
        </w:tc>
        <w:tc>
          <w:tcPr>
            <w:tcW w:w="1691" w:type="dxa"/>
            <w:noWrap w:val="0"/>
            <w:vAlign w:val="center"/>
          </w:tcPr>
          <w:p w14:paraId="2A25A0B8">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地表水</w:t>
            </w:r>
          </w:p>
        </w:tc>
        <w:tc>
          <w:tcPr>
            <w:tcW w:w="1704" w:type="dxa"/>
            <w:noWrap w:val="0"/>
            <w:vAlign w:val="center"/>
          </w:tcPr>
          <w:p w14:paraId="54DBE25E">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达标</w:t>
            </w:r>
          </w:p>
        </w:tc>
        <w:tc>
          <w:tcPr>
            <w:tcW w:w="2617" w:type="dxa"/>
            <w:noWrap w:val="0"/>
            <w:vAlign w:val="center"/>
          </w:tcPr>
          <w:p w14:paraId="68CDD93A">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w:t>
            </w:r>
          </w:p>
        </w:tc>
      </w:tr>
      <w:tr w14:paraId="3103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BF9FB99">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2</w:t>
            </w:r>
          </w:p>
        </w:tc>
        <w:tc>
          <w:tcPr>
            <w:tcW w:w="2018" w:type="dxa"/>
            <w:noWrap w:val="0"/>
            <w:vAlign w:val="center"/>
          </w:tcPr>
          <w:p w14:paraId="035CB248">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野牛水库</w:t>
            </w:r>
          </w:p>
        </w:tc>
        <w:tc>
          <w:tcPr>
            <w:tcW w:w="1691" w:type="dxa"/>
            <w:noWrap w:val="0"/>
            <w:vAlign w:val="center"/>
          </w:tcPr>
          <w:p w14:paraId="0CA2B37B">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地表水</w:t>
            </w:r>
          </w:p>
        </w:tc>
        <w:tc>
          <w:tcPr>
            <w:tcW w:w="1704" w:type="dxa"/>
            <w:noWrap w:val="0"/>
            <w:vAlign w:val="center"/>
          </w:tcPr>
          <w:p w14:paraId="2967F5AC">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lang w:eastAsia="zh-CN"/>
              </w:rPr>
            </w:pPr>
            <w:r>
              <w:rPr>
                <w:rFonts w:hint="default" w:ascii="Times New Roman" w:hAnsi="Times New Roman" w:eastAsia="仿宋_GB2312" w:cs="Times New Roman"/>
                <w:kern w:val="2"/>
                <w:sz w:val="32"/>
                <w:szCs w:val="28"/>
                <w:lang w:eastAsia="zh-CN"/>
              </w:rPr>
              <w:t>未供水</w:t>
            </w:r>
          </w:p>
        </w:tc>
        <w:tc>
          <w:tcPr>
            <w:tcW w:w="2617" w:type="dxa"/>
            <w:noWrap w:val="0"/>
            <w:vAlign w:val="center"/>
          </w:tcPr>
          <w:p w14:paraId="1CC91AA5">
            <w:pPr>
              <w:keepNext w:val="0"/>
              <w:keepLines w:val="0"/>
              <w:pageBreakBefore w:val="0"/>
              <w:widowControl w:val="0"/>
              <w:kinsoku/>
              <w:wordWrap/>
              <w:overflowPunct/>
              <w:topLinePunct w:val="0"/>
              <w:bidi w:val="0"/>
              <w:snapToGrid/>
              <w:spacing w:line="560" w:lineRule="exact"/>
              <w:jc w:val="center"/>
              <w:textAlignment w:val="auto"/>
              <w:rPr>
                <w:rFonts w:hint="default" w:ascii="Times New Roman" w:hAnsi="Times New Roman" w:eastAsia="仿宋_GB2312" w:cs="Times New Roman"/>
                <w:kern w:val="2"/>
                <w:sz w:val="32"/>
                <w:szCs w:val="28"/>
              </w:rPr>
            </w:pPr>
            <w:r>
              <w:rPr>
                <w:rFonts w:hint="default" w:ascii="Times New Roman" w:hAnsi="Times New Roman" w:eastAsia="仿宋_GB2312" w:cs="Times New Roman"/>
                <w:kern w:val="2"/>
                <w:sz w:val="32"/>
                <w:szCs w:val="28"/>
              </w:rPr>
              <w:t>—</w:t>
            </w:r>
          </w:p>
        </w:tc>
      </w:tr>
    </w:tbl>
    <w:p w14:paraId="6397E4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小标宋简体" w:cs="Times New Roman"/>
          <w:b w:val="0"/>
          <w:bCs/>
          <w:kern w:val="2"/>
          <w:sz w:val="32"/>
          <w:szCs w:val="32"/>
        </w:rPr>
      </w:pPr>
    </w:p>
    <w:p w14:paraId="740146E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注：水质评价按照环办</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2011</w:t>
      </w:r>
      <w:r>
        <w:rPr>
          <w:rFonts w:hint="default" w:ascii="Times New Roman" w:hAnsi="Times New Roman" w:cs="Times New Roman"/>
          <w:kern w:val="0"/>
          <w:szCs w:val="32"/>
        </w:rPr>
        <w:t>〕</w:t>
      </w:r>
      <w:r>
        <w:rPr>
          <w:rFonts w:hint="default" w:ascii="Times New Roman" w:hAnsi="Times New Roman" w:eastAsia="仿宋_GB2312" w:cs="Times New Roman"/>
          <w:kern w:val="2"/>
          <w:sz w:val="32"/>
          <w:szCs w:val="32"/>
          <w:lang w:val="en-US" w:eastAsia="zh-CN"/>
        </w:rPr>
        <w:t>22</w:t>
      </w:r>
      <w:r>
        <w:rPr>
          <w:rFonts w:hint="default" w:ascii="Times New Roman" w:hAnsi="Times New Roman" w:eastAsia="仿宋_GB2312" w:cs="Times New Roman"/>
          <w:kern w:val="0"/>
          <w:sz w:val="32"/>
          <w:szCs w:val="32"/>
        </w:rPr>
        <w:t>号地表水水质评价指标为：《地表水环境质量标准》（</w:t>
      </w:r>
      <w:r>
        <w:rPr>
          <w:rFonts w:hint="default" w:ascii="Times New Roman" w:hAnsi="Times New Roman" w:eastAsia="仿宋_GB2312" w:cs="Times New Roman"/>
          <w:kern w:val="2"/>
          <w:sz w:val="32"/>
          <w:szCs w:val="32"/>
        </w:rPr>
        <w:t>GB</w:t>
      </w:r>
      <w:r>
        <w:rPr>
          <w:rFonts w:hint="default" w:ascii="Times New Roman" w:hAnsi="Times New Roman" w:eastAsia="仿宋_GB2312" w:cs="Times New Roman"/>
          <w:kern w:val="2"/>
          <w:sz w:val="32"/>
          <w:szCs w:val="32"/>
          <w:lang w:val="en-US" w:eastAsia="zh-CN"/>
        </w:rPr>
        <w:t>3838</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2002</w:t>
      </w:r>
      <w:r>
        <w:rPr>
          <w:rFonts w:hint="default" w:ascii="Times New Roman" w:hAnsi="Times New Roman" w:eastAsia="仿宋_GB2312" w:cs="Times New Roman"/>
          <w:kern w:val="0"/>
          <w:sz w:val="32"/>
          <w:szCs w:val="32"/>
        </w:rPr>
        <w:t>）表</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0"/>
          <w:sz w:val="32"/>
          <w:szCs w:val="32"/>
        </w:rPr>
        <w:t>中除水温、总氮、粪大肠菌群以外的</w:t>
      </w:r>
      <w:r>
        <w:rPr>
          <w:rFonts w:hint="default" w:ascii="Times New Roman" w:hAnsi="Times New Roman" w:eastAsia="仿宋_GB2312" w:cs="Times New Roman"/>
          <w:kern w:val="2"/>
          <w:sz w:val="32"/>
          <w:szCs w:val="32"/>
          <w:lang w:val="en-US" w:eastAsia="zh-CN"/>
        </w:rPr>
        <w:t>21</w:t>
      </w:r>
      <w:r>
        <w:rPr>
          <w:rFonts w:hint="default" w:ascii="Times New Roman" w:hAnsi="Times New Roman" w:eastAsia="仿宋_GB2312" w:cs="Times New Roman"/>
          <w:kern w:val="0"/>
          <w:sz w:val="32"/>
          <w:szCs w:val="32"/>
        </w:rPr>
        <w:t>项指标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补充项目</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0"/>
          <w:sz w:val="32"/>
          <w:szCs w:val="32"/>
        </w:rPr>
        <w:t>项、特定项目采用单因子评价法进行评价。</w:t>
      </w:r>
    </w:p>
    <w:p w14:paraId="30EE8EC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三、信息公开情况</w:t>
      </w:r>
    </w:p>
    <w:p w14:paraId="7D49F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仿宋_GB2312" w:cs="Times New Roman"/>
          <w:kern w:val="0"/>
          <w:sz w:val="32"/>
          <w:szCs w:val="32"/>
        </w:rPr>
        <w:t>按照</w:t>
      </w:r>
      <w:r>
        <w:rPr>
          <w:rFonts w:hint="default"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全国集中式饮用水源水质监测信息公开</w:t>
      </w:r>
      <w:r>
        <w:rPr>
          <w:rFonts w:hint="default" w:ascii="Times New Roman" w:hAnsi="Times New Roman" w:cs="Times New Roman"/>
          <w:kern w:val="0"/>
          <w:sz w:val="32"/>
          <w:szCs w:val="32"/>
          <w:lang w:eastAsia="zh-CN"/>
        </w:rPr>
        <w:t>”</w:t>
      </w:r>
      <w:r>
        <w:rPr>
          <w:rFonts w:hint="default" w:ascii="Times New Roman" w:hAnsi="Times New Roman" w:eastAsia="仿宋_GB2312" w:cs="Times New Roman"/>
          <w:kern w:val="0"/>
          <w:sz w:val="32"/>
          <w:szCs w:val="32"/>
        </w:rPr>
        <w:t>有关要求，东川区已将</w:t>
      </w:r>
      <w:r>
        <w:rPr>
          <w:rFonts w:hint="default" w:ascii="Times New Roman" w:hAnsi="Times New Roman" w:eastAsia="宋体" w:cs="Times New Roman"/>
          <w:kern w:val="2"/>
          <w:sz w:val="32"/>
          <w:szCs w:val="32"/>
          <w:lang w:val="en-US" w:eastAsia="zh-CN"/>
        </w:rPr>
        <w:t>2026</w:t>
      </w:r>
      <w:r>
        <w:rPr>
          <w:rFonts w:hint="default" w:ascii="Times New Roman" w:hAnsi="Times New Roman" w:eastAsia="仿宋_GB2312" w:cs="Times New Roman"/>
          <w:kern w:val="0"/>
          <w:sz w:val="32"/>
          <w:szCs w:val="32"/>
        </w:rPr>
        <w:t>年第</w:t>
      </w:r>
      <w:r>
        <w:rPr>
          <w:rFonts w:hint="eastAsia" w:ascii="Times New Roman" w:hAnsi="Times New Roman" w:cs="Times New Roman"/>
          <w:kern w:val="0"/>
          <w:sz w:val="32"/>
          <w:szCs w:val="32"/>
          <w:lang w:val="en-US" w:eastAsia="zh-CN"/>
        </w:rPr>
        <w:t>二</w:t>
      </w:r>
      <w:r>
        <w:rPr>
          <w:rFonts w:hint="default" w:ascii="Times New Roman" w:hAnsi="Times New Roman" w:eastAsia="仿宋_GB2312" w:cs="Times New Roman"/>
          <w:kern w:val="0"/>
          <w:sz w:val="32"/>
          <w:szCs w:val="32"/>
        </w:rPr>
        <w:t>季度集中式饮用水源水质监测信息在云南省重要事项公示网上予以公开。</w:t>
      </w:r>
    </w:p>
    <w:p w14:paraId="4E752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rPr>
      </w:pPr>
    </w:p>
    <w:p w14:paraId="40A675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rPr>
      </w:pPr>
    </w:p>
    <w:p w14:paraId="6E5D82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rPr>
      </w:pPr>
    </w:p>
    <w:p w14:paraId="699839C2">
      <w:pPr>
        <w:keepNext w:val="0"/>
        <w:keepLines w:val="0"/>
        <w:pageBreakBefore w:val="0"/>
        <w:widowControl w:val="0"/>
        <w:kinsoku/>
        <w:wordWrap/>
        <w:overflowPunct/>
        <w:topLinePunct w:val="0"/>
        <w:autoSpaceDE/>
        <w:autoSpaceDN/>
        <w:bidi w:val="0"/>
        <w:adjustRightInd/>
        <w:snapToGrid/>
        <w:spacing w:line="560" w:lineRule="exact"/>
        <w:ind w:right="1600" w:rightChars="500" w:firstLine="0" w:firstLineChars="0"/>
        <w:jc w:val="right"/>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20</w:t>
      </w:r>
      <w:r>
        <w:rPr>
          <w:rFonts w:hint="default" w:ascii="Times New Roman" w:hAnsi="Times New Roman" w:eastAsia="仿宋_GB2312" w:cs="Times New Roman"/>
          <w:kern w:val="2"/>
          <w:sz w:val="32"/>
          <w:szCs w:val="32"/>
          <w:lang w:val="en-US" w:eastAsia="zh-CN"/>
        </w:rPr>
        <w:t>26</w:t>
      </w:r>
      <w:r>
        <w:rPr>
          <w:rFonts w:hint="default" w:ascii="Times New Roman" w:hAnsi="Times New Roman" w:eastAsia="仿宋_GB2312" w:cs="Times New Roman"/>
          <w:kern w:val="2"/>
          <w:sz w:val="32"/>
          <w:szCs w:val="32"/>
          <w:lang w:eastAsia="zh-CN"/>
        </w:rPr>
        <w:t>年</w:t>
      </w:r>
      <w:r>
        <w:rPr>
          <w:rFonts w:hint="eastAsia" w:ascii="Times New Roman" w:hAnsi="Times New Roman" w:cs="Times New Roman"/>
          <w:kern w:val="2"/>
          <w:sz w:val="32"/>
          <w:szCs w:val="32"/>
          <w:lang w:val="en-US" w:eastAsia="zh-CN"/>
        </w:rPr>
        <w:t>6</w:t>
      </w:r>
      <w:r>
        <w:rPr>
          <w:rFonts w:hint="default" w:ascii="Times New Roman" w:hAnsi="Times New Roman" w:eastAsia="仿宋_GB2312" w:cs="Times New Roman"/>
          <w:kern w:val="2"/>
          <w:sz w:val="32"/>
          <w:szCs w:val="32"/>
          <w:lang w:eastAsia="zh-CN"/>
        </w:rPr>
        <w:t>月</w:t>
      </w:r>
      <w:r>
        <w:rPr>
          <w:rFonts w:hint="eastAsia" w:cs="Times New Roman"/>
          <w:kern w:val="2"/>
          <w:sz w:val="32"/>
          <w:szCs w:val="32"/>
          <w:lang w:val="en-US" w:eastAsia="zh-CN"/>
        </w:rPr>
        <w:t>30</w:t>
      </w:r>
      <w:r>
        <w:rPr>
          <w:rFonts w:hint="default" w:ascii="Times New Roman" w:hAnsi="Times New Roman" w:eastAsia="仿宋_GB2312" w:cs="Times New Roman"/>
          <w:kern w:val="2"/>
          <w:sz w:val="32"/>
          <w:szCs w:val="32"/>
          <w:lang w:eastAsia="zh-CN"/>
        </w:rPr>
        <w:t>日</w:t>
      </w:r>
    </w:p>
    <w:p w14:paraId="3263DB05">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87BDD0F">
      <w:pPr>
        <w:keepNext w:val="0"/>
        <w:keepLines w:val="0"/>
        <w:pageBreakBefore w:val="0"/>
        <w:widowControl w:val="0"/>
        <w:kinsoku/>
        <w:wordWrap/>
        <w:overflowPunct/>
        <w:topLinePunct w:val="0"/>
        <w:autoSpaceDE/>
        <w:autoSpaceDN/>
        <w:bidi w:val="0"/>
        <w:adjustRightInd/>
        <w:snapToGrid/>
        <w:spacing w:before="0" w:after="0" w:line="560" w:lineRule="exact"/>
        <w:ind w:right="1600" w:rightChars="500" w:firstLine="0" w:firstLineChars="0"/>
        <w:jc w:val="right"/>
        <w:textAlignment w:val="auto"/>
        <w:rPr>
          <w:rFonts w:hint="default" w:ascii="Times New Roman" w:hAnsi="Times New Roman" w:eastAsia="仿宋_GB2312" w:cs="Times New Roman"/>
          <w:sz w:val="32"/>
          <w:szCs w:val="32"/>
          <w:lang w:val="en-US" w:eastAsia="zh-CN"/>
        </w:rPr>
      </w:pPr>
    </w:p>
    <w:bookmarkEnd w:id="0"/>
    <w:tbl>
      <w:tblPr>
        <w:tblStyle w:val="6"/>
        <w:tblpPr w:leftFromText="180" w:rightFromText="180" w:vertAnchor="page" w:horzAnchor="page" w:tblpX="1556" w:tblpY="14185"/>
        <w:tblOverlap w:val="never"/>
        <w:tblW w:w="8845" w:type="dxa"/>
        <w:tblInd w:w="0" w:type="dxa"/>
        <w:tblBorders>
          <w:top w:val="single" w:color="auto" w:sz="8" w:space="0"/>
          <w:left w:val="none" w:color="auto" w:sz="0" w:space="0"/>
          <w:bottom w:val="single" w:color="auto" w:sz="8" w:space="0"/>
          <w:right w:val="none" w:color="auto" w:sz="0" w:space="0"/>
          <w:insideH w:val="none" w:color="auto" w:sz="4" w:space="0"/>
          <w:insideV w:val="none" w:color="auto" w:sz="4" w:space="0"/>
        </w:tblBorders>
        <w:tblLayout w:type="fixed"/>
        <w:tblCellMar>
          <w:top w:w="0" w:type="dxa"/>
          <w:left w:w="108" w:type="dxa"/>
          <w:bottom w:w="0" w:type="dxa"/>
          <w:right w:w="108" w:type="dxa"/>
        </w:tblCellMar>
      </w:tblPr>
      <w:tblGrid>
        <w:gridCol w:w="8845"/>
      </w:tblGrid>
      <w:tr w14:paraId="7BE49CDB">
        <w:tblPrEx>
          <w:tblBorders>
            <w:top w:val="single" w:color="auto" w:sz="8" w:space="0"/>
            <w:left w:val="none" w:color="auto" w:sz="0" w:space="0"/>
            <w:bottom w:val="single" w:color="auto" w:sz="8" w:space="0"/>
            <w:right w:val="none" w:color="auto" w:sz="0" w:space="0"/>
            <w:insideH w:val="none" w:color="auto" w:sz="4" w:space="0"/>
            <w:insideV w:val="none" w:color="auto" w:sz="4" w:space="0"/>
          </w:tblBorders>
          <w:tblCellMar>
            <w:top w:w="0" w:type="dxa"/>
            <w:left w:w="108" w:type="dxa"/>
            <w:bottom w:w="0" w:type="dxa"/>
            <w:right w:w="108" w:type="dxa"/>
          </w:tblCellMar>
        </w:tblPrEx>
        <w:tc>
          <w:tcPr>
            <w:tcW w:w="8845" w:type="dxa"/>
            <w:noWrap w:val="0"/>
            <w:tcMar>
              <w:left w:w="0" w:type="dxa"/>
              <w:right w:w="0" w:type="dxa"/>
            </w:tcMar>
            <w:vAlign w:val="center"/>
          </w:tcPr>
          <w:p w14:paraId="0074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320" w:leftChars="100" w:right="320" w:rightChars="100" w:firstLine="0" w:firstLineChars="0"/>
              <w:jc w:val="distribute"/>
              <w:textAlignment w:val="auto"/>
              <w:outlineLvl w:val="9"/>
              <w:rPr>
                <w:rFonts w:hint="default" w:ascii="Times New Roman" w:hAnsi="Times New Roman" w:eastAsia="仿宋_GB2312" w:cs="Times New Roman"/>
                <w:b w:val="0"/>
                <w:i w:val="0"/>
                <w:snapToGrid/>
                <w:spacing w:val="0"/>
                <w:w w:val="100"/>
                <w:sz w:val="28"/>
                <w:szCs w:val="32"/>
                <w:u w:val="none"/>
                <w:vertAlign w:val="baseline"/>
                <w:lang w:val="en-US" w:eastAsia="zh-CN"/>
              </w:rPr>
            </w:pPr>
            <w:r>
              <w:rPr>
                <w:rFonts w:hint="default" w:ascii="Times New Roman" w:hAnsi="Times New Roman" w:eastAsia="仿宋_GB2312" w:cs="Times New Roman"/>
                <w:b w:val="0"/>
                <w:i w:val="0"/>
                <w:snapToGrid/>
                <w:spacing w:val="0"/>
                <w:w w:val="100"/>
                <w:sz w:val="28"/>
                <w:szCs w:val="32"/>
                <w:u w:val="none"/>
                <w:vertAlign w:val="baseline"/>
                <w:lang w:val="en-US" w:eastAsia="zh-CN"/>
              </w:rPr>
              <w:t>昆明市生态环境局东川分局　　　　　　　202</w:t>
            </w:r>
            <w:r>
              <w:rPr>
                <w:rFonts w:hint="eastAsia" w:cs="Times New Roman"/>
                <w:b w:val="0"/>
                <w:i w:val="0"/>
                <w:snapToGrid/>
                <w:spacing w:val="0"/>
                <w:w w:val="100"/>
                <w:sz w:val="28"/>
                <w:szCs w:val="32"/>
                <w:u w:val="none"/>
                <w:vertAlign w:val="baseline"/>
                <w:lang w:val="en-US" w:eastAsia="zh-CN"/>
              </w:rPr>
              <w:t>6</w:t>
            </w:r>
            <w:r>
              <w:rPr>
                <w:rFonts w:hint="default" w:ascii="Times New Roman" w:hAnsi="Times New Roman" w:eastAsia="仿宋_GB2312" w:cs="Times New Roman"/>
                <w:b w:val="0"/>
                <w:i w:val="0"/>
                <w:snapToGrid/>
                <w:spacing w:val="0"/>
                <w:w w:val="100"/>
                <w:sz w:val="28"/>
                <w:szCs w:val="32"/>
                <w:u w:val="none"/>
                <w:vertAlign w:val="baseline"/>
                <w:lang w:val="en-US" w:eastAsia="zh-CN"/>
              </w:rPr>
              <w:t>年</w:t>
            </w:r>
            <w:r>
              <w:rPr>
                <w:rFonts w:hint="eastAsia" w:cs="Times New Roman"/>
                <w:b w:val="0"/>
                <w:i w:val="0"/>
                <w:snapToGrid/>
                <w:spacing w:val="0"/>
                <w:w w:val="100"/>
                <w:sz w:val="28"/>
                <w:szCs w:val="32"/>
                <w:u w:val="none"/>
                <w:vertAlign w:val="baseline"/>
                <w:lang w:val="en-US" w:eastAsia="zh-CN"/>
              </w:rPr>
              <w:t>6</w:t>
            </w:r>
            <w:r>
              <w:rPr>
                <w:rFonts w:hint="default" w:ascii="Times New Roman" w:hAnsi="Times New Roman" w:eastAsia="仿宋_GB2312" w:cs="Times New Roman"/>
                <w:b w:val="0"/>
                <w:i w:val="0"/>
                <w:snapToGrid/>
                <w:spacing w:val="0"/>
                <w:w w:val="100"/>
                <w:sz w:val="28"/>
                <w:szCs w:val="32"/>
                <w:u w:val="none"/>
                <w:vertAlign w:val="baseline"/>
                <w:lang w:val="en-US" w:eastAsia="zh-CN"/>
              </w:rPr>
              <w:t>月</w:t>
            </w:r>
            <w:r>
              <w:rPr>
                <w:rFonts w:hint="eastAsia" w:cs="Times New Roman"/>
                <w:b w:val="0"/>
                <w:i w:val="0"/>
                <w:snapToGrid/>
                <w:spacing w:val="0"/>
                <w:w w:val="100"/>
                <w:sz w:val="28"/>
                <w:szCs w:val="32"/>
                <w:u w:val="none"/>
                <w:vertAlign w:val="baseline"/>
                <w:lang w:val="en-US" w:eastAsia="zh-CN"/>
              </w:rPr>
              <w:t>30</w:t>
            </w:r>
            <w:r>
              <w:rPr>
                <w:rFonts w:hint="default" w:ascii="Times New Roman" w:hAnsi="Times New Roman" w:eastAsia="仿宋_GB2312" w:cs="Times New Roman"/>
                <w:b w:val="0"/>
                <w:i w:val="0"/>
                <w:snapToGrid/>
                <w:spacing w:val="0"/>
                <w:w w:val="100"/>
                <w:sz w:val="28"/>
                <w:szCs w:val="32"/>
                <w:u w:val="none"/>
                <w:vertAlign w:val="baseline"/>
                <w:lang w:val="en-US" w:eastAsia="zh-CN"/>
              </w:rPr>
              <w:t>日印发</w:t>
            </w:r>
          </w:p>
        </w:tc>
      </w:tr>
    </w:tbl>
    <w:p w14:paraId="3F7C3AF6">
      <w:bookmarkStart w:id="1" w:name="_GoBack"/>
      <w:bookmarkEnd w:id="1"/>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919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4158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24158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F4921"/>
    <w:rsid w:val="29786199"/>
    <w:rsid w:val="337D0D20"/>
    <w:rsid w:val="37E06EC6"/>
    <w:rsid w:val="3904749E"/>
    <w:rsid w:val="582E4EB2"/>
    <w:rsid w:val="5B5F4921"/>
    <w:rsid w:val="7699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695</Words>
  <Characters>779</Characters>
  <Lines>0</Lines>
  <Paragraphs>0</Paragraphs>
  <TotalTime>4</TotalTime>
  <ScaleCrop>false</ScaleCrop>
  <LinksUpToDate>false</LinksUpToDate>
  <CharactersWithSpaces>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2026-06-05T07:01:00Z</dcterms:created>
  <dc:creator>张衡</dc:creator>
  <cp:lastModifiedBy>赵雪伶</cp:lastModifiedBy>
  <cp:lastPrinted>2026-06-30T00:16:12Z</cp:lastPrinted>
  <dcterms:modified xsi:type="dcterms:W3CDTF">2026-06-30T00:16:18Z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587362ECF01E4847B7F18B0FFC55FC1A_13</vt:lpwstr>
  </property>
  <property fmtid="{D5CDD505-2E9C-101B-9397-08002B2CF9AE}" pid="4" name="KSOTemplateDocerSaveRecord">
    <vt:lpwstr>eyJoZGlkIjoiZjVkZTA4N2RjNTNiMWQ3OWIyNTYxMGU0MjczNTczMzciLCJ1c2VySWQiOiIxNTMwMzk5NjUzIn0=</vt:lpwstr>
  </property>
</Properties>
</file>