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9E3292">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舍块乡万只优质生态羊养殖项目</w:t>
      </w:r>
    </w:p>
    <w:p w14:paraId="5C13E99B">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支出绩效评价报告</w:t>
      </w:r>
    </w:p>
    <w:p w14:paraId="6458F4D4">
      <w:pPr>
        <w:spacing w:line="560" w:lineRule="exact"/>
        <w:ind w:firstLine="640" w:firstLineChars="200"/>
        <w:rPr>
          <w:rFonts w:hint="default" w:ascii="Times New Roman" w:hAnsi="Times New Roman" w:eastAsia="仿宋_GB2312" w:cs="Times New Roman"/>
          <w:sz w:val="32"/>
          <w:szCs w:val="32"/>
        </w:rPr>
      </w:pPr>
    </w:p>
    <w:p w14:paraId="15AEB574">
      <w:pPr>
        <w:spacing w:line="560" w:lineRule="exact"/>
        <w:ind w:firstLine="640" w:firstLineChars="200"/>
        <w:rPr>
          <w:rFonts w:hint="default" w:ascii="Times New Roman" w:hAnsi="Times New Roman" w:cs="Times New Roman"/>
        </w:rPr>
      </w:pPr>
      <w:r>
        <w:rPr>
          <w:rFonts w:hint="default" w:ascii="Times New Roman" w:hAnsi="Times New Roman" w:eastAsia="仿宋_GB2312" w:cs="Times New Roman"/>
          <w:sz w:val="32"/>
          <w:szCs w:val="32"/>
        </w:rPr>
        <w:t>为确保舍块乡万只生态羊养殖项目顺利推进开展，特别是为全力打赢脱贫攻坚工作提供保障，更好的巩固和提升脱贫攻坚脱贫成效，根据《中华人民共和国预算法》等有关规定，按照《昆明市东川区财政局关于编制东川区2020—2022年部门中期财政规划和2020年部门预算的通知》（东财预〔2019〕15号）和昆明市东川区发展和改革局关于《舍块乡人民政府关于批准万只优质生态羊养殖项目可行性研究报告的请示》的批复，有关精神和要求，舍块乡对2019年万只优质生态羊养殖基础设施建设项目支出绩效进行自评，现有有关情况汇报如下：</w:t>
      </w:r>
    </w:p>
    <w:p w14:paraId="6F6911F4">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一、项目基本情况</w:t>
      </w:r>
    </w:p>
    <w:p w14:paraId="6CAFBD81">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1.立项背景及目的</w:t>
      </w:r>
    </w:p>
    <w:p w14:paraId="3A58EC87">
      <w:pPr>
        <w:spacing w:line="56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1.1立项背景</w:t>
      </w:r>
    </w:p>
    <w:p w14:paraId="51C082E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国务院扶贫开发领导小组会议审定，近日农业部、国家发展改革委、财政部、中国人民银行、国家林业局、国家旅游局、银监会、保监会、国务院扶贫办联合印发《贫困地区发展特色产业促进精准脱贫指导意见》（以下简称《意见》）。《意见》指出，发展特色产业是提高贫困地区自我发展能力的根本举措。产业扶贫涉及对象最广、涵盖面最大，易地搬迁脱贫、生态保护脱贫、发展教育脱贫都需要通过发展产业实现长期稳定就业增收。当前贫困地区特色产业发展总体水平不高，资源优势尚未有效转化为产业优势、经济优势，成为农村贫困人口增收脱贫的瓶颈。做好产业扶贫工作是党中央</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国务院赋予我们的光荣职责和神圣使命，对于贯彻落实中央扶贫开发工作的重大部署、全面建成小康社会</w:t>
      </w:r>
      <w:bookmarkStart w:id="134" w:name="_GoBack"/>
      <w:bookmarkEnd w:id="134"/>
      <w:r>
        <w:rPr>
          <w:rFonts w:hint="default" w:ascii="Times New Roman" w:hAnsi="Times New Roman" w:eastAsia="仿宋_GB2312" w:cs="Times New Roman"/>
          <w:sz w:val="32"/>
          <w:szCs w:val="32"/>
        </w:rPr>
        <w:t>具有重大的现实意义。《意见》强调，要以创新、协调、绿色、开放、共享的发展理念为引领，切实按照中央脱贫攻坚的战略部署和精准扶贫、精准脱贫的基本方略，紧紧围绕建档立卡贫困人口增收脱贫，发挥新型经营主体和龙头企业带动作用，整合财政涉农资金，加大金融支持力度，加快培育一批能带动贫困户长期稳定增收的特色优势产业。要坚持聚力到户、受益精准，因地制宜、产业精准，科学设计、项目精准，保护生态、绿色发展，帮贫脱贫、联动联考。力争到 2020 年，贫困县扶持建设一批贫困人口参与度高的特色产业基地，建成一批对贫困户脱贫带动能力强的特色产品加工、服务基地，初步形成特色产业体系；贫困乡镇、贫困村特色产业突出，特色产业增加值显著提升；贫困户掌握 1-2 项实用技术，自我发展能力明显增强。《意见》明确，重点从八个方面推进产业扶贫。一是科学确定特色产业。科学分析贫困县资源禀赋、产业现状、市场空间、环境容量、新型主体带动能力和产业覆盖面，选准适合自身发展的特色产业。二是促进一二三产业融合发展。积极发展特色产品加工，拓展产业多种功能，大力发展休闲农业、乡村旅游和森林旅游休闲康养，拓宽贫困户就业增收渠道。三是发挥新型经营主体带动作用。支持新型经营主体在贫困地区发展特色产业，与贫困户建立稳定带动关系，向贫困户提供全产业链服务，提高产业增值能力和吸纳贫困劳动力就业能力。</w:t>
      </w:r>
    </w:p>
    <w:p w14:paraId="5DE534EE">
      <w:pPr>
        <w:spacing w:line="56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1.2立项的目的</w:t>
      </w:r>
    </w:p>
    <w:p w14:paraId="05BF148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舍块乡在实施精准扶贫、精准脱贫、全面同步建设小康社会过程中，面临欠发达、欠开放的现实，富集的畜类品种资源未得到有效的开发利用，畜类高效养殖技术瓶颈尚未完全突破，严重制约了舍块乡生态畜牧业的发展。推进我乡扶贫工作由“输血式”扶贫变为“造血式”扶贫，促进舍块乡生态羊产业的持续、健康、稳定发展，创新了新阶段东川试验区山地生态畜牧业建设和产业扶贫模式，形成以山地、生态、精品为特色的现代高效农业，达到了聚人才、集经验、出效益产业扶贫的目的。</w:t>
      </w:r>
    </w:p>
    <w:p w14:paraId="248D4795">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贫困地区农民增收和巩固脱贫成果的需要。全乡 8 个村均为省级建档立卡贫困村，其中 6 个为深度贫困村（除九龙村和茂麓村）。全乡共有 2526 户，8475 人，其中建档立卡贫困户 1153 户4844 人。2018 年已脱贫 1124 户4756 人，未脱贫 29 户 88 人，贫困发生率 1.05％，2019年顺利通过国家脱贫攻坚检查，已脱贫出列。舍块乡是深度贫困县内的深度贫困地区，是东川脱贫攻坚真正的“硬骨头”。产业发展是确保贫困户有相对稳定收入的重要渠道，也是巩固脱贫成果提升脱贫质量的关键所在。舍块乡肉羊养殖以农业产业龙头企业为引领，充分考虑产业的关联度和互补性，集中优势资源进行突破，横向加大产业基地、项目资金整合，纵向加大生产、加工、销售等链条对接，形成综合示范效应，通过培育产业大户，推动产业发展示范，推行“（合作社或大户）+村党支部+建档立卡贫困户+保险”等发展模式，提升产业发展组织化程度，助推全乡脱贫和巩固脱贫成果。</w:t>
      </w:r>
    </w:p>
    <w:p w14:paraId="0D1D30F6">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2.项目实施情况。</w:t>
      </w:r>
    </w:p>
    <w:p w14:paraId="74E5274A">
      <w:pPr>
        <w:spacing w:line="560" w:lineRule="exact"/>
        <w:rPr>
          <w:rFonts w:hint="default" w:ascii="Times New Roman" w:hAnsi="Times New Roman" w:cs="Times New Roman"/>
        </w:rPr>
      </w:pPr>
      <w:r>
        <w:rPr>
          <w:rFonts w:hint="default" w:ascii="Times New Roman" w:hAnsi="Times New Roman" w:eastAsia="仿宋_GB2312" w:cs="Times New Roman"/>
          <w:sz w:val="32"/>
          <w:szCs w:val="32"/>
        </w:rPr>
        <w:t>昆明市东川区舍块乡万只优质生态羊养殖基础设施建设项目总投入1718.00万元，为确保项目有序开展，昆明市东川区舍块乡人民政府项目类经费拨付给承办单位，项目实施情况如下：</w:t>
      </w:r>
    </w:p>
    <w:tbl>
      <w:tblPr>
        <w:tblStyle w:val="10"/>
        <w:tblW w:w="8938" w:type="dxa"/>
        <w:jc w:val="center"/>
        <w:tblLayout w:type="fixed"/>
        <w:tblCellMar>
          <w:top w:w="15" w:type="dxa"/>
          <w:left w:w="15" w:type="dxa"/>
          <w:bottom w:w="15" w:type="dxa"/>
          <w:right w:w="15" w:type="dxa"/>
        </w:tblCellMar>
      </w:tblPr>
      <w:tblGrid>
        <w:gridCol w:w="1019"/>
        <w:gridCol w:w="1770"/>
        <w:gridCol w:w="6149"/>
      </w:tblGrid>
      <w:tr w14:paraId="33B9CC68">
        <w:tblPrEx>
          <w:tblCellMar>
            <w:top w:w="15" w:type="dxa"/>
            <w:left w:w="15" w:type="dxa"/>
            <w:bottom w:w="15" w:type="dxa"/>
            <w:right w:w="15" w:type="dxa"/>
          </w:tblCellMar>
        </w:tblPrEx>
        <w:trPr>
          <w:trHeight w:val="285" w:hRule="atLeast"/>
          <w:jc w:val="center"/>
        </w:trPr>
        <w:tc>
          <w:tcPr>
            <w:tcW w:w="2789" w:type="dxa"/>
            <w:gridSpan w:val="2"/>
            <w:tcBorders>
              <w:top w:val="single" w:color="000000" w:sz="4" w:space="0"/>
              <w:left w:val="single" w:color="000000" w:sz="4" w:space="0"/>
              <w:bottom w:val="single" w:color="000000" w:sz="4" w:space="0"/>
              <w:right w:val="single" w:color="000000" w:sz="4" w:space="0"/>
            </w:tcBorders>
            <w:noWrap w:val="0"/>
            <w:vAlign w:val="center"/>
          </w:tcPr>
          <w:p w14:paraId="0B459680">
            <w:pPr>
              <w:widowControl/>
              <w:spacing w:line="560" w:lineRule="exact"/>
              <w:jc w:val="left"/>
              <w:textAlignment w:val="center"/>
              <w:rPr>
                <w:rFonts w:hint="default" w:ascii="Times New Roman" w:hAnsi="Times New Roman" w:cs="Times New Roman"/>
                <w:b/>
                <w:color w:val="000000"/>
                <w:sz w:val="24"/>
              </w:rPr>
            </w:pPr>
            <w:r>
              <w:rPr>
                <w:rFonts w:hint="default" w:ascii="Times New Roman" w:hAnsi="Times New Roman" w:eastAsia="仿宋_GB2312" w:cs="Times New Roman"/>
                <w:b/>
                <w:color w:val="000000"/>
                <w:kern w:val="0"/>
                <w:sz w:val="24"/>
                <w:lang w:bidi="ar"/>
              </w:rPr>
              <w:t xml:space="preserve">  项目名称</w:t>
            </w:r>
          </w:p>
        </w:tc>
        <w:tc>
          <w:tcPr>
            <w:tcW w:w="6149" w:type="dxa"/>
            <w:tcBorders>
              <w:top w:val="single" w:color="000000" w:sz="4" w:space="0"/>
              <w:left w:val="single" w:color="000000" w:sz="4" w:space="0"/>
              <w:bottom w:val="single" w:color="000000" w:sz="4" w:space="0"/>
              <w:right w:val="single" w:color="000000" w:sz="4" w:space="0"/>
            </w:tcBorders>
            <w:noWrap w:val="0"/>
            <w:vAlign w:val="center"/>
          </w:tcPr>
          <w:p w14:paraId="604B9AB1">
            <w:pPr>
              <w:widowControl/>
              <w:spacing w:line="560" w:lineRule="exact"/>
              <w:jc w:val="left"/>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万只优质生态羊养殖项目</w:t>
            </w:r>
          </w:p>
        </w:tc>
      </w:tr>
      <w:tr w14:paraId="7A86C83A">
        <w:tblPrEx>
          <w:tblCellMar>
            <w:top w:w="15" w:type="dxa"/>
            <w:left w:w="15" w:type="dxa"/>
            <w:bottom w:w="15" w:type="dxa"/>
            <w:right w:w="15" w:type="dxa"/>
          </w:tblCellMar>
        </w:tblPrEx>
        <w:trPr>
          <w:trHeight w:val="285" w:hRule="atLeast"/>
          <w:jc w:val="center"/>
        </w:trPr>
        <w:tc>
          <w:tcPr>
            <w:tcW w:w="1019" w:type="dxa"/>
            <w:vMerge w:val="restart"/>
            <w:tcBorders>
              <w:top w:val="single" w:color="000000" w:sz="4" w:space="0"/>
              <w:left w:val="single" w:color="000000" w:sz="4" w:space="0"/>
              <w:bottom w:val="single" w:color="000000" w:sz="4" w:space="0"/>
              <w:right w:val="single" w:color="000000" w:sz="4" w:space="0"/>
            </w:tcBorders>
            <w:noWrap w:val="0"/>
            <w:vAlign w:val="center"/>
          </w:tcPr>
          <w:p w14:paraId="07E16E85">
            <w:pPr>
              <w:widowControl/>
              <w:spacing w:line="560" w:lineRule="exact"/>
              <w:jc w:val="center"/>
              <w:textAlignment w:val="center"/>
              <w:rPr>
                <w:rFonts w:hint="default" w:ascii="Times New Roman" w:hAnsi="Times New Roman" w:cs="Times New Roman"/>
                <w:b/>
                <w:color w:val="000000"/>
                <w:sz w:val="24"/>
              </w:rPr>
            </w:pPr>
            <w:r>
              <w:rPr>
                <w:rFonts w:hint="default" w:ascii="Times New Roman" w:hAnsi="Times New Roman" w:eastAsia="仿宋_GB2312" w:cs="Times New Roman"/>
                <w:b/>
                <w:color w:val="000000"/>
                <w:kern w:val="0"/>
                <w:sz w:val="24"/>
                <w:lang w:bidi="ar"/>
              </w:rPr>
              <w:t>项目选址</w:t>
            </w:r>
          </w:p>
        </w:tc>
        <w:tc>
          <w:tcPr>
            <w:tcW w:w="1770" w:type="dxa"/>
            <w:tcBorders>
              <w:top w:val="single" w:color="000000" w:sz="4" w:space="0"/>
              <w:left w:val="single" w:color="000000" w:sz="4" w:space="0"/>
              <w:bottom w:val="single" w:color="000000" w:sz="4" w:space="0"/>
              <w:right w:val="single" w:color="000000" w:sz="4" w:space="0"/>
            </w:tcBorders>
            <w:noWrap w:val="0"/>
            <w:vAlign w:val="center"/>
          </w:tcPr>
          <w:p w14:paraId="709C63A1">
            <w:pPr>
              <w:widowControl/>
              <w:spacing w:line="560" w:lineRule="exact"/>
              <w:jc w:val="center"/>
              <w:textAlignment w:val="center"/>
              <w:rPr>
                <w:rFonts w:hint="default" w:ascii="Times New Roman" w:hAnsi="Times New Roman" w:cs="Times New Roman"/>
                <w:b/>
                <w:color w:val="000000"/>
                <w:sz w:val="24"/>
              </w:rPr>
            </w:pPr>
            <w:r>
              <w:rPr>
                <w:rFonts w:hint="default" w:ascii="Times New Roman" w:hAnsi="Times New Roman" w:eastAsia="仿宋_GB2312" w:cs="Times New Roman"/>
                <w:b/>
                <w:color w:val="000000"/>
                <w:kern w:val="0"/>
                <w:sz w:val="24"/>
                <w:lang w:bidi="ar"/>
              </w:rPr>
              <w:t>选址地点</w:t>
            </w:r>
          </w:p>
        </w:tc>
        <w:tc>
          <w:tcPr>
            <w:tcW w:w="6149" w:type="dxa"/>
            <w:tcBorders>
              <w:top w:val="single" w:color="000000" w:sz="4" w:space="0"/>
              <w:left w:val="single" w:color="000000" w:sz="4" w:space="0"/>
              <w:bottom w:val="single" w:color="000000" w:sz="4" w:space="0"/>
              <w:right w:val="single" w:color="000000" w:sz="4" w:space="0"/>
            </w:tcBorders>
            <w:noWrap w:val="0"/>
            <w:vAlign w:val="center"/>
          </w:tcPr>
          <w:p w14:paraId="7715D1A6">
            <w:pPr>
              <w:widowControl/>
              <w:spacing w:line="560" w:lineRule="exact"/>
              <w:jc w:val="left"/>
              <w:textAlignment w:val="center"/>
              <w:rPr>
                <w:rFonts w:hint="default" w:ascii="Times New Roman" w:hAnsi="Times New Roman" w:cs="Times New Roman"/>
                <w:color w:val="000000"/>
                <w:sz w:val="24"/>
              </w:rPr>
            </w:pPr>
            <w:r>
              <w:rPr>
                <w:rFonts w:hint="default" w:ascii="Times New Roman" w:hAnsi="Times New Roman" w:eastAsia="仿宋_GB2312" w:cs="Times New Roman"/>
                <w:color w:val="000000"/>
                <w:kern w:val="0"/>
                <w:sz w:val="24"/>
                <w:lang w:bidi="ar"/>
              </w:rPr>
              <w:t>东川区舍块乡云坪村大马槽小组</w:t>
            </w:r>
          </w:p>
        </w:tc>
      </w:tr>
      <w:tr w14:paraId="30A78D8C">
        <w:tblPrEx>
          <w:tblCellMar>
            <w:top w:w="15" w:type="dxa"/>
            <w:left w:w="15" w:type="dxa"/>
            <w:bottom w:w="15" w:type="dxa"/>
            <w:right w:w="15" w:type="dxa"/>
          </w:tblCellMar>
        </w:tblPrEx>
        <w:trPr>
          <w:trHeight w:val="810" w:hRule="atLeast"/>
          <w:jc w:val="center"/>
        </w:trPr>
        <w:tc>
          <w:tcPr>
            <w:tcW w:w="10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5C894E">
            <w:pPr>
              <w:spacing w:line="560" w:lineRule="exact"/>
              <w:jc w:val="center"/>
              <w:rPr>
                <w:rFonts w:hint="default" w:ascii="Times New Roman" w:hAnsi="Times New Roman" w:cs="Times New Roman"/>
                <w:b/>
                <w:color w:val="000000"/>
                <w:sz w:val="24"/>
              </w:rPr>
            </w:pPr>
          </w:p>
        </w:tc>
        <w:tc>
          <w:tcPr>
            <w:tcW w:w="1770" w:type="dxa"/>
            <w:tcBorders>
              <w:top w:val="single" w:color="000000" w:sz="4" w:space="0"/>
              <w:left w:val="single" w:color="000000" w:sz="4" w:space="0"/>
              <w:bottom w:val="single" w:color="000000" w:sz="4" w:space="0"/>
              <w:right w:val="single" w:color="000000" w:sz="4" w:space="0"/>
            </w:tcBorders>
            <w:noWrap w:val="0"/>
            <w:vAlign w:val="center"/>
          </w:tcPr>
          <w:p w14:paraId="425BA55C">
            <w:pPr>
              <w:widowControl/>
              <w:spacing w:line="560" w:lineRule="exact"/>
              <w:jc w:val="center"/>
              <w:textAlignment w:val="center"/>
              <w:rPr>
                <w:rFonts w:hint="default" w:ascii="Times New Roman" w:hAnsi="Times New Roman" w:cs="Times New Roman"/>
                <w:b/>
                <w:color w:val="000000"/>
                <w:sz w:val="24"/>
              </w:rPr>
            </w:pPr>
            <w:r>
              <w:rPr>
                <w:rFonts w:hint="default" w:ascii="Times New Roman" w:hAnsi="Times New Roman" w:eastAsia="仿宋_GB2312" w:cs="Times New Roman"/>
                <w:b/>
                <w:color w:val="000000"/>
                <w:kern w:val="0"/>
                <w:sz w:val="24"/>
                <w:lang w:bidi="ar"/>
              </w:rPr>
              <w:t>选址原则</w:t>
            </w:r>
          </w:p>
        </w:tc>
        <w:tc>
          <w:tcPr>
            <w:tcW w:w="6149" w:type="dxa"/>
            <w:tcBorders>
              <w:top w:val="single" w:color="000000" w:sz="4" w:space="0"/>
              <w:left w:val="single" w:color="000000" w:sz="4" w:space="0"/>
              <w:bottom w:val="single" w:color="000000" w:sz="4" w:space="0"/>
              <w:right w:val="single" w:color="000000" w:sz="4" w:space="0"/>
            </w:tcBorders>
            <w:noWrap w:val="0"/>
            <w:vAlign w:val="center"/>
          </w:tcPr>
          <w:p w14:paraId="56884CBD">
            <w:pPr>
              <w:widowControl/>
              <w:spacing w:line="560" w:lineRule="exact"/>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1、符合养殖业规划布局的总体要求，建在规定的非禁养区</w:t>
            </w:r>
          </w:p>
          <w:p w14:paraId="1453686D">
            <w:pPr>
              <w:widowControl/>
              <w:spacing w:line="560" w:lineRule="exact"/>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内。2、符合生态环境保护和动物防疫要求。3、符合舍块乡土地利用总体规划和城乡发展规划。4、建在地势平坦、地势干燥、通风向阳、水源充足、水质良好、排污方便、交通便利、供电稳定、无污染、无疫源的地方，处于村庄常年主风向的下风向。5、距铁路、县级以上公路、城镇、居民区、学校、医院等公共场所 500 米以上。6、距生活饮用水源地、屠宰场、畜产品加工厂、畜禽交易市场 500 米以上，距离种畜禽场 1000 米以上，距离动物诊疗场所200 米以上，规模养殖场（小区）之间距离不少于 500 米。7、距离动物隔离场所、无害化处理场所 3000 米以上。</w:t>
            </w:r>
          </w:p>
        </w:tc>
      </w:tr>
      <w:tr w14:paraId="331E5863">
        <w:tblPrEx>
          <w:tblCellMar>
            <w:top w:w="15" w:type="dxa"/>
            <w:left w:w="15" w:type="dxa"/>
            <w:bottom w:w="15" w:type="dxa"/>
            <w:right w:w="15" w:type="dxa"/>
          </w:tblCellMar>
        </w:tblPrEx>
        <w:trPr>
          <w:trHeight w:val="285" w:hRule="atLeast"/>
          <w:jc w:val="center"/>
        </w:trPr>
        <w:tc>
          <w:tcPr>
            <w:tcW w:w="2789" w:type="dxa"/>
            <w:gridSpan w:val="2"/>
            <w:tcBorders>
              <w:top w:val="single" w:color="000000" w:sz="4" w:space="0"/>
              <w:left w:val="single" w:color="000000" w:sz="4" w:space="0"/>
              <w:bottom w:val="single" w:color="000000" w:sz="4" w:space="0"/>
              <w:right w:val="single" w:color="000000" w:sz="4" w:space="0"/>
            </w:tcBorders>
            <w:noWrap w:val="0"/>
            <w:vAlign w:val="center"/>
          </w:tcPr>
          <w:p w14:paraId="744A5443">
            <w:pPr>
              <w:widowControl/>
              <w:spacing w:line="560" w:lineRule="exact"/>
              <w:jc w:val="left"/>
              <w:textAlignment w:val="center"/>
              <w:rPr>
                <w:rFonts w:hint="default" w:ascii="Times New Roman" w:hAnsi="Times New Roman" w:cs="Times New Roman"/>
                <w:b/>
                <w:color w:val="000000"/>
                <w:sz w:val="24"/>
              </w:rPr>
            </w:pPr>
            <w:r>
              <w:rPr>
                <w:rFonts w:hint="default" w:ascii="Times New Roman" w:hAnsi="Times New Roman" w:eastAsia="仿宋_GB2312" w:cs="Times New Roman"/>
                <w:b/>
                <w:color w:val="000000"/>
                <w:kern w:val="0"/>
                <w:sz w:val="24"/>
                <w:lang w:bidi="ar"/>
              </w:rPr>
              <w:t xml:space="preserve">  实施单位</w:t>
            </w:r>
          </w:p>
        </w:tc>
        <w:tc>
          <w:tcPr>
            <w:tcW w:w="6149" w:type="dxa"/>
            <w:tcBorders>
              <w:top w:val="single" w:color="000000" w:sz="4" w:space="0"/>
              <w:left w:val="single" w:color="000000" w:sz="4" w:space="0"/>
              <w:bottom w:val="single" w:color="000000" w:sz="4" w:space="0"/>
              <w:right w:val="single" w:color="000000" w:sz="4" w:space="0"/>
            </w:tcBorders>
            <w:noWrap w:val="0"/>
            <w:vAlign w:val="center"/>
          </w:tcPr>
          <w:p w14:paraId="43BA07C1">
            <w:pPr>
              <w:widowControl/>
              <w:spacing w:line="560" w:lineRule="exact"/>
              <w:jc w:val="left"/>
              <w:textAlignment w:val="center"/>
              <w:rPr>
                <w:rFonts w:hint="default" w:ascii="Times New Roman" w:hAnsi="Times New Roman" w:cs="Times New Roman"/>
                <w:color w:val="000000"/>
                <w:sz w:val="24"/>
              </w:rPr>
            </w:pPr>
            <w:r>
              <w:rPr>
                <w:rFonts w:hint="default" w:ascii="Times New Roman" w:hAnsi="Times New Roman" w:eastAsia="仿宋_GB2312" w:cs="Times New Roman"/>
                <w:color w:val="000000"/>
                <w:kern w:val="0"/>
                <w:sz w:val="24"/>
                <w:lang w:bidi="ar"/>
              </w:rPr>
              <w:t>云南瑞丰生态环境建设有限公司</w:t>
            </w:r>
          </w:p>
        </w:tc>
      </w:tr>
      <w:tr w14:paraId="3F62AB23">
        <w:tblPrEx>
          <w:tblCellMar>
            <w:top w:w="15" w:type="dxa"/>
            <w:left w:w="15" w:type="dxa"/>
            <w:bottom w:w="15" w:type="dxa"/>
            <w:right w:w="15" w:type="dxa"/>
          </w:tblCellMar>
        </w:tblPrEx>
        <w:trPr>
          <w:trHeight w:val="285" w:hRule="atLeast"/>
          <w:jc w:val="center"/>
        </w:trPr>
        <w:tc>
          <w:tcPr>
            <w:tcW w:w="1019" w:type="dxa"/>
            <w:vMerge w:val="restart"/>
            <w:tcBorders>
              <w:top w:val="single" w:color="000000" w:sz="4" w:space="0"/>
              <w:left w:val="single" w:color="000000" w:sz="4" w:space="0"/>
              <w:bottom w:val="single" w:color="000000" w:sz="4" w:space="0"/>
              <w:right w:val="single" w:color="000000" w:sz="4" w:space="0"/>
            </w:tcBorders>
            <w:noWrap w:val="0"/>
            <w:vAlign w:val="center"/>
          </w:tcPr>
          <w:p w14:paraId="619D9D3F">
            <w:pPr>
              <w:widowControl/>
              <w:spacing w:line="560" w:lineRule="exact"/>
              <w:jc w:val="center"/>
              <w:textAlignment w:val="center"/>
              <w:rPr>
                <w:rFonts w:hint="default" w:ascii="Times New Roman" w:hAnsi="Times New Roman" w:cs="Times New Roman"/>
                <w:b/>
                <w:color w:val="000000"/>
                <w:sz w:val="24"/>
              </w:rPr>
            </w:pPr>
            <w:r>
              <w:rPr>
                <w:rFonts w:hint="default" w:ascii="Times New Roman" w:hAnsi="Times New Roman" w:eastAsia="仿宋_GB2312" w:cs="Times New Roman"/>
                <w:b/>
                <w:color w:val="000000"/>
                <w:kern w:val="0"/>
                <w:sz w:val="24"/>
                <w:lang w:bidi="ar"/>
              </w:rPr>
              <w:t>项目实施情况</w:t>
            </w:r>
          </w:p>
        </w:tc>
        <w:tc>
          <w:tcPr>
            <w:tcW w:w="1770" w:type="dxa"/>
            <w:tcBorders>
              <w:top w:val="single" w:color="000000" w:sz="4" w:space="0"/>
              <w:left w:val="single" w:color="000000" w:sz="4" w:space="0"/>
              <w:bottom w:val="single" w:color="000000" w:sz="4" w:space="0"/>
              <w:right w:val="single" w:color="000000" w:sz="4" w:space="0"/>
            </w:tcBorders>
            <w:noWrap w:val="0"/>
            <w:vAlign w:val="center"/>
          </w:tcPr>
          <w:p w14:paraId="5C8F939D">
            <w:pPr>
              <w:widowControl/>
              <w:spacing w:line="560" w:lineRule="exact"/>
              <w:jc w:val="center"/>
              <w:textAlignment w:val="center"/>
              <w:rPr>
                <w:rFonts w:hint="default" w:ascii="Times New Roman" w:hAnsi="Times New Roman" w:cs="Times New Roman"/>
                <w:b/>
                <w:color w:val="000000"/>
                <w:sz w:val="24"/>
              </w:rPr>
            </w:pPr>
            <w:r>
              <w:rPr>
                <w:rFonts w:hint="default" w:ascii="Times New Roman" w:hAnsi="Times New Roman" w:eastAsia="仿宋_GB2312" w:cs="Times New Roman"/>
                <w:b/>
                <w:color w:val="000000"/>
                <w:kern w:val="0"/>
                <w:sz w:val="24"/>
                <w:lang w:bidi="ar"/>
              </w:rPr>
              <w:t>开工时间</w:t>
            </w:r>
          </w:p>
        </w:tc>
        <w:tc>
          <w:tcPr>
            <w:tcW w:w="6149" w:type="dxa"/>
            <w:tcBorders>
              <w:top w:val="single" w:color="000000" w:sz="4" w:space="0"/>
              <w:left w:val="single" w:color="000000" w:sz="4" w:space="0"/>
              <w:bottom w:val="single" w:color="000000" w:sz="4" w:space="0"/>
              <w:right w:val="single" w:color="000000" w:sz="4" w:space="0"/>
            </w:tcBorders>
            <w:noWrap w:val="0"/>
            <w:vAlign w:val="center"/>
          </w:tcPr>
          <w:p w14:paraId="109BA58E">
            <w:pPr>
              <w:widowControl/>
              <w:spacing w:line="560" w:lineRule="exact"/>
              <w:jc w:val="left"/>
              <w:textAlignment w:val="center"/>
              <w:rPr>
                <w:rFonts w:hint="default" w:ascii="Times New Roman" w:hAnsi="Times New Roman" w:cs="Times New Roman"/>
                <w:color w:val="000000"/>
                <w:sz w:val="24"/>
              </w:rPr>
            </w:pPr>
            <w:r>
              <w:rPr>
                <w:rFonts w:hint="default" w:ascii="Times New Roman" w:hAnsi="Times New Roman" w:eastAsia="仿宋_GB2312" w:cs="Times New Roman"/>
                <w:color w:val="000000"/>
                <w:kern w:val="0"/>
                <w:sz w:val="24"/>
                <w:lang w:bidi="ar"/>
              </w:rPr>
              <w:t>2019年10月31日</w:t>
            </w:r>
          </w:p>
        </w:tc>
      </w:tr>
      <w:tr w14:paraId="3396027E">
        <w:tblPrEx>
          <w:tblCellMar>
            <w:top w:w="15" w:type="dxa"/>
            <w:left w:w="15" w:type="dxa"/>
            <w:bottom w:w="15" w:type="dxa"/>
            <w:right w:w="15" w:type="dxa"/>
          </w:tblCellMar>
        </w:tblPrEx>
        <w:trPr>
          <w:trHeight w:val="1890" w:hRule="atLeast"/>
          <w:jc w:val="center"/>
        </w:trPr>
        <w:tc>
          <w:tcPr>
            <w:tcW w:w="10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D11F43">
            <w:pPr>
              <w:spacing w:line="560" w:lineRule="exact"/>
              <w:jc w:val="center"/>
              <w:rPr>
                <w:rFonts w:hint="default" w:ascii="Times New Roman" w:hAnsi="Times New Roman" w:cs="Times New Roman"/>
                <w:b/>
                <w:color w:val="000000"/>
                <w:sz w:val="24"/>
              </w:rPr>
            </w:pPr>
          </w:p>
        </w:tc>
        <w:tc>
          <w:tcPr>
            <w:tcW w:w="1770" w:type="dxa"/>
            <w:tcBorders>
              <w:top w:val="single" w:color="000000" w:sz="4" w:space="0"/>
              <w:left w:val="single" w:color="000000" w:sz="4" w:space="0"/>
              <w:bottom w:val="single" w:color="000000" w:sz="4" w:space="0"/>
              <w:right w:val="single" w:color="000000" w:sz="4" w:space="0"/>
            </w:tcBorders>
            <w:noWrap w:val="0"/>
            <w:vAlign w:val="center"/>
          </w:tcPr>
          <w:p w14:paraId="4F4CDF0D">
            <w:pPr>
              <w:widowControl/>
              <w:spacing w:line="560" w:lineRule="exact"/>
              <w:jc w:val="center"/>
              <w:textAlignment w:val="center"/>
              <w:rPr>
                <w:rFonts w:hint="default" w:ascii="Times New Roman" w:hAnsi="Times New Roman" w:cs="Times New Roman"/>
                <w:b/>
                <w:color w:val="000000"/>
                <w:sz w:val="24"/>
              </w:rPr>
            </w:pPr>
            <w:r>
              <w:rPr>
                <w:rFonts w:hint="default" w:ascii="Times New Roman" w:hAnsi="Times New Roman" w:eastAsia="仿宋_GB2312" w:cs="Times New Roman"/>
                <w:b/>
                <w:color w:val="000000"/>
                <w:kern w:val="0"/>
                <w:sz w:val="24"/>
                <w:lang w:bidi="ar"/>
              </w:rPr>
              <w:t>施工资料准备</w:t>
            </w:r>
          </w:p>
        </w:tc>
        <w:tc>
          <w:tcPr>
            <w:tcW w:w="6149" w:type="dxa"/>
            <w:tcBorders>
              <w:top w:val="single" w:color="000000" w:sz="4" w:space="0"/>
              <w:left w:val="single" w:color="000000" w:sz="4" w:space="0"/>
              <w:bottom w:val="single" w:color="000000" w:sz="4" w:space="0"/>
              <w:right w:val="single" w:color="000000" w:sz="4" w:space="0"/>
            </w:tcBorders>
            <w:noWrap w:val="0"/>
            <w:vAlign w:val="center"/>
          </w:tcPr>
          <w:p w14:paraId="632D4954">
            <w:pPr>
              <w:widowControl/>
              <w:spacing w:line="560" w:lineRule="exact"/>
              <w:jc w:val="left"/>
              <w:textAlignment w:val="center"/>
              <w:rPr>
                <w:rFonts w:hint="default" w:ascii="Times New Roman" w:hAnsi="Times New Roman" w:cs="Times New Roman"/>
                <w:color w:val="000000"/>
                <w:sz w:val="24"/>
              </w:rPr>
            </w:pPr>
            <w:r>
              <w:rPr>
                <w:rFonts w:hint="default" w:ascii="Times New Roman" w:hAnsi="Times New Roman" w:eastAsia="仿宋_GB2312" w:cs="Times New Roman"/>
                <w:color w:val="000000"/>
                <w:kern w:val="0"/>
                <w:sz w:val="24"/>
                <w:lang w:bidi="ar"/>
              </w:rPr>
              <w:t>(1)做好调查研究工作，收集需要的各种技术资料，包括现场地形、地质、水文以及现场周围房屋供水、供电、通讯情况，现场地上地下障碍物等资料，了解掌握建材资源，供应及市场行情为施工组织的制定提供可靠的资料和依据。</w:t>
            </w:r>
            <w:r>
              <w:rPr>
                <w:rFonts w:hint="default" w:ascii="Times New Roman" w:hAnsi="Times New Roman" w:eastAsia="仿宋_GB2312" w:cs="Times New Roman"/>
                <w:color w:val="000000"/>
                <w:kern w:val="0"/>
                <w:sz w:val="24"/>
                <w:lang w:bidi="ar"/>
              </w:rPr>
              <w:br w:type="textWrapping"/>
            </w:r>
            <w:r>
              <w:rPr>
                <w:rFonts w:hint="default" w:ascii="Times New Roman" w:hAnsi="Times New Roman" w:eastAsia="仿宋_GB2312" w:cs="Times New Roman"/>
                <w:color w:val="000000"/>
                <w:kern w:val="0"/>
                <w:sz w:val="24"/>
                <w:lang w:bidi="ar"/>
              </w:rPr>
              <w:t>(2)熟悉和掌握施工图纸，审查施工图和资料是否齐全，图纸本身及相互之间有无矛盾和错误，掌握设计内容及技术条件，审查建筑物与地下是否有障碍物。</w:t>
            </w:r>
          </w:p>
        </w:tc>
      </w:tr>
      <w:tr w14:paraId="760F773A">
        <w:tblPrEx>
          <w:tblCellMar>
            <w:top w:w="15" w:type="dxa"/>
            <w:left w:w="15" w:type="dxa"/>
            <w:bottom w:w="15" w:type="dxa"/>
            <w:right w:w="15" w:type="dxa"/>
          </w:tblCellMar>
        </w:tblPrEx>
        <w:trPr>
          <w:trHeight w:val="3780" w:hRule="atLeast"/>
          <w:jc w:val="center"/>
        </w:trPr>
        <w:tc>
          <w:tcPr>
            <w:tcW w:w="10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CCD32C">
            <w:pPr>
              <w:spacing w:line="560" w:lineRule="exact"/>
              <w:jc w:val="center"/>
              <w:rPr>
                <w:rFonts w:hint="default" w:ascii="Times New Roman" w:hAnsi="Times New Roman" w:cs="Times New Roman"/>
                <w:b/>
                <w:color w:val="000000"/>
                <w:sz w:val="24"/>
              </w:rPr>
            </w:pPr>
          </w:p>
        </w:tc>
        <w:tc>
          <w:tcPr>
            <w:tcW w:w="1770" w:type="dxa"/>
            <w:tcBorders>
              <w:top w:val="single" w:color="000000" w:sz="4" w:space="0"/>
              <w:left w:val="single" w:color="000000" w:sz="4" w:space="0"/>
              <w:bottom w:val="single" w:color="000000" w:sz="4" w:space="0"/>
              <w:right w:val="single" w:color="000000" w:sz="4" w:space="0"/>
            </w:tcBorders>
            <w:noWrap w:val="0"/>
            <w:vAlign w:val="center"/>
          </w:tcPr>
          <w:p w14:paraId="782651CA">
            <w:pPr>
              <w:widowControl/>
              <w:spacing w:line="560" w:lineRule="exact"/>
              <w:jc w:val="center"/>
              <w:textAlignment w:val="center"/>
              <w:rPr>
                <w:rFonts w:hint="default" w:ascii="Times New Roman" w:hAnsi="Times New Roman" w:cs="Times New Roman"/>
                <w:b/>
                <w:color w:val="000000"/>
                <w:sz w:val="24"/>
              </w:rPr>
            </w:pPr>
            <w:r>
              <w:rPr>
                <w:rFonts w:hint="default" w:ascii="Times New Roman" w:hAnsi="Times New Roman" w:eastAsia="仿宋_GB2312" w:cs="Times New Roman"/>
                <w:b/>
                <w:color w:val="000000"/>
                <w:kern w:val="0"/>
                <w:sz w:val="24"/>
                <w:lang w:bidi="ar"/>
              </w:rPr>
              <w:t>施工现场准备</w:t>
            </w:r>
          </w:p>
        </w:tc>
        <w:tc>
          <w:tcPr>
            <w:tcW w:w="6149" w:type="dxa"/>
            <w:tcBorders>
              <w:top w:val="single" w:color="000000" w:sz="4" w:space="0"/>
              <w:left w:val="single" w:color="000000" w:sz="4" w:space="0"/>
              <w:bottom w:val="single" w:color="000000" w:sz="4" w:space="0"/>
              <w:right w:val="single" w:color="000000" w:sz="4" w:space="0"/>
            </w:tcBorders>
            <w:noWrap w:val="0"/>
            <w:vAlign w:val="center"/>
          </w:tcPr>
          <w:p w14:paraId="033057EB">
            <w:pPr>
              <w:widowControl/>
              <w:spacing w:line="560" w:lineRule="exact"/>
              <w:jc w:val="left"/>
              <w:textAlignment w:val="center"/>
              <w:rPr>
                <w:rFonts w:hint="default" w:ascii="Times New Roman" w:hAnsi="Times New Roman" w:cs="Times New Roman"/>
                <w:color w:val="000000"/>
                <w:sz w:val="24"/>
              </w:rPr>
            </w:pPr>
            <w:r>
              <w:rPr>
                <w:rFonts w:hint="default" w:ascii="Times New Roman" w:hAnsi="Times New Roman" w:eastAsia="仿宋_GB2312" w:cs="Times New Roman"/>
                <w:color w:val="000000"/>
                <w:kern w:val="0"/>
                <w:sz w:val="24"/>
                <w:lang w:bidi="ar"/>
              </w:rPr>
              <w:t>根据图纸座标，及规划所给的红线做好放线工作，并设置永久性控制桩和标高控制点。</w:t>
            </w:r>
            <w:r>
              <w:rPr>
                <w:rFonts w:hint="default" w:ascii="Times New Roman" w:hAnsi="Times New Roman" w:eastAsia="仿宋_GB2312" w:cs="Times New Roman"/>
                <w:color w:val="000000"/>
                <w:kern w:val="0"/>
                <w:sz w:val="24"/>
                <w:lang w:bidi="ar"/>
              </w:rPr>
              <w:br w:type="textWrapping"/>
            </w:r>
            <w:r>
              <w:rPr>
                <w:rFonts w:hint="default" w:ascii="Times New Roman" w:hAnsi="Times New Roman" w:eastAsia="仿宋_GB2312" w:cs="Times New Roman"/>
                <w:color w:val="000000"/>
                <w:kern w:val="0"/>
                <w:sz w:val="24"/>
                <w:lang w:bidi="ar"/>
              </w:rPr>
              <w:t>(1)临时设施搭设:根据施工现场平面布置图以及临时设施计划搭设。</w:t>
            </w:r>
            <w:r>
              <w:rPr>
                <w:rFonts w:hint="default" w:ascii="Times New Roman" w:hAnsi="Times New Roman" w:eastAsia="仿宋_GB2312" w:cs="Times New Roman"/>
                <w:color w:val="000000"/>
                <w:kern w:val="0"/>
                <w:sz w:val="24"/>
                <w:lang w:bidi="ar"/>
              </w:rPr>
              <w:br w:type="textWrapping"/>
            </w:r>
            <w:r>
              <w:rPr>
                <w:rFonts w:hint="default" w:ascii="Times New Roman" w:hAnsi="Times New Roman" w:eastAsia="仿宋_GB2312" w:cs="Times New Roman"/>
                <w:color w:val="000000"/>
                <w:kern w:val="0"/>
                <w:sz w:val="24"/>
                <w:lang w:bidi="ar"/>
              </w:rPr>
              <w:t>(2)组织设备及材料进场:按计划组织进场。</w:t>
            </w:r>
            <w:r>
              <w:rPr>
                <w:rFonts w:hint="default" w:ascii="Times New Roman" w:hAnsi="Times New Roman" w:eastAsia="仿宋_GB2312" w:cs="Times New Roman"/>
                <w:color w:val="000000"/>
                <w:kern w:val="0"/>
                <w:sz w:val="24"/>
                <w:lang w:bidi="ar"/>
              </w:rPr>
              <w:br w:type="textWrapping"/>
            </w:r>
            <w:r>
              <w:rPr>
                <w:rFonts w:hint="default" w:ascii="Times New Roman" w:hAnsi="Times New Roman" w:eastAsia="仿宋_GB2312" w:cs="Times New Roman"/>
                <w:color w:val="000000"/>
                <w:kern w:val="0"/>
                <w:sz w:val="24"/>
                <w:lang w:bidi="ar"/>
              </w:rPr>
              <w:t>(3)施工用电。现场供电状况，根据JGJ46-88.《施工现场临地用电安全技术规范》要示，为保障施工现场用电合理、安全,防止触电事故发生,特编制工程临时供电方案。</w:t>
            </w:r>
            <w:r>
              <w:rPr>
                <w:rFonts w:hint="default" w:ascii="Times New Roman" w:hAnsi="Times New Roman" w:eastAsia="仿宋_GB2312" w:cs="Times New Roman"/>
                <w:color w:val="000000"/>
                <w:kern w:val="0"/>
                <w:sz w:val="24"/>
                <w:lang w:bidi="ar"/>
              </w:rPr>
              <w:br w:type="textWrapping"/>
            </w:r>
            <w:r>
              <w:rPr>
                <w:rFonts w:hint="default" w:ascii="Times New Roman" w:hAnsi="Times New Roman" w:eastAsia="仿宋_GB2312" w:cs="Times New Roman"/>
                <w:color w:val="000000"/>
                <w:kern w:val="0"/>
                <w:sz w:val="24"/>
                <w:lang w:bidi="ar"/>
              </w:rPr>
              <w:t>(4)施工用水。本工程施工项目多，施工人员多，施工用水及生活用水、消防用水量大，因此，有必要对临时供水编制详细方案，以保证工程顺利进行，临时供水设施应满足施工用水，施工人员用水及现场消防用水的要求。</w:t>
            </w:r>
            <w:r>
              <w:rPr>
                <w:rFonts w:hint="default" w:ascii="Times New Roman" w:hAnsi="Times New Roman" w:eastAsia="仿宋_GB2312" w:cs="Times New Roman"/>
                <w:color w:val="000000"/>
                <w:kern w:val="0"/>
                <w:sz w:val="24"/>
                <w:lang w:bidi="ar"/>
              </w:rPr>
              <w:br w:type="textWrapping"/>
            </w:r>
            <w:r>
              <w:rPr>
                <w:rFonts w:hint="default" w:ascii="Times New Roman" w:hAnsi="Times New Roman" w:eastAsia="仿宋_GB2312" w:cs="Times New Roman"/>
                <w:color w:val="000000"/>
                <w:kern w:val="0"/>
                <w:sz w:val="24"/>
                <w:lang w:bidi="ar"/>
              </w:rPr>
              <w:t>（5）临时用水计划:临时用水计算应包涵三个方面，一是施工期间生活用水，二是随工程进度施工用水，三是施工消防用水</w:t>
            </w:r>
            <w:r>
              <w:rPr>
                <w:rFonts w:hint="default" w:ascii="Times New Roman" w:hAnsi="Times New Roman" w:cs="Times New Roman"/>
                <w:color w:val="000000"/>
                <w:kern w:val="0"/>
                <w:sz w:val="24"/>
                <w:lang w:bidi="ar"/>
              </w:rPr>
              <w:t>。</w:t>
            </w:r>
          </w:p>
        </w:tc>
      </w:tr>
      <w:tr w14:paraId="692653A6">
        <w:tblPrEx>
          <w:tblCellMar>
            <w:top w:w="15" w:type="dxa"/>
            <w:left w:w="15" w:type="dxa"/>
            <w:bottom w:w="15" w:type="dxa"/>
            <w:right w:w="15" w:type="dxa"/>
          </w:tblCellMar>
        </w:tblPrEx>
        <w:trPr>
          <w:trHeight w:val="810" w:hRule="atLeast"/>
          <w:jc w:val="center"/>
        </w:trPr>
        <w:tc>
          <w:tcPr>
            <w:tcW w:w="10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456AFB">
            <w:pPr>
              <w:spacing w:line="560" w:lineRule="exact"/>
              <w:jc w:val="center"/>
              <w:rPr>
                <w:rFonts w:hint="default" w:ascii="Times New Roman" w:hAnsi="Times New Roman" w:cs="Times New Roman"/>
                <w:b/>
                <w:color w:val="000000"/>
                <w:sz w:val="24"/>
              </w:rPr>
            </w:pPr>
          </w:p>
        </w:tc>
        <w:tc>
          <w:tcPr>
            <w:tcW w:w="1770" w:type="dxa"/>
            <w:tcBorders>
              <w:top w:val="single" w:color="000000" w:sz="4" w:space="0"/>
              <w:left w:val="single" w:color="000000" w:sz="4" w:space="0"/>
              <w:bottom w:val="single" w:color="000000" w:sz="4" w:space="0"/>
              <w:right w:val="single" w:color="000000" w:sz="4" w:space="0"/>
            </w:tcBorders>
            <w:noWrap w:val="0"/>
            <w:vAlign w:val="center"/>
          </w:tcPr>
          <w:p w14:paraId="428D0A04">
            <w:pPr>
              <w:widowControl/>
              <w:spacing w:line="560" w:lineRule="exact"/>
              <w:jc w:val="center"/>
              <w:textAlignment w:val="center"/>
              <w:rPr>
                <w:rFonts w:hint="default" w:ascii="Times New Roman" w:hAnsi="Times New Roman" w:cs="Times New Roman"/>
                <w:b/>
                <w:color w:val="000000"/>
                <w:sz w:val="24"/>
              </w:rPr>
            </w:pPr>
            <w:r>
              <w:rPr>
                <w:rFonts w:hint="default" w:ascii="Times New Roman" w:hAnsi="Times New Roman" w:eastAsia="仿宋_GB2312" w:cs="Times New Roman"/>
                <w:b/>
                <w:color w:val="000000"/>
                <w:kern w:val="0"/>
                <w:sz w:val="24"/>
                <w:lang w:bidi="ar"/>
              </w:rPr>
              <w:t>施工工序</w:t>
            </w:r>
          </w:p>
        </w:tc>
        <w:tc>
          <w:tcPr>
            <w:tcW w:w="6149" w:type="dxa"/>
            <w:tcBorders>
              <w:top w:val="single" w:color="000000" w:sz="4" w:space="0"/>
              <w:left w:val="single" w:color="000000" w:sz="4" w:space="0"/>
              <w:bottom w:val="single" w:color="000000" w:sz="4" w:space="0"/>
              <w:right w:val="single" w:color="000000" w:sz="4" w:space="0"/>
            </w:tcBorders>
            <w:noWrap w:val="0"/>
            <w:vAlign w:val="center"/>
          </w:tcPr>
          <w:p w14:paraId="72F4A595">
            <w:pPr>
              <w:widowControl/>
              <w:spacing w:line="560" w:lineRule="exact"/>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2019 年 8 月～2019 年 9 月，完成项目前期（土地、规划、环保等手续；项目立项、可行性研究报告编制，并上报有关部门审批等）工作。2019 年 10 月～2019 年 11 月，完成施工图设计及施工招投标。2019 年 12 月～2020 年 5 月，完成主体工程及室外及附属工程施工。2020 年 6 月底，工程竣工验收及交付使用。</w:t>
            </w:r>
          </w:p>
        </w:tc>
      </w:tr>
      <w:tr w14:paraId="027105FC">
        <w:tblPrEx>
          <w:tblCellMar>
            <w:top w:w="15" w:type="dxa"/>
            <w:left w:w="15" w:type="dxa"/>
            <w:bottom w:w="15" w:type="dxa"/>
            <w:right w:w="15" w:type="dxa"/>
          </w:tblCellMar>
        </w:tblPrEx>
        <w:trPr>
          <w:trHeight w:val="285" w:hRule="atLeast"/>
          <w:jc w:val="center"/>
        </w:trPr>
        <w:tc>
          <w:tcPr>
            <w:tcW w:w="10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DE1598">
            <w:pPr>
              <w:spacing w:line="560" w:lineRule="exact"/>
              <w:jc w:val="center"/>
              <w:rPr>
                <w:rFonts w:hint="default" w:ascii="Times New Roman" w:hAnsi="Times New Roman" w:cs="Times New Roman"/>
                <w:b/>
                <w:color w:val="000000"/>
                <w:sz w:val="24"/>
              </w:rPr>
            </w:pPr>
          </w:p>
        </w:tc>
        <w:tc>
          <w:tcPr>
            <w:tcW w:w="1770" w:type="dxa"/>
            <w:tcBorders>
              <w:top w:val="single" w:color="000000" w:sz="4" w:space="0"/>
              <w:left w:val="single" w:color="000000" w:sz="4" w:space="0"/>
              <w:bottom w:val="single" w:color="000000" w:sz="4" w:space="0"/>
              <w:right w:val="single" w:color="000000" w:sz="4" w:space="0"/>
            </w:tcBorders>
            <w:noWrap w:val="0"/>
            <w:vAlign w:val="center"/>
          </w:tcPr>
          <w:p w14:paraId="07D66AFB">
            <w:pPr>
              <w:widowControl/>
              <w:spacing w:line="560" w:lineRule="exact"/>
              <w:jc w:val="center"/>
              <w:textAlignment w:val="center"/>
              <w:rPr>
                <w:rFonts w:hint="default" w:ascii="Times New Roman" w:hAnsi="Times New Roman" w:cs="Times New Roman"/>
                <w:b/>
                <w:color w:val="000000"/>
                <w:sz w:val="24"/>
              </w:rPr>
            </w:pPr>
            <w:r>
              <w:rPr>
                <w:rFonts w:hint="default" w:ascii="Times New Roman" w:hAnsi="Times New Roman" w:eastAsia="仿宋_GB2312" w:cs="Times New Roman"/>
                <w:b/>
                <w:color w:val="000000"/>
                <w:kern w:val="0"/>
                <w:sz w:val="24"/>
                <w:lang w:bidi="ar"/>
              </w:rPr>
              <w:t>建设规模</w:t>
            </w:r>
          </w:p>
        </w:tc>
        <w:tc>
          <w:tcPr>
            <w:tcW w:w="6149" w:type="dxa"/>
            <w:tcBorders>
              <w:top w:val="single" w:color="000000" w:sz="4" w:space="0"/>
              <w:left w:val="single" w:color="000000" w:sz="4" w:space="0"/>
              <w:bottom w:val="single" w:color="000000" w:sz="4" w:space="0"/>
              <w:right w:val="single" w:color="000000" w:sz="4" w:space="0"/>
            </w:tcBorders>
            <w:noWrap w:val="0"/>
            <w:vAlign w:val="center"/>
          </w:tcPr>
          <w:p w14:paraId="29C24DF8">
            <w:pPr>
              <w:widowControl/>
              <w:spacing w:line="560" w:lineRule="exact"/>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 育肥羊圈建设 。在大马槽小组建设空心砖钢架厂房</w:t>
            </w:r>
          </w:p>
          <w:p w14:paraId="01C4B72D">
            <w:pPr>
              <w:widowControl/>
              <w:spacing w:line="560" w:lineRule="exact"/>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6026.44 平方米。2. 疫病隔离室建设 。在大马槽小组建设砖混结构疫病隔离室112.24 平方米。3. 消毒室和兽医室 建设 。在大马槽小组建设砖混结构饲消毒室 92 平方米和兽医室92平方米。4. 饲料加工存储房建设 。在大马槽小组建设砖混结构饲料加工存储房 258.72 平方米。5. 饲草饲 料 筹备。储备冬季饲草饲料 4675 吨。6. 绿 地建设 。建行绿地面积 6224.89 平方米。7. 标准 羊 舍 室外活动 场地建设 。建设面积为 5881.82 平方米的室外活动场地。8. 机动车停车 位建设 。在大马槽小组建设 8 个机动停车位。</w:t>
            </w:r>
          </w:p>
          <w:p w14:paraId="737D54D6">
            <w:pPr>
              <w:widowControl/>
              <w:spacing w:line="560" w:lineRule="exact"/>
              <w:jc w:val="left"/>
              <w:textAlignment w:val="center"/>
              <w:rPr>
                <w:rFonts w:hint="default" w:ascii="Times New Roman" w:hAnsi="Times New Roman" w:cs="Times New Roman"/>
                <w:color w:val="000000"/>
                <w:sz w:val="24"/>
              </w:rPr>
            </w:pPr>
          </w:p>
        </w:tc>
      </w:tr>
      <w:tr w14:paraId="5E3E9507">
        <w:tblPrEx>
          <w:tblCellMar>
            <w:top w:w="15" w:type="dxa"/>
            <w:left w:w="15" w:type="dxa"/>
            <w:bottom w:w="15" w:type="dxa"/>
            <w:right w:w="15" w:type="dxa"/>
          </w:tblCellMar>
        </w:tblPrEx>
        <w:trPr>
          <w:trHeight w:val="285" w:hRule="atLeast"/>
          <w:jc w:val="center"/>
        </w:trPr>
        <w:tc>
          <w:tcPr>
            <w:tcW w:w="10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099BD0">
            <w:pPr>
              <w:spacing w:line="560" w:lineRule="exact"/>
              <w:jc w:val="center"/>
              <w:rPr>
                <w:rFonts w:hint="default" w:ascii="Times New Roman" w:hAnsi="Times New Roman" w:cs="Times New Roman"/>
                <w:b/>
                <w:color w:val="000000"/>
                <w:sz w:val="24"/>
              </w:rPr>
            </w:pPr>
          </w:p>
        </w:tc>
        <w:tc>
          <w:tcPr>
            <w:tcW w:w="1770" w:type="dxa"/>
            <w:tcBorders>
              <w:top w:val="single" w:color="000000" w:sz="4" w:space="0"/>
              <w:left w:val="single" w:color="000000" w:sz="4" w:space="0"/>
              <w:bottom w:val="single" w:color="000000" w:sz="4" w:space="0"/>
              <w:right w:val="single" w:color="000000" w:sz="4" w:space="0"/>
            </w:tcBorders>
            <w:noWrap w:val="0"/>
            <w:vAlign w:val="center"/>
          </w:tcPr>
          <w:p w14:paraId="35DB9292">
            <w:pPr>
              <w:widowControl/>
              <w:spacing w:line="560" w:lineRule="exact"/>
              <w:jc w:val="center"/>
              <w:textAlignment w:val="center"/>
              <w:rPr>
                <w:rFonts w:hint="default" w:ascii="Times New Roman" w:hAnsi="Times New Roman" w:cs="Times New Roman"/>
                <w:b/>
                <w:color w:val="000000"/>
                <w:sz w:val="24"/>
              </w:rPr>
            </w:pPr>
            <w:r>
              <w:rPr>
                <w:rFonts w:hint="default" w:ascii="Times New Roman" w:hAnsi="Times New Roman" w:eastAsia="仿宋_GB2312" w:cs="Times New Roman"/>
                <w:b/>
                <w:color w:val="000000"/>
                <w:kern w:val="0"/>
                <w:sz w:val="24"/>
                <w:lang w:bidi="ar"/>
              </w:rPr>
              <w:t>建筑层数</w:t>
            </w:r>
          </w:p>
        </w:tc>
        <w:tc>
          <w:tcPr>
            <w:tcW w:w="6149" w:type="dxa"/>
            <w:tcBorders>
              <w:top w:val="single" w:color="000000" w:sz="4" w:space="0"/>
              <w:left w:val="single" w:color="000000" w:sz="4" w:space="0"/>
              <w:bottom w:val="single" w:color="000000" w:sz="4" w:space="0"/>
              <w:right w:val="single" w:color="000000" w:sz="4" w:space="0"/>
            </w:tcBorders>
            <w:noWrap w:val="0"/>
            <w:vAlign w:val="center"/>
          </w:tcPr>
          <w:p w14:paraId="21255D68">
            <w:pPr>
              <w:widowControl/>
              <w:spacing w:line="560" w:lineRule="exact"/>
              <w:jc w:val="left"/>
              <w:textAlignment w:val="center"/>
              <w:rPr>
                <w:rFonts w:hint="default" w:ascii="Times New Roman" w:hAnsi="Times New Roman" w:cs="Times New Roman"/>
                <w:color w:val="000000"/>
                <w:sz w:val="24"/>
              </w:rPr>
            </w:pPr>
            <w:r>
              <w:rPr>
                <w:rFonts w:hint="default" w:ascii="Times New Roman" w:hAnsi="Times New Roman" w:eastAsia="仿宋_GB2312" w:cs="Times New Roman"/>
                <w:color w:val="000000"/>
                <w:kern w:val="0"/>
                <w:sz w:val="24"/>
                <w:lang w:bidi="ar"/>
              </w:rPr>
              <w:t>羊舍两层、工人生活区三层</w:t>
            </w:r>
          </w:p>
        </w:tc>
      </w:tr>
      <w:tr w14:paraId="03415582">
        <w:tblPrEx>
          <w:tblCellMar>
            <w:top w:w="15" w:type="dxa"/>
            <w:left w:w="15" w:type="dxa"/>
            <w:bottom w:w="15" w:type="dxa"/>
            <w:right w:w="15" w:type="dxa"/>
          </w:tblCellMar>
        </w:tblPrEx>
        <w:trPr>
          <w:trHeight w:val="285" w:hRule="atLeast"/>
          <w:jc w:val="center"/>
        </w:trPr>
        <w:tc>
          <w:tcPr>
            <w:tcW w:w="10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908627">
            <w:pPr>
              <w:spacing w:line="560" w:lineRule="exact"/>
              <w:jc w:val="center"/>
              <w:rPr>
                <w:rFonts w:hint="default" w:ascii="Times New Roman" w:hAnsi="Times New Roman" w:cs="Times New Roman"/>
                <w:b/>
                <w:color w:val="000000"/>
                <w:sz w:val="24"/>
              </w:rPr>
            </w:pPr>
          </w:p>
        </w:tc>
        <w:tc>
          <w:tcPr>
            <w:tcW w:w="1770" w:type="dxa"/>
            <w:tcBorders>
              <w:top w:val="single" w:color="000000" w:sz="4" w:space="0"/>
              <w:left w:val="single" w:color="000000" w:sz="4" w:space="0"/>
              <w:bottom w:val="single" w:color="000000" w:sz="4" w:space="0"/>
              <w:right w:val="single" w:color="000000" w:sz="4" w:space="0"/>
            </w:tcBorders>
            <w:noWrap w:val="0"/>
            <w:vAlign w:val="center"/>
          </w:tcPr>
          <w:p w14:paraId="291C82EB">
            <w:pPr>
              <w:widowControl/>
              <w:spacing w:line="560" w:lineRule="exact"/>
              <w:jc w:val="center"/>
              <w:textAlignment w:val="center"/>
              <w:rPr>
                <w:rFonts w:hint="default" w:ascii="Times New Roman" w:hAnsi="Times New Roman" w:cs="Times New Roman"/>
                <w:b/>
                <w:color w:val="000000"/>
                <w:sz w:val="24"/>
              </w:rPr>
            </w:pPr>
            <w:r>
              <w:rPr>
                <w:rFonts w:hint="default" w:ascii="Times New Roman" w:hAnsi="Times New Roman" w:eastAsia="仿宋_GB2312" w:cs="Times New Roman"/>
                <w:b/>
                <w:color w:val="000000"/>
                <w:kern w:val="0"/>
                <w:sz w:val="24"/>
                <w:lang w:bidi="ar"/>
              </w:rPr>
              <w:t>基础类型</w:t>
            </w:r>
          </w:p>
        </w:tc>
        <w:tc>
          <w:tcPr>
            <w:tcW w:w="6149" w:type="dxa"/>
            <w:tcBorders>
              <w:top w:val="single" w:color="000000" w:sz="4" w:space="0"/>
              <w:left w:val="single" w:color="000000" w:sz="4" w:space="0"/>
              <w:bottom w:val="single" w:color="000000" w:sz="4" w:space="0"/>
              <w:right w:val="single" w:color="000000" w:sz="4" w:space="0"/>
            </w:tcBorders>
            <w:noWrap w:val="0"/>
            <w:vAlign w:val="center"/>
          </w:tcPr>
          <w:p w14:paraId="484BBB5E">
            <w:pPr>
              <w:widowControl/>
              <w:spacing w:line="560" w:lineRule="exact"/>
              <w:jc w:val="left"/>
              <w:textAlignment w:val="center"/>
              <w:rPr>
                <w:rFonts w:hint="default" w:ascii="Times New Roman" w:hAnsi="Times New Roman" w:cs="Times New Roman"/>
                <w:color w:val="000000"/>
                <w:sz w:val="24"/>
              </w:rPr>
            </w:pPr>
            <w:r>
              <w:rPr>
                <w:rFonts w:hint="default" w:ascii="Times New Roman" w:hAnsi="Times New Roman" w:eastAsia="仿宋_GB2312" w:cs="Times New Roman"/>
                <w:color w:val="000000"/>
                <w:kern w:val="0"/>
                <w:sz w:val="24"/>
                <w:lang w:bidi="ar"/>
              </w:rPr>
              <w:t>钢筋混凝土结构</w:t>
            </w:r>
          </w:p>
        </w:tc>
      </w:tr>
      <w:tr w14:paraId="0E1D7D3E">
        <w:tblPrEx>
          <w:tblCellMar>
            <w:top w:w="15" w:type="dxa"/>
            <w:left w:w="15" w:type="dxa"/>
            <w:bottom w:w="15" w:type="dxa"/>
            <w:right w:w="15" w:type="dxa"/>
          </w:tblCellMar>
        </w:tblPrEx>
        <w:trPr>
          <w:trHeight w:val="285" w:hRule="atLeast"/>
          <w:jc w:val="center"/>
        </w:trPr>
        <w:tc>
          <w:tcPr>
            <w:tcW w:w="10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4DA7BB">
            <w:pPr>
              <w:spacing w:line="560" w:lineRule="exact"/>
              <w:jc w:val="center"/>
              <w:rPr>
                <w:rFonts w:hint="default" w:ascii="Times New Roman" w:hAnsi="Times New Roman" w:cs="Times New Roman"/>
                <w:b/>
                <w:color w:val="000000"/>
                <w:sz w:val="24"/>
              </w:rPr>
            </w:pPr>
          </w:p>
        </w:tc>
        <w:tc>
          <w:tcPr>
            <w:tcW w:w="1770" w:type="dxa"/>
            <w:tcBorders>
              <w:top w:val="single" w:color="000000" w:sz="4" w:space="0"/>
              <w:left w:val="single" w:color="000000" w:sz="4" w:space="0"/>
              <w:bottom w:val="single" w:color="000000" w:sz="4" w:space="0"/>
              <w:right w:val="single" w:color="000000" w:sz="4" w:space="0"/>
            </w:tcBorders>
            <w:noWrap w:val="0"/>
            <w:vAlign w:val="center"/>
          </w:tcPr>
          <w:p w14:paraId="491005F5">
            <w:pPr>
              <w:widowControl/>
              <w:spacing w:line="560" w:lineRule="exact"/>
              <w:jc w:val="center"/>
              <w:textAlignment w:val="center"/>
              <w:rPr>
                <w:rFonts w:hint="default" w:ascii="Times New Roman" w:hAnsi="Times New Roman" w:cs="Times New Roman"/>
                <w:b/>
                <w:color w:val="000000"/>
                <w:sz w:val="24"/>
              </w:rPr>
            </w:pPr>
            <w:r>
              <w:rPr>
                <w:rFonts w:hint="default" w:ascii="Times New Roman" w:hAnsi="Times New Roman" w:eastAsia="仿宋_GB2312" w:cs="Times New Roman"/>
                <w:b/>
                <w:color w:val="000000"/>
                <w:kern w:val="0"/>
                <w:sz w:val="24"/>
                <w:lang w:bidi="ar"/>
              </w:rPr>
              <w:t>结构类别</w:t>
            </w:r>
          </w:p>
        </w:tc>
        <w:tc>
          <w:tcPr>
            <w:tcW w:w="6149" w:type="dxa"/>
            <w:tcBorders>
              <w:top w:val="single" w:color="000000" w:sz="4" w:space="0"/>
              <w:left w:val="single" w:color="000000" w:sz="4" w:space="0"/>
              <w:bottom w:val="single" w:color="000000" w:sz="4" w:space="0"/>
              <w:right w:val="single" w:color="000000" w:sz="4" w:space="0"/>
            </w:tcBorders>
            <w:noWrap w:val="0"/>
            <w:vAlign w:val="center"/>
          </w:tcPr>
          <w:p w14:paraId="534E5DE4">
            <w:pPr>
              <w:widowControl/>
              <w:spacing w:line="560" w:lineRule="exact"/>
              <w:jc w:val="left"/>
              <w:textAlignment w:val="center"/>
              <w:rPr>
                <w:rFonts w:hint="default" w:ascii="Times New Roman" w:hAnsi="Times New Roman" w:cs="Times New Roman"/>
                <w:color w:val="000000"/>
                <w:sz w:val="24"/>
              </w:rPr>
            </w:pPr>
            <w:r>
              <w:rPr>
                <w:rFonts w:hint="default" w:ascii="Times New Roman" w:hAnsi="Times New Roman" w:eastAsia="仿宋_GB2312" w:cs="Times New Roman"/>
                <w:color w:val="000000"/>
                <w:kern w:val="0"/>
                <w:sz w:val="24"/>
                <w:lang w:bidi="ar"/>
              </w:rPr>
              <w:t>钢筋混凝土结构</w:t>
            </w:r>
          </w:p>
        </w:tc>
      </w:tr>
      <w:tr w14:paraId="759B50D3">
        <w:tblPrEx>
          <w:tblCellMar>
            <w:top w:w="15" w:type="dxa"/>
            <w:left w:w="15" w:type="dxa"/>
            <w:bottom w:w="15" w:type="dxa"/>
            <w:right w:w="15" w:type="dxa"/>
          </w:tblCellMar>
        </w:tblPrEx>
        <w:trPr>
          <w:trHeight w:val="285" w:hRule="atLeast"/>
          <w:jc w:val="center"/>
        </w:trPr>
        <w:tc>
          <w:tcPr>
            <w:tcW w:w="10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0B8D7B">
            <w:pPr>
              <w:spacing w:line="560" w:lineRule="exact"/>
              <w:jc w:val="center"/>
              <w:rPr>
                <w:rFonts w:hint="default" w:ascii="Times New Roman" w:hAnsi="Times New Roman" w:cs="Times New Roman"/>
                <w:b/>
                <w:color w:val="000000"/>
                <w:sz w:val="24"/>
              </w:rPr>
            </w:pPr>
          </w:p>
        </w:tc>
        <w:tc>
          <w:tcPr>
            <w:tcW w:w="1770" w:type="dxa"/>
            <w:tcBorders>
              <w:top w:val="single" w:color="000000" w:sz="4" w:space="0"/>
              <w:left w:val="single" w:color="000000" w:sz="4" w:space="0"/>
              <w:bottom w:val="single" w:color="000000" w:sz="4" w:space="0"/>
              <w:right w:val="single" w:color="000000" w:sz="4" w:space="0"/>
            </w:tcBorders>
            <w:noWrap w:val="0"/>
            <w:vAlign w:val="center"/>
          </w:tcPr>
          <w:p w14:paraId="52F8DA97">
            <w:pPr>
              <w:widowControl/>
              <w:spacing w:line="560" w:lineRule="exact"/>
              <w:jc w:val="center"/>
              <w:textAlignment w:val="center"/>
              <w:rPr>
                <w:rFonts w:hint="default" w:ascii="Times New Roman" w:hAnsi="Times New Roman" w:cs="Times New Roman"/>
                <w:b/>
                <w:color w:val="000000"/>
                <w:sz w:val="24"/>
              </w:rPr>
            </w:pPr>
            <w:r>
              <w:rPr>
                <w:rFonts w:hint="default" w:ascii="Times New Roman" w:hAnsi="Times New Roman" w:eastAsia="仿宋_GB2312" w:cs="Times New Roman"/>
                <w:b/>
                <w:color w:val="000000"/>
                <w:kern w:val="0"/>
                <w:sz w:val="24"/>
                <w:lang w:bidi="ar"/>
              </w:rPr>
              <w:t>竣工时间</w:t>
            </w:r>
          </w:p>
        </w:tc>
        <w:tc>
          <w:tcPr>
            <w:tcW w:w="6149" w:type="dxa"/>
            <w:tcBorders>
              <w:top w:val="single" w:color="000000" w:sz="4" w:space="0"/>
              <w:left w:val="single" w:color="000000" w:sz="4" w:space="0"/>
              <w:bottom w:val="single" w:color="000000" w:sz="4" w:space="0"/>
              <w:right w:val="single" w:color="000000" w:sz="4" w:space="0"/>
            </w:tcBorders>
            <w:noWrap w:val="0"/>
            <w:vAlign w:val="center"/>
          </w:tcPr>
          <w:p w14:paraId="004C054B">
            <w:pPr>
              <w:widowControl/>
              <w:spacing w:line="560" w:lineRule="exact"/>
              <w:jc w:val="left"/>
              <w:textAlignment w:val="center"/>
              <w:rPr>
                <w:rFonts w:hint="default" w:ascii="Times New Roman" w:hAnsi="Times New Roman" w:cs="Times New Roman"/>
                <w:color w:val="000000"/>
                <w:sz w:val="24"/>
              </w:rPr>
            </w:pPr>
            <w:r>
              <w:rPr>
                <w:rFonts w:hint="default" w:ascii="Times New Roman" w:hAnsi="Times New Roman" w:eastAsia="仿宋_GB2312" w:cs="Times New Roman"/>
                <w:color w:val="000000"/>
                <w:kern w:val="0"/>
                <w:sz w:val="24"/>
                <w:lang w:bidi="ar"/>
              </w:rPr>
              <w:t>2020年6月30日</w:t>
            </w:r>
          </w:p>
        </w:tc>
      </w:tr>
    </w:tbl>
    <w:p w14:paraId="68DB4C0B">
      <w:pPr>
        <w:spacing w:line="560" w:lineRule="exact"/>
        <w:rPr>
          <w:rFonts w:hint="default" w:ascii="Times New Roman" w:hAnsi="Times New Roman" w:cs="Times New Roman"/>
        </w:rPr>
      </w:pPr>
    </w:p>
    <w:p w14:paraId="7986814A">
      <w:pPr>
        <w:spacing w:line="560" w:lineRule="exact"/>
        <w:ind w:firstLine="640" w:firstLineChars="200"/>
        <w:rPr>
          <w:rFonts w:hint="default" w:ascii="Times New Roman" w:hAnsi="Times New Roman" w:eastAsia="楷体" w:cs="Times New Roman"/>
          <w:sz w:val="32"/>
          <w:szCs w:val="32"/>
        </w:rPr>
      </w:pPr>
      <w:r>
        <w:rPr>
          <w:rFonts w:hint="default" w:ascii="Times New Roman" w:hAnsi="Times New Roman" w:eastAsia="楷体_GB2312" w:cs="Times New Roman"/>
          <w:sz w:val="32"/>
          <w:szCs w:val="32"/>
        </w:rPr>
        <w:t>3.资金来源及使用情况。</w:t>
      </w:r>
    </w:p>
    <w:p w14:paraId="43042DA1">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项目预计总投资 5097.73 万元。其中：建筑安装工程费用1923.35 万元，占总投资的 37.73%；设备及工器具购置费 199.70万元，占总投资的 3.92%；工程建设其他费 1382.32 万元，占总投资的 27.12%（含土地流转费 1000.00 万元，征地补偿费 100.85万元）；预备费192.36 万元，占总投资的 13.74%；流动资金1400.00万元，占总投资的 27.46%。资金来源为：1、申请财政资金 1718.00 万元；2、企业自筹1400.00万元；3、自筹流动资金（羊种购买）；4、草山入股 5万亩；5、土地种草3千亩。</w:t>
      </w:r>
    </w:p>
    <w:p w14:paraId="12135BC2">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4.组织及管理情况。</w:t>
      </w:r>
      <w:r>
        <w:rPr>
          <w:rFonts w:hint="default" w:ascii="Times New Roman" w:hAnsi="Times New Roman" w:eastAsia="仿宋_GB2312" w:cs="Times New Roman"/>
          <w:sz w:val="32"/>
          <w:szCs w:val="32"/>
        </w:rPr>
        <w:t>包括项目组织情况、项目实施流程、资金拨付流程。</w:t>
      </w:r>
    </w:p>
    <w:p w14:paraId="71833C5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建设过程中，为了确保本项目建设的顺利实施，达到项目建设的预期目标，拟组建“东川舍块乡万只优质生态羊养殖项目领导小组”，领导小组下设项目前期部、计划财务部、合同管理部、设备采购部、施工管理部、工程造价部、质量安全部等部门。</w:t>
      </w:r>
    </w:p>
    <w:p w14:paraId="213E03B3">
      <w:pPr>
        <w:spacing w:line="56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4.1组织情况</w:t>
      </w:r>
    </w:p>
    <w:p w14:paraId="7256BFE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1、项目前期部——主要负责项目前期规划设计招标、施工招标、工程进度总体控制、工程技术管理等。</w:t>
      </w:r>
    </w:p>
    <w:p w14:paraId="1701CD5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2、计划财务部——主要负责项目的资金筹措、资金调配、财务收支、成本核算、计划统计等工作。</w:t>
      </w:r>
    </w:p>
    <w:p w14:paraId="01EAB64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3、合同管理部——主要负责各类经济合同的洽谈与签订。</w:t>
      </w:r>
    </w:p>
    <w:p w14:paraId="119C3508">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4、设备采购部——主要负责设备的询价与采购、计划供应、现场设备管理等工作。</w:t>
      </w:r>
    </w:p>
    <w:p w14:paraId="1B5635A9">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5、施工管理部——主要负责工程调度、施工进度控制、施工组织管理、文明施工等工作。</w:t>
      </w:r>
    </w:p>
    <w:p w14:paraId="4F11E71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6、工程造价部——主要负责工程预、结算的编制与审查。</w:t>
      </w:r>
    </w:p>
    <w:p w14:paraId="481079BB">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7、质量安全部——主要负责工程质量、安全管理、消防保卫、环境保护等工作。</w:t>
      </w:r>
    </w:p>
    <w:p w14:paraId="5F3EF4DB">
      <w:pPr>
        <w:spacing w:line="56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4.2组织管理方式</w:t>
      </w:r>
    </w:p>
    <w:p w14:paraId="1C17DC3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的组织形式采用矩阵式的管理形式；管理方式上，以具体的项目或以大类项目为基准单位，采用目前国际上通行的、也是一种较科学先进的项目管理制，各个项目负责人独立进行计划、资源分配、协调和控制，从制度上保证项目的质量、进度、成本、人员，再通过招标，选用专业水准高、资质过硬的工程监理公司监理工程。按照项目规划的目标和分期建设要求，项目建设单位适时成立项目公司，健全项目管理的各项制度。根据项目实施的不同阶段，引进和培养一批适应项目开发建设的高层次、复合型的人才，做好项目规划设计、工程建设管理、后期管理等关键阶段的工作，确保把项目建设好，管理好。</w:t>
      </w:r>
    </w:p>
    <w:p w14:paraId="0574D11C">
      <w:pPr>
        <w:spacing w:line="56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4.3项目资金管理</w:t>
      </w:r>
    </w:p>
    <w:p w14:paraId="4C3CF442">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建设资金严格按照国家财政专项资金管理制度进行管理。建议设立专用账户，建设资金实行专款专用，财务处具体监管项目资金的使用，以确保资金按项目建设计划使用。严格审计制度，加强审计、监察工作，严防违规违纪行为的发生。</w:t>
      </w:r>
    </w:p>
    <w:p w14:paraId="511B711A">
      <w:pPr>
        <w:topLinePunct/>
        <w:spacing w:line="560" w:lineRule="exact"/>
        <w:ind w:firstLine="800" w:firstLineChars="25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（二）绩效目标。</w:t>
      </w:r>
    </w:p>
    <w:p w14:paraId="2C5CA0CB">
      <w:pPr>
        <w:spacing w:line="56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1.总目标。</w:t>
      </w:r>
    </w:p>
    <w:p w14:paraId="487FBD9D">
      <w:pPr>
        <w:spacing w:line="560" w:lineRule="exact"/>
        <w:ind w:firstLine="640" w:firstLineChars="200"/>
        <w:rPr>
          <w:rFonts w:hint="default" w:ascii="Times New Roman" w:hAnsi="Times New Roman" w:cs="Times New Roman"/>
          <w:szCs w:val="32"/>
        </w:rPr>
      </w:pPr>
      <w:r>
        <w:rPr>
          <w:rFonts w:hint="default" w:ascii="Times New Roman" w:hAnsi="Times New Roman" w:eastAsia="仿宋_GB2312" w:cs="Times New Roman"/>
          <w:sz w:val="32"/>
          <w:szCs w:val="32"/>
        </w:rPr>
        <w:t>通过项目的实施，可有效促进一、二、三产业高度融合发展，带动农民群众增收致富，建档立卡户脱贫成果得到持续有效巩固，总体效益明显。</w:t>
      </w:r>
    </w:p>
    <w:p w14:paraId="7E92C39A">
      <w:pPr>
        <w:spacing w:line="56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2.年度目标。</w:t>
      </w:r>
    </w:p>
    <w:p w14:paraId="20058971">
      <w:pPr>
        <w:spacing w:line="560" w:lineRule="exact"/>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2.1经济效益</w:t>
      </w:r>
    </w:p>
    <w:p w14:paraId="37968C8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本项目建成于2020年投入运营，2021年7月预计可实现年出栏商品羊5000 只，养殖一年，按照市场价格 1440 元每只计算，第一年营业收入可以达到 856.88 万元人民币。内部收益率达到 4.91%，高于基准收益率 4%，本项目经济效益较好。</w:t>
      </w:r>
    </w:p>
    <w:p w14:paraId="7549219C">
      <w:pPr>
        <w:spacing w:line="560" w:lineRule="exact"/>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2.2社会效益。</w:t>
      </w:r>
    </w:p>
    <w:p w14:paraId="7A87C6A1">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本项目实施除带来直接的经济效益外，还可安置就业人员 80名，带动全乡 1153 户建档立卡贫困户，将搬迁后老弱病残群众的基本生活保障捆绑到项目里，帮助建档立卡贫困户实现农业增效、农民增收，真正实现脱贫致富，早日过上小康生活。有助于当地畜牧业、农业结构调整，在培育现代农业的开发过程中，带动其它相关产业发展，加之云坪村现有6000亩高山土地，将项目与高山药材种植、经济林果融合发展，逐步形成种植、养殖循环发展共同促进。</w:t>
      </w:r>
    </w:p>
    <w:p w14:paraId="293236BE">
      <w:pPr>
        <w:spacing w:line="560" w:lineRule="exact"/>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2.3生态效益</w:t>
      </w:r>
    </w:p>
    <w:p w14:paraId="03A53C42">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本项目通过利用舍块乡 5 万亩的高山草山连片开发，实现草山资源合理化利用，在产出经济效益的同时，可实现土壤有机含量，提高牧草肥力，形成良性生态系统，项目的实施极大地改变草山荒置问题，有效地遏止土壤荒置化，保持了水土不被流失。</w:t>
      </w:r>
    </w:p>
    <w:p w14:paraId="59935217">
      <w:pPr>
        <w:spacing w:line="560" w:lineRule="exact"/>
        <w:ind w:firstLine="640" w:firstLineChars="200"/>
        <w:rPr>
          <w:rFonts w:hint="default" w:ascii="Times New Roman" w:hAnsi="Times New Roman" w:eastAsia="黑体" w:cs="Times New Roman"/>
          <w:sz w:val="32"/>
          <w:szCs w:val="32"/>
        </w:rPr>
      </w:pPr>
      <w:bookmarkStart w:id="0" w:name="_Toc8524"/>
      <w:bookmarkStart w:id="1" w:name="_Toc6130"/>
      <w:bookmarkStart w:id="2" w:name="_Toc13756"/>
      <w:bookmarkStart w:id="3" w:name="_Toc26271"/>
      <w:bookmarkStart w:id="4" w:name="_Toc31895"/>
      <w:r>
        <w:rPr>
          <w:rFonts w:hint="default" w:ascii="Times New Roman" w:hAnsi="Times New Roman" w:eastAsia="黑体" w:cs="Times New Roman"/>
          <w:sz w:val="32"/>
          <w:szCs w:val="32"/>
        </w:rPr>
        <w:t>二、绩效评价工作情况</w:t>
      </w:r>
      <w:bookmarkEnd w:id="0"/>
      <w:bookmarkEnd w:id="1"/>
      <w:bookmarkEnd w:id="2"/>
      <w:bookmarkEnd w:id="3"/>
      <w:bookmarkEnd w:id="4"/>
    </w:p>
    <w:p w14:paraId="76C8D89C">
      <w:pPr>
        <w:topLinePunct/>
        <w:spacing w:line="560" w:lineRule="exact"/>
        <w:ind w:firstLine="640" w:firstLineChars="200"/>
        <w:rPr>
          <w:rFonts w:hint="default" w:ascii="Times New Roman" w:hAnsi="Times New Roman" w:eastAsia="楷体_GB2312" w:cs="Times New Roman"/>
          <w:sz w:val="32"/>
          <w:szCs w:val="32"/>
        </w:rPr>
      </w:pPr>
      <w:bookmarkStart w:id="5" w:name="_Toc10820"/>
      <w:bookmarkStart w:id="6" w:name="_Toc30890"/>
      <w:bookmarkStart w:id="7" w:name="_Toc27611"/>
      <w:bookmarkStart w:id="8" w:name="_Toc15781"/>
      <w:bookmarkStart w:id="9" w:name="_Toc10337"/>
      <w:r>
        <w:rPr>
          <w:rFonts w:hint="default" w:ascii="Times New Roman" w:hAnsi="Times New Roman" w:eastAsia="楷体_GB2312" w:cs="Times New Roman"/>
          <w:sz w:val="32"/>
          <w:szCs w:val="32"/>
        </w:rPr>
        <w:t>（一）绩效评价目的</w:t>
      </w:r>
      <w:bookmarkEnd w:id="5"/>
      <w:bookmarkEnd w:id="6"/>
      <w:bookmarkEnd w:id="7"/>
      <w:bookmarkEnd w:id="8"/>
      <w:bookmarkEnd w:id="9"/>
    </w:p>
    <w:p w14:paraId="55987FF1">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全面了解项目管理过程是否规范、产出目标是否完成以及效果目标是否实现等方面的内容，总结经验，查找不足，为项目在以后年度的开展提供可行性参考建议。在此基础上，重点分析项目预算编制的合理性、成本支出的真实性和控制有效性，评价财政资金的使用效率和效果，为以后年度编制项目预算、选择项目实施主体等提供参考依据。</w:t>
      </w:r>
    </w:p>
    <w:p w14:paraId="7D32AE01">
      <w:pPr>
        <w:topLinePunct/>
        <w:spacing w:line="560" w:lineRule="exact"/>
        <w:ind w:firstLine="640" w:firstLineChars="200"/>
        <w:rPr>
          <w:rFonts w:hint="default" w:ascii="Times New Roman" w:hAnsi="Times New Roman" w:eastAsia="楷体_GB2312" w:cs="Times New Roman"/>
          <w:sz w:val="32"/>
          <w:szCs w:val="32"/>
        </w:rPr>
      </w:pPr>
      <w:bookmarkStart w:id="10" w:name="_Toc1108"/>
      <w:bookmarkStart w:id="11" w:name="_Toc5594"/>
      <w:bookmarkStart w:id="12" w:name="_Toc29080"/>
      <w:bookmarkStart w:id="13" w:name="_Toc10923"/>
      <w:bookmarkStart w:id="14" w:name="_Toc7593"/>
      <w:r>
        <w:rPr>
          <w:rFonts w:hint="default" w:ascii="Times New Roman" w:hAnsi="Times New Roman" w:eastAsia="楷体_GB2312" w:cs="Times New Roman"/>
          <w:sz w:val="32"/>
          <w:szCs w:val="32"/>
        </w:rPr>
        <w:t>（二）绩效评价工作方案制定过程</w:t>
      </w:r>
      <w:bookmarkEnd w:id="10"/>
      <w:bookmarkEnd w:id="11"/>
      <w:bookmarkEnd w:id="12"/>
      <w:bookmarkEnd w:id="13"/>
      <w:bookmarkEnd w:id="14"/>
    </w:p>
    <w:p w14:paraId="510850A3">
      <w:pPr>
        <w:topLinePunct/>
        <w:spacing w:line="560" w:lineRule="exact"/>
        <w:ind w:firstLine="640" w:firstLineChars="200"/>
        <w:rPr>
          <w:rFonts w:hint="default" w:ascii="Times New Roman" w:hAnsi="Times New Roman" w:eastAsia="楷体" w:cs="Times New Roman"/>
          <w:sz w:val="32"/>
          <w:szCs w:val="32"/>
        </w:rPr>
      </w:pPr>
      <w:bookmarkStart w:id="15" w:name="_Toc20593"/>
      <w:bookmarkStart w:id="16" w:name="_Toc8458"/>
      <w:bookmarkStart w:id="17" w:name="_Toc26190"/>
      <w:bookmarkStart w:id="18" w:name="_Toc26953"/>
      <w:bookmarkStart w:id="19" w:name="_Toc19618"/>
      <w:r>
        <w:rPr>
          <w:rFonts w:hint="default" w:ascii="Times New Roman" w:hAnsi="Times New Roman" w:eastAsia="楷体" w:cs="Times New Roman"/>
          <w:sz w:val="32"/>
          <w:szCs w:val="32"/>
        </w:rPr>
        <w:t>1.前期调研</w:t>
      </w:r>
      <w:bookmarkEnd w:id="15"/>
      <w:bookmarkEnd w:id="16"/>
      <w:bookmarkEnd w:id="17"/>
      <w:bookmarkEnd w:id="18"/>
      <w:bookmarkEnd w:id="19"/>
    </w:p>
    <w:p w14:paraId="5E576FF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舍块乡党政领导班子认真研究项目绩效情况，对本单位的项目报送情况进行整理，到寻甸养殖厂实地学习和考察、取经，认真聆听寻甸养殖厂养殖经验，结合掌握情况，对报送的项目实施情况进行调研分析、核查落实，并通过招投标撰写舍块乡万只优质生态羊养殖可行性研究报告，在核查无误的情况下进行汇总，为绩效评价工作奠定基础。</w:t>
      </w:r>
    </w:p>
    <w:p w14:paraId="0CD50640">
      <w:pPr>
        <w:spacing w:line="560" w:lineRule="exact"/>
        <w:ind w:firstLine="640" w:firstLineChars="200"/>
        <w:rPr>
          <w:rFonts w:hint="default" w:ascii="Times New Roman" w:hAnsi="Times New Roman" w:eastAsia="楷体" w:cs="Times New Roman"/>
          <w:sz w:val="32"/>
          <w:szCs w:val="32"/>
        </w:rPr>
      </w:pPr>
      <w:bookmarkStart w:id="20" w:name="_Toc16768"/>
      <w:bookmarkStart w:id="21" w:name="_Toc9314"/>
      <w:bookmarkStart w:id="22" w:name="_Toc25492"/>
      <w:bookmarkStart w:id="23" w:name="_Toc20846"/>
      <w:bookmarkStart w:id="24" w:name="_Toc30909"/>
      <w:r>
        <w:rPr>
          <w:rFonts w:hint="default" w:ascii="Times New Roman" w:hAnsi="Times New Roman" w:eastAsia="楷体" w:cs="Times New Roman"/>
          <w:sz w:val="32"/>
          <w:szCs w:val="32"/>
        </w:rPr>
        <w:t>2.研究文件</w:t>
      </w:r>
      <w:bookmarkEnd w:id="20"/>
      <w:bookmarkEnd w:id="21"/>
      <w:bookmarkEnd w:id="22"/>
      <w:bookmarkEnd w:id="23"/>
      <w:bookmarkEnd w:id="24"/>
    </w:p>
    <w:p w14:paraId="5346A3D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昆明市东川区舍块乡人民政府根据《中华人民共和国预算法》，按照《昆明市人民政府关于全面推进预算绩效管理改革的实施意见》（昆政发﹝2016﹞21号）和《东川区财政局关于开展东川区2019年度绩效自评工作的通知》（东财绩〔2020〕3号）要求，并查看单位年度工作任务目标，专项资金项目，绩效目标申报表，为开展绩效评价工作奠定基础。</w:t>
      </w:r>
    </w:p>
    <w:p w14:paraId="65AF9905">
      <w:pPr>
        <w:spacing w:line="560" w:lineRule="exact"/>
        <w:rPr>
          <w:rFonts w:hint="default" w:ascii="Times New Roman" w:hAnsi="Times New Roman" w:eastAsia="仿宋_GB2312" w:cs="Times New Roman"/>
          <w:sz w:val="32"/>
          <w:szCs w:val="32"/>
        </w:rPr>
      </w:pPr>
      <w:bookmarkStart w:id="25" w:name="_Toc25004"/>
      <w:bookmarkStart w:id="26" w:name="_Toc27816"/>
      <w:bookmarkStart w:id="27" w:name="_Toc31689"/>
      <w:bookmarkStart w:id="28" w:name="_Toc26387"/>
      <w:bookmarkStart w:id="29" w:name="_Toc19688"/>
      <w:r>
        <w:rPr>
          <w:rFonts w:hint="default" w:ascii="Times New Roman" w:hAnsi="Times New Roman" w:eastAsia="仿宋_GB2312" w:cs="Times New Roman"/>
          <w:sz w:val="32"/>
          <w:szCs w:val="32"/>
        </w:rPr>
        <w:t>3.绩效评价指标体系及工作方案的设计</w:t>
      </w:r>
      <w:bookmarkEnd w:id="25"/>
      <w:bookmarkEnd w:id="26"/>
      <w:bookmarkEnd w:id="27"/>
      <w:bookmarkEnd w:id="28"/>
      <w:bookmarkEnd w:id="29"/>
    </w:p>
    <w:p w14:paraId="38B75429">
      <w:pPr>
        <w:spacing w:line="560" w:lineRule="exact"/>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（1）绩效评价指标体系</w:t>
      </w:r>
    </w:p>
    <w:p w14:paraId="74CB0AD2">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绩效评价指标体系共设一级指标三个，分别为项目决策（20%）、项目管理（20%）、项目绩效（60%）；二级指标七个，分别为项目立项、项目目标、投入管理、财务管理、项目实施、项目产出、项目效益；再根据项目具体情况细化为三级指标及四级指标。</w:t>
      </w:r>
    </w:p>
    <w:p w14:paraId="70AE9D14">
      <w:pPr>
        <w:spacing w:line="560" w:lineRule="exact"/>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（2）工作方案</w:t>
      </w:r>
    </w:p>
    <w:p w14:paraId="61ECA09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绩效评价工作小组组织召开绩效评价会议，确定绩效评价重点，选取适合的绩效评价方式，制定绩效评价指标体系，明确绩效评价标准和评分标准，对相关单位的绩效资料报送情况进行现场核查、搜集证据材料，并形成评价结论，得出绩效评分。</w:t>
      </w:r>
    </w:p>
    <w:p w14:paraId="674E9777">
      <w:pPr>
        <w:topLinePunct/>
        <w:spacing w:line="560" w:lineRule="exact"/>
        <w:ind w:firstLine="640" w:firstLineChars="200"/>
        <w:rPr>
          <w:rFonts w:hint="default" w:ascii="Times New Roman" w:hAnsi="Times New Roman" w:eastAsia="楷体_GB2312" w:cs="Times New Roman"/>
          <w:sz w:val="32"/>
          <w:szCs w:val="32"/>
        </w:rPr>
      </w:pPr>
      <w:bookmarkStart w:id="30" w:name="_Toc4777"/>
      <w:bookmarkStart w:id="31" w:name="_Toc8398"/>
      <w:bookmarkStart w:id="32" w:name="_Toc23431"/>
      <w:bookmarkStart w:id="33" w:name="_Toc31696"/>
      <w:bookmarkStart w:id="34" w:name="_Toc16854"/>
      <w:r>
        <w:rPr>
          <w:rFonts w:hint="default" w:ascii="Times New Roman" w:hAnsi="Times New Roman" w:eastAsia="楷体_GB2312" w:cs="Times New Roman"/>
          <w:sz w:val="32"/>
          <w:szCs w:val="32"/>
        </w:rPr>
        <w:t>（三）绩效评价原则、评价方法</w:t>
      </w:r>
      <w:bookmarkEnd w:id="30"/>
      <w:bookmarkEnd w:id="31"/>
      <w:bookmarkEnd w:id="32"/>
      <w:bookmarkEnd w:id="33"/>
      <w:bookmarkEnd w:id="34"/>
    </w:p>
    <w:p w14:paraId="2D183630">
      <w:pPr>
        <w:spacing w:line="560" w:lineRule="exact"/>
        <w:ind w:firstLine="640" w:firstLineChars="200"/>
        <w:rPr>
          <w:rFonts w:hint="default" w:ascii="Times New Roman" w:hAnsi="Times New Roman" w:eastAsia="楷体" w:cs="Times New Roman"/>
          <w:sz w:val="32"/>
          <w:szCs w:val="32"/>
        </w:rPr>
      </w:pPr>
      <w:bookmarkStart w:id="35" w:name="_Toc6791"/>
      <w:bookmarkStart w:id="36" w:name="_Toc27743"/>
      <w:bookmarkStart w:id="37" w:name="_Toc18592"/>
      <w:bookmarkStart w:id="38" w:name="_Toc2411"/>
      <w:bookmarkStart w:id="39" w:name="_Toc5687"/>
      <w:r>
        <w:rPr>
          <w:rFonts w:hint="default" w:ascii="Times New Roman" w:hAnsi="Times New Roman" w:eastAsia="楷体" w:cs="Times New Roman"/>
          <w:sz w:val="32"/>
          <w:szCs w:val="32"/>
        </w:rPr>
        <w:t>1.绩效评价原则</w:t>
      </w:r>
      <w:bookmarkEnd w:id="35"/>
      <w:bookmarkEnd w:id="36"/>
      <w:bookmarkEnd w:id="37"/>
      <w:bookmarkEnd w:id="38"/>
      <w:bookmarkEnd w:id="39"/>
    </w:p>
    <w:p w14:paraId="60F9D35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（1）经济性、效率性和有效性原则。</w:t>
      </w:r>
    </w:p>
    <w:p w14:paraId="0C9A6A31">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（2）经济效益、社会效益和生态环境效益原则。</w:t>
      </w:r>
    </w:p>
    <w:p w14:paraId="0D5F7E0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（3）财政支出和产出绩效对应原则。</w:t>
      </w:r>
    </w:p>
    <w:p w14:paraId="2E4DDFA2">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（4）定量分析与定性分析相结合原则。</w:t>
      </w:r>
    </w:p>
    <w:p w14:paraId="16B07DC8">
      <w:pPr>
        <w:spacing w:line="560" w:lineRule="exact"/>
        <w:ind w:firstLine="640" w:firstLineChars="200"/>
        <w:rPr>
          <w:rFonts w:hint="default" w:ascii="Times New Roman" w:hAnsi="Times New Roman" w:eastAsia="楷体" w:cs="Times New Roman"/>
          <w:sz w:val="32"/>
          <w:szCs w:val="32"/>
        </w:rPr>
      </w:pPr>
      <w:bookmarkStart w:id="40" w:name="_Toc29617"/>
      <w:bookmarkStart w:id="41" w:name="_Toc27201"/>
      <w:bookmarkStart w:id="42" w:name="_Toc5026"/>
      <w:bookmarkStart w:id="43" w:name="_Toc10509"/>
      <w:bookmarkStart w:id="44" w:name="_Toc23218"/>
      <w:r>
        <w:rPr>
          <w:rFonts w:hint="default" w:ascii="Times New Roman" w:hAnsi="Times New Roman" w:eastAsia="楷体" w:cs="Times New Roman"/>
          <w:sz w:val="32"/>
          <w:szCs w:val="32"/>
        </w:rPr>
        <w:t>2.绩效评价方法</w:t>
      </w:r>
      <w:bookmarkEnd w:id="40"/>
      <w:bookmarkEnd w:id="41"/>
      <w:bookmarkEnd w:id="42"/>
      <w:bookmarkEnd w:id="43"/>
      <w:bookmarkEnd w:id="44"/>
    </w:p>
    <w:p w14:paraId="3F19E5B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预算法》，按照《昆明市人民政府关于全面推进预算绩效管理改革的实施意见》（昆政发﹝2016﹞21号）和《东川区财政局关于开展东川区2019年度绩效自评工作的通知》（东财绩〔2020〕3号）要求，采用定量分析与定性分析相结合、运用比较分析的办法，对部门规划、项目立项、管理制度、绩效指标、预算执行、资金使用、项目监管、绩效目标的完成情况及产生效果进行评价。</w:t>
      </w:r>
    </w:p>
    <w:p w14:paraId="0C15A0C0">
      <w:pPr>
        <w:topLinePunct/>
        <w:spacing w:line="560" w:lineRule="exact"/>
        <w:ind w:firstLine="640" w:firstLineChars="200"/>
        <w:rPr>
          <w:rFonts w:hint="default" w:ascii="Times New Roman" w:hAnsi="Times New Roman" w:eastAsia="楷体_GB2312" w:cs="Times New Roman"/>
          <w:sz w:val="32"/>
          <w:szCs w:val="32"/>
        </w:rPr>
      </w:pPr>
      <w:bookmarkStart w:id="45" w:name="_Toc14897"/>
      <w:bookmarkStart w:id="46" w:name="_Toc14305"/>
      <w:bookmarkStart w:id="47" w:name="_Toc21281"/>
      <w:bookmarkStart w:id="48" w:name="_Toc21724"/>
      <w:bookmarkStart w:id="49" w:name="_Toc30480"/>
      <w:r>
        <w:rPr>
          <w:rFonts w:hint="default" w:ascii="Times New Roman" w:hAnsi="Times New Roman" w:eastAsia="楷体_GB2312" w:cs="Times New Roman"/>
          <w:sz w:val="32"/>
          <w:szCs w:val="32"/>
        </w:rPr>
        <w:t>（四）绩效评价实施过程</w:t>
      </w:r>
      <w:bookmarkEnd w:id="45"/>
      <w:bookmarkEnd w:id="46"/>
      <w:bookmarkEnd w:id="47"/>
      <w:bookmarkEnd w:id="48"/>
      <w:bookmarkEnd w:id="49"/>
    </w:p>
    <w:p w14:paraId="2C2DDEF5">
      <w:pPr>
        <w:topLinePunct/>
        <w:spacing w:line="560" w:lineRule="exact"/>
        <w:ind w:firstLine="640" w:firstLineChars="200"/>
        <w:rPr>
          <w:rFonts w:hint="default" w:ascii="Times New Roman" w:hAnsi="Times New Roman" w:eastAsia="楷体" w:cs="Times New Roman"/>
          <w:sz w:val="32"/>
          <w:szCs w:val="32"/>
        </w:rPr>
      </w:pPr>
      <w:bookmarkStart w:id="50" w:name="_Toc11515"/>
      <w:bookmarkStart w:id="51" w:name="_Toc12189"/>
      <w:bookmarkStart w:id="52" w:name="_Toc31294"/>
      <w:bookmarkStart w:id="53" w:name="_Toc20026"/>
      <w:bookmarkStart w:id="54" w:name="_Toc26488"/>
      <w:r>
        <w:rPr>
          <w:rFonts w:hint="default" w:ascii="Times New Roman" w:hAnsi="Times New Roman" w:eastAsia="楷体" w:cs="Times New Roman"/>
          <w:sz w:val="32"/>
          <w:szCs w:val="32"/>
        </w:rPr>
        <w:t>1.数据填报和采集</w:t>
      </w:r>
      <w:bookmarkEnd w:id="50"/>
      <w:bookmarkEnd w:id="51"/>
      <w:bookmarkEnd w:id="52"/>
      <w:bookmarkEnd w:id="53"/>
      <w:bookmarkEnd w:id="54"/>
    </w:p>
    <w:p w14:paraId="5AC1A56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本次绩效评价数据来源于预算批复及明细、部门决算报表、绩效目标申报表、绩效目标完成情况、部门年度工作总结，基础数据台账，根据以上资料进行分析汇总，形成绩效自评报告的基础数据。</w:t>
      </w:r>
    </w:p>
    <w:p w14:paraId="1B9DDAB4">
      <w:pPr>
        <w:topLinePunct/>
        <w:spacing w:line="560" w:lineRule="exact"/>
        <w:ind w:firstLine="640" w:firstLineChars="200"/>
        <w:rPr>
          <w:rFonts w:hint="default" w:ascii="Times New Roman" w:hAnsi="Times New Roman" w:eastAsia="楷体" w:cs="Times New Roman"/>
          <w:sz w:val="32"/>
          <w:szCs w:val="32"/>
        </w:rPr>
      </w:pPr>
      <w:bookmarkStart w:id="55" w:name="_Toc25105"/>
      <w:bookmarkStart w:id="56" w:name="_Toc29815"/>
      <w:bookmarkStart w:id="57" w:name="_Toc22622"/>
      <w:bookmarkStart w:id="58" w:name="_Toc18143"/>
      <w:bookmarkStart w:id="59" w:name="_Toc27401"/>
      <w:r>
        <w:rPr>
          <w:rFonts w:hint="default" w:ascii="Times New Roman" w:hAnsi="Times New Roman" w:eastAsia="楷体" w:cs="Times New Roman"/>
          <w:sz w:val="32"/>
          <w:szCs w:val="32"/>
        </w:rPr>
        <w:t>2.社会调查</w:t>
      </w:r>
      <w:bookmarkEnd w:id="55"/>
      <w:bookmarkEnd w:id="56"/>
      <w:bookmarkEnd w:id="57"/>
      <w:bookmarkEnd w:id="58"/>
      <w:bookmarkEnd w:id="59"/>
    </w:p>
    <w:p w14:paraId="5899C8CB">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结合《舍块乡万只优质生态羊养殖可行性研究报告》，待基建完善后，及时发放问卷调查。</w:t>
      </w:r>
    </w:p>
    <w:p w14:paraId="3DA8C067">
      <w:pPr>
        <w:topLinePunct/>
        <w:spacing w:line="560" w:lineRule="exact"/>
        <w:ind w:firstLine="640" w:firstLineChars="200"/>
        <w:rPr>
          <w:rFonts w:hint="default" w:ascii="Times New Roman" w:hAnsi="Times New Roman" w:eastAsia="楷体" w:cs="Times New Roman"/>
          <w:sz w:val="32"/>
          <w:szCs w:val="32"/>
        </w:rPr>
      </w:pPr>
      <w:bookmarkStart w:id="60" w:name="_Toc22039"/>
      <w:bookmarkStart w:id="61" w:name="_Toc10194"/>
      <w:bookmarkStart w:id="62" w:name="_Toc6579"/>
      <w:bookmarkStart w:id="63" w:name="_Toc19145"/>
      <w:bookmarkStart w:id="64" w:name="_Toc21831"/>
      <w:r>
        <w:rPr>
          <w:rFonts w:hint="default" w:ascii="Times New Roman" w:hAnsi="Times New Roman" w:eastAsia="楷体" w:cs="Times New Roman"/>
          <w:sz w:val="32"/>
          <w:szCs w:val="32"/>
        </w:rPr>
        <w:t>3.数据分析和撰写报告</w:t>
      </w:r>
      <w:bookmarkEnd w:id="60"/>
      <w:bookmarkEnd w:id="61"/>
      <w:bookmarkEnd w:id="62"/>
      <w:bookmarkEnd w:id="63"/>
      <w:bookmarkEnd w:id="64"/>
    </w:p>
    <w:p w14:paraId="012BC03A">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根据要求，《舍块乡万只优质生态羊养殖可行性研究报告》支出从项目决策、项目管理、项目绩效（包括产出和效益）三个方面进行评价，得出评价结论及得分，撰写绩效自评报告。</w:t>
      </w:r>
    </w:p>
    <w:p w14:paraId="02E93F1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项目决策方面，主要是评价绩效目标的设定情况，包括绩效目标设立的充分性、明确性、合理性以及细化程度，看绩效目标的设立是否符合客观实际，是否与部门履职相一致，绩效指标是否清晰、细化、可衡量。</w:t>
      </w:r>
    </w:p>
    <w:p w14:paraId="197ADFE7">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管理方面，主要是资金投入和使用情况、未实现绩效目标制定的制度、采取的措施等，包括评价资金分配过程、投入方式、资金到位、预算执行和结果；看资金分配过程是否科学规范，资金投入方式是否合理，资金是否及时到位，预算执行进度是否按预期进行，资金使用是否经济有效；项目制度包括项目管理制度、财务管理制度、资产管理制度和绩效跟踪管理措施以及制度措施的落实情况。</w:t>
      </w:r>
    </w:p>
    <w:p w14:paraId="454F049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项目绩效方面，主要是绩效目标的实现程度和效果，绩效目标的实现程度包括产出数量、产出质量、产出时效和产出成本；效果包括经济效益、社会效益、生态效益、可持续影响以及服务对象满意度等。</w:t>
      </w:r>
    </w:p>
    <w:p w14:paraId="530CFF49">
      <w:pPr>
        <w:topLinePunct/>
        <w:spacing w:line="560" w:lineRule="exact"/>
        <w:ind w:firstLine="640" w:firstLineChars="200"/>
        <w:rPr>
          <w:rFonts w:hint="default" w:ascii="Times New Roman" w:hAnsi="Times New Roman" w:eastAsia="楷体_GB2312" w:cs="Times New Roman"/>
          <w:sz w:val="32"/>
          <w:szCs w:val="32"/>
        </w:rPr>
      </w:pPr>
      <w:bookmarkStart w:id="65" w:name="_Toc18683"/>
      <w:bookmarkStart w:id="66" w:name="_Toc1372"/>
      <w:bookmarkStart w:id="67" w:name="_Toc12173"/>
      <w:bookmarkStart w:id="68" w:name="_Toc11230"/>
      <w:bookmarkStart w:id="69" w:name="_Toc22705"/>
      <w:r>
        <w:rPr>
          <w:rFonts w:hint="default" w:ascii="Times New Roman" w:hAnsi="Times New Roman" w:eastAsia="楷体_GB2312" w:cs="Times New Roman"/>
          <w:sz w:val="32"/>
          <w:szCs w:val="32"/>
        </w:rPr>
        <w:t>（五）本次绩效评价的局限性</w:t>
      </w:r>
      <w:bookmarkEnd w:id="65"/>
      <w:bookmarkEnd w:id="66"/>
      <w:bookmarkEnd w:id="67"/>
      <w:bookmarkEnd w:id="68"/>
      <w:bookmarkEnd w:id="69"/>
    </w:p>
    <w:p w14:paraId="22369EE8">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由于本次绩效评价为自评，带有一定的主观性，不能全面反映各部门项目实施的实际绩效。</w:t>
      </w:r>
    </w:p>
    <w:p w14:paraId="3C6B51C2">
      <w:pPr>
        <w:spacing w:line="560" w:lineRule="exact"/>
        <w:ind w:firstLine="640" w:firstLineChars="200"/>
        <w:rPr>
          <w:rFonts w:hint="default" w:ascii="Times New Roman" w:hAnsi="Times New Roman" w:eastAsia="黑体" w:cs="Times New Roman"/>
          <w:sz w:val="32"/>
          <w:szCs w:val="32"/>
        </w:rPr>
      </w:pPr>
      <w:bookmarkStart w:id="70" w:name="_Toc1701"/>
      <w:bookmarkStart w:id="71" w:name="_Toc13641"/>
      <w:bookmarkStart w:id="72" w:name="_Toc15659"/>
      <w:bookmarkStart w:id="73" w:name="_Toc6786"/>
      <w:bookmarkStart w:id="74" w:name="_Toc272"/>
      <w:r>
        <w:rPr>
          <w:rFonts w:hint="default" w:ascii="Times New Roman" w:hAnsi="Times New Roman" w:eastAsia="黑体" w:cs="Times New Roman"/>
          <w:sz w:val="32"/>
          <w:szCs w:val="32"/>
        </w:rPr>
        <w:t>三、评价结论和绩效分析</w:t>
      </w:r>
      <w:bookmarkEnd w:id="70"/>
      <w:bookmarkEnd w:id="71"/>
      <w:bookmarkEnd w:id="72"/>
      <w:bookmarkEnd w:id="73"/>
      <w:bookmarkEnd w:id="74"/>
    </w:p>
    <w:p w14:paraId="09A24AC3">
      <w:pPr>
        <w:topLinePunct/>
        <w:spacing w:line="560" w:lineRule="exact"/>
        <w:ind w:firstLine="640" w:firstLineChars="200"/>
        <w:rPr>
          <w:rFonts w:hint="default" w:ascii="Times New Roman" w:hAnsi="Times New Roman" w:eastAsia="楷体_GB2312" w:cs="Times New Roman"/>
          <w:sz w:val="32"/>
          <w:szCs w:val="32"/>
        </w:rPr>
      </w:pPr>
      <w:bookmarkStart w:id="75" w:name="_Toc8710"/>
      <w:bookmarkStart w:id="76" w:name="_Toc2827"/>
      <w:bookmarkStart w:id="77" w:name="_Toc9200"/>
      <w:bookmarkStart w:id="78" w:name="_Toc4027"/>
      <w:bookmarkStart w:id="79" w:name="_Toc17290"/>
      <w:r>
        <w:rPr>
          <w:rFonts w:hint="default" w:ascii="Times New Roman" w:hAnsi="Times New Roman" w:eastAsia="楷体_GB2312" w:cs="Times New Roman"/>
          <w:sz w:val="32"/>
          <w:szCs w:val="32"/>
        </w:rPr>
        <w:t>（一）评价结论</w:t>
      </w:r>
      <w:bookmarkEnd w:id="75"/>
      <w:bookmarkEnd w:id="76"/>
      <w:bookmarkEnd w:id="77"/>
      <w:bookmarkEnd w:id="78"/>
      <w:bookmarkEnd w:id="79"/>
    </w:p>
    <w:p w14:paraId="192E4F1A">
      <w:pPr>
        <w:spacing w:line="560" w:lineRule="exact"/>
        <w:ind w:firstLine="643" w:firstLineChars="200"/>
        <w:rPr>
          <w:rFonts w:hint="default" w:ascii="Times New Roman" w:hAnsi="Times New Roman" w:eastAsia="仿宋_GB2312" w:cs="Times New Roman"/>
          <w:b/>
          <w:bCs/>
          <w:sz w:val="32"/>
          <w:szCs w:val="32"/>
        </w:rPr>
      </w:pPr>
      <w:bookmarkStart w:id="80" w:name="_Toc3852"/>
      <w:bookmarkStart w:id="81" w:name="_Toc13857"/>
      <w:bookmarkStart w:id="82" w:name="_Toc13793"/>
      <w:bookmarkStart w:id="83" w:name="_Toc24264"/>
      <w:bookmarkStart w:id="84" w:name="_Toc12036"/>
      <w:r>
        <w:rPr>
          <w:rFonts w:hint="default" w:ascii="Times New Roman" w:hAnsi="Times New Roman" w:eastAsia="仿宋_GB2312" w:cs="Times New Roman"/>
          <w:b/>
          <w:bCs/>
          <w:sz w:val="32"/>
          <w:szCs w:val="32"/>
        </w:rPr>
        <w:t>1.评价结果</w:t>
      </w:r>
      <w:bookmarkEnd w:id="80"/>
      <w:bookmarkEnd w:id="81"/>
      <w:bookmarkEnd w:id="82"/>
      <w:bookmarkEnd w:id="83"/>
      <w:bookmarkEnd w:id="84"/>
    </w:p>
    <w:p w14:paraId="4DCF9F1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经评价，本次舍块乡万只优质生态羊基础设施建设项目支出绩效自评得分97.00分，评价等级为“优”。</w:t>
      </w:r>
    </w:p>
    <w:p w14:paraId="73FFB680">
      <w:pPr>
        <w:spacing w:line="560" w:lineRule="exact"/>
        <w:ind w:firstLine="643" w:firstLineChars="200"/>
        <w:rPr>
          <w:rFonts w:hint="default" w:ascii="Times New Roman" w:hAnsi="Times New Roman" w:eastAsia="仿宋_GB2312" w:cs="Times New Roman"/>
          <w:b/>
          <w:bCs/>
          <w:sz w:val="32"/>
          <w:szCs w:val="32"/>
        </w:rPr>
      </w:pPr>
      <w:bookmarkStart w:id="85" w:name="_Toc30634"/>
      <w:bookmarkStart w:id="86" w:name="_Toc24329"/>
      <w:bookmarkStart w:id="87" w:name="_Toc25256"/>
      <w:bookmarkStart w:id="88" w:name="_Toc8576"/>
      <w:bookmarkStart w:id="89" w:name="_Toc21381"/>
      <w:r>
        <w:rPr>
          <w:rFonts w:hint="default" w:ascii="Times New Roman" w:hAnsi="Times New Roman" w:eastAsia="仿宋_GB2312" w:cs="Times New Roman"/>
          <w:b/>
          <w:bCs/>
          <w:sz w:val="32"/>
          <w:szCs w:val="32"/>
        </w:rPr>
        <w:t>2.主要绩效</w:t>
      </w:r>
      <w:bookmarkEnd w:id="85"/>
      <w:bookmarkEnd w:id="86"/>
      <w:bookmarkEnd w:id="87"/>
      <w:bookmarkEnd w:id="88"/>
      <w:bookmarkEnd w:id="89"/>
    </w:p>
    <w:p w14:paraId="1C6A8B9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（1）建设内容：舍块乡万只优质生态羊养殖项目建设内容包括育肥场建设和牧区建设两部分，其中育肥场建设规划总用地面积为 33618.36㎡，约 50.43 亩；包括工人住宿区建设 630.68 平方米、标准羊舍建设 6026.44 平方米、饲料加工存储房 258.72 平方米、隔离舍建设 112.24 平方米、草料仓库建设 513.85 平方米、消毒室和兽医室建设 184 平方米、储饲槽（青贮池）建设 375.5 平方米、附属设施（药浴池 2 个、消毒池 3 个、堆粪场 1 个 108 平方米、蓄水池 1 个 66.33 平方米、建设门卫消毒室两个 82.94 平方米）。</w:t>
      </w:r>
    </w:p>
    <w:p w14:paraId="5AFBFE6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（2）增加贫困户收入，助力脱贫。</w:t>
      </w:r>
    </w:p>
    <w:p w14:paraId="50E5173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的建设有利于破解“三农”难题，带动城乡经济发展，是促使群众致富的新措施。项目实施可增加新的就业岗位，为农村富余劳动力向非农产业和城镇转移创造条件，促进农业和农村产业结构的调整，并带动农村第三产业的迅速发展，使农村经济得到繁荣、农民收入得到增加、农民生活水平得到提高。项目建成达产后，每年出栏 5000 只生态羊，按照市场价每只羊 1440 元售出，本项目以发展生态型、循环型、质量安全型的现代畜牧业为根本，促进农牧业实现可持续发展，促进农户脱贫致富。项目年平均营业收入约1264.13 万元，实现年平均利润 284.08 万元，投资利润率为 5.57%，项目财务内部收益率 4.91%，项目财务净现值 521.47 万元，投资回收期（含建设期）为 12.00 年。从产品销售价格下降和经营成本的上升来看，其财务内部收益率都远高于本行业的基准收益率，因此，项目抗风险的能力强。</w:t>
      </w:r>
    </w:p>
    <w:p w14:paraId="72F6974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（3）项目达产后，每年可提供生态羊供应各乡镇生态放养场，带动农村人口就业难的问题，解决城乡闲置劳动力就业，增加农民收入，为高寒贫困山区生态建设和产业扶贫提供技术支撑和示范。</w:t>
      </w:r>
    </w:p>
    <w:p w14:paraId="2A6937FF">
      <w:pPr>
        <w:topLinePunct/>
        <w:spacing w:line="560" w:lineRule="exact"/>
        <w:ind w:firstLine="640" w:firstLineChars="200"/>
        <w:rPr>
          <w:rFonts w:hint="default" w:ascii="Times New Roman" w:hAnsi="Times New Roman" w:eastAsia="楷体_GB2312" w:cs="Times New Roman"/>
          <w:sz w:val="32"/>
          <w:szCs w:val="32"/>
        </w:rPr>
      </w:pPr>
      <w:bookmarkStart w:id="90" w:name="_Toc22853"/>
      <w:bookmarkStart w:id="91" w:name="_Toc14490"/>
      <w:bookmarkStart w:id="92" w:name="_Toc18842"/>
      <w:bookmarkStart w:id="93" w:name="_Toc21264"/>
      <w:bookmarkStart w:id="94" w:name="_Toc11564"/>
      <w:r>
        <w:rPr>
          <w:rFonts w:hint="default" w:ascii="Times New Roman" w:hAnsi="Times New Roman" w:eastAsia="楷体_GB2312" w:cs="Times New Roman"/>
          <w:sz w:val="32"/>
          <w:szCs w:val="32"/>
        </w:rPr>
        <w:t>（二）具体绩效分析</w:t>
      </w:r>
      <w:bookmarkEnd w:id="90"/>
      <w:bookmarkEnd w:id="91"/>
      <w:bookmarkEnd w:id="92"/>
      <w:bookmarkEnd w:id="93"/>
      <w:bookmarkEnd w:id="94"/>
    </w:p>
    <w:p w14:paraId="2F1A4B19">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本项目实施除带来直接的经济效益外，还可安置就业人员 80名，带动全乡 1153 户建档立卡贫困户，帮助建档立卡贫困户实现农业增效、农民增收，真正实现脱贫致富，早日过上小康生活。有助于当地畜牧业、农业结构调整，在培育现代农业的开发过程中，带动其它相关产业发展。</w:t>
      </w:r>
    </w:p>
    <w:p w14:paraId="0B072666">
      <w:pPr>
        <w:spacing w:line="560" w:lineRule="exact"/>
        <w:ind w:firstLine="640" w:firstLineChars="200"/>
        <w:rPr>
          <w:rFonts w:hint="default" w:ascii="Times New Roman" w:hAnsi="Times New Roman" w:eastAsia="黑体" w:cs="Times New Roman"/>
          <w:sz w:val="32"/>
          <w:szCs w:val="32"/>
        </w:rPr>
      </w:pPr>
      <w:bookmarkStart w:id="95" w:name="_Toc16784"/>
      <w:bookmarkStart w:id="96" w:name="_Toc26183"/>
      <w:bookmarkStart w:id="97" w:name="_Toc10977"/>
      <w:bookmarkStart w:id="98" w:name="_Toc17660"/>
      <w:bookmarkStart w:id="99" w:name="_Toc23353"/>
      <w:r>
        <w:rPr>
          <w:rFonts w:hint="default" w:ascii="Times New Roman" w:hAnsi="Times New Roman" w:eastAsia="黑体" w:cs="Times New Roman"/>
          <w:sz w:val="32"/>
          <w:szCs w:val="32"/>
        </w:rPr>
        <w:t>四、成本效益分析</w:t>
      </w:r>
      <w:bookmarkEnd w:id="95"/>
      <w:bookmarkEnd w:id="96"/>
      <w:bookmarkEnd w:id="97"/>
      <w:bookmarkEnd w:id="98"/>
      <w:bookmarkEnd w:id="99"/>
    </w:p>
    <w:p w14:paraId="0606EA9E">
      <w:pPr>
        <w:topLinePunct/>
        <w:spacing w:line="560" w:lineRule="exact"/>
        <w:ind w:firstLine="640" w:firstLineChars="200"/>
        <w:rPr>
          <w:rFonts w:hint="default" w:ascii="Times New Roman" w:hAnsi="Times New Roman" w:eastAsia="楷体_GB2312" w:cs="Times New Roman"/>
          <w:sz w:val="32"/>
          <w:szCs w:val="32"/>
        </w:rPr>
      </w:pPr>
      <w:bookmarkStart w:id="100" w:name="_Toc1421"/>
      <w:bookmarkStart w:id="101" w:name="_Toc26647"/>
      <w:bookmarkStart w:id="102" w:name="_Toc1130"/>
      <w:bookmarkStart w:id="103" w:name="_Toc27676"/>
      <w:bookmarkStart w:id="104" w:name="_Toc13043_WPSOffice_Level2"/>
      <w:bookmarkStart w:id="105" w:name="_Toc18099"/>
      <w:r>
        <w:rPr>
          <w:rFonts w:hint="default" w:ascii="Times New Roman" w:hAnsi="Times New Roman" w:eastAsia="楷体_GB2312" w:cs="Times New Roman"/>
          <w:sz w:val="32"/>
          <w:szCs w:val="32"/>
        </w:rPr>
        <w:t>（一）经济性分析</w:t>
      </w:r>
      <w:bookmarkEnd w:id="100"/>
      <w:bookmarkEnd w:id="101"/>
      <w:bookmarkEnd w:id="102"/>
      <w:bookmarkEnd w:id="103"/>
      <w:bookmarkEnd w:id="104"/>
      <w:bookmarkEnd w:id="105"/>
    </w:p>
    <w:p w14:paraId="0A6D935A">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每年出栏 5000 只生态羊，按照市场价每只羊 1440 元售出，本项目以发展生态型、循环型、质量安全型的现代畜牧业为根本，促进农牧业实现可持续发展，促进农户脱贫致富。项目年平均营业收入约1264.13 万元，实现年平均利润 284.08 万元，投资利润率为 5.57%，项目财务内部收益率 4.91%，项目财务净现值 521.47 万元，投资回收期（含建设期）为 12.00 年。</w:t>
      </w:r>
    </w:p>
    <w:p w14:paraId="6A1D1DBE">
      <w:pPr>
        <w:topLinePunct/>
        <w:spacing w:line="560" w:lineRule="exact"/>
        <w:ind w:firstLine="640" w:firstLineChars="200"/>
        <w:rPr>
          <w:rFonts w:hint="default" w:ascii="Times New Roman" w:hAnsi="Times New Roman" w:eastAsia="楷体_GB2312" w:cs="Times New Roman"/>
          <w:sz w:val="32"/>
          <w:szCs w:val="32"/>
        </w:rPr>
      </w:pPr>
      <w:bookmarkStart w:id="106" w:name="_Toc6971"/>
      <w:bookmarkStart w:id="107" w:name="_Toc923_WPSOffice_Level2"/>
      <w:bookmarkStart w:id="108" w:name="_Toc164"/>
      <w:bookmarkStart w:id="109" w:name="_Toc19750"/>
      <w:bookmarkStart w:id="110" w:name="_Toc18058"/>
      <w:bookmarkStart w:id="111" w:name="_Toc14635"/>
      <w:r>
        <w:rPr>
          <w:rFonts w:hint="default" w:ascii="Times New Roman" w:hAnsi="Times New Roman" w:eastAsia="楷体_GB2312" w:cs="Times New Roman"/>
          <w:sz w:val="32"/>
          <w:szCs w:val="32"/>
        </w:rPr>
        <w:t>（二）效率性分析</w:t>
      </w:r>
      <w:bookmarkEnd w:id="106"/>
      <w:bookmarkEnd w:id="107"/>
      <w:bookmarkEnd w:id="108"/>
      <w:bookmarkEnd w:id="109"/>
      <w:bookmarkEnd w:id="110"/>
      <w:bookmarkEnd w:id="111"/>
    </w:p>
    <w:p w14:paraId="7C43BE6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舍块乡万只优质生态羊养殖项目支出绩效情况良好，按年初设定的目标任务执行效率完成各项工作。</w:t>
      </w:r>
    </w:p>
    <w:p w14:paraId="63A3A42D">
      <w:pPr>
        <w:topLinePunct/>
        <w:spacing w:line="560" w:lineRule="exact"/>
        <w:ind w:firstLine="640" w:firstLineChars="200"/>
        <w:rPr>
          <w:rFonts w:hint="default" w:ascii="Times New Roman" w:hAnsi="Times New Roman" w:eastAsia="楷体_GB2312" w:cs="Times New Roman"/>
          <w:sz w:val="32"/>
          <w:szCs w:val="32"/>
        </w:rPr>
      </w:pPr>
      <w:bookmarkStart w:id="112" w:name="_Toc22467"/>
      <w:bookmarkStart w:id="113" w:name="_Toc27896_WPSOffice_Level2"/>
      <w:bookmarkStart w:id="114" w:name="_Toc26716"/>
      <w:bookmarkStart w:id="115" w:name="_Toc25507"/>
      <w:bookmarkStart w:id="116" w:name="_Toc27495"/>
      <w:bookmarkStart w:id="117" w:name="_Toc32667"/>
      <w:r>
        <w:rPr>
          <w:rFonts w:hint="default" w:ascii="Times New Roman" w:hAnsi="Times New Roman" w:eastAsia="楷体_GB2312" w:cs="Times New Roman"/>
          <w:sz w:val="32"/>
          <w:szCs w:val="32"/>
        </w:rPr>
        <w:t>（三）效益性分析</w:t>
      </w:r>
      <w:bookmarkEnd w:id="112"/>
      <w:bookmarkEnd w:id="113"/>
      <w:bookmarkEnd w:id="114"/>
      <w:bookmarkEnd w:id="115"/>
      <w:bookmarkEnd w:id="116"/>
      <w:bookmarkEnd w:id="117"/>
    </w:p>
    <w:p w14:paraId="41689C7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本项目实施除带来直接的经济效益外，还可安置就业人员 80名，带动全乡 1153 户建档立卡贫困户，帮助建档立卡贫困户实现农业增效、农民增收，真正实现脱贫致富，早日过上小康生活。有助于当地畜牧业、农业结构调整，在培育现代农业的开发过程中，带动其它相关产业发展。</w:t>
      </w:r>
    </w:p>
    <w:p w14:paraId="41CEAB0E">
      <w:pPr>
        <w:spacing w:line="560" w:lineRule="exact"/>
        <w:ind w:firstLine="640" w:firstLineChars="200"/>
        <w:rPr>
          <w:rFonts w:hint="default" w:ascii="Times New Roman" w:hAnsi="Times New Roman" w:eastAsia="黑体" w:cs="Times New Roman"/>
          <w:sz w:val="32"/>
          <w:szCs w:val="32"/>
        </w:rPr>
      </w:pPr>
      <w:bookmarkStart w:id="118" w:name="_Toc7442"/>
      <w:bookmarkStart w:id="119" w:name="_Toc16044"/>
      <w:bookmarkStart w:id="120" w:name="_Toc8178"/>
      <w:bookmarkStart w:id="121" w:name="_Toc22851"/>
      <w:bookmarkStart w:id="122" w:name="_Toc14019"/>
      <w:r>
        <w:rPr>
          <w:rFonts w:hint="default" w:ascii="Times New Roman" w:hAnsi="Times New Roman" w:eastAsia="黑体" w:cs="Times New Roman"/>
          <w:sz w:val="32"/>
          <w:szCs w:val="32"/>
        </w:rPr>
        <w:t>五、主要经验及做法、存在的问题和建议</w:t>
      </w:r>
      <w:bookmarkEnd w:id="118"/>
      <w:bookmarkEnd w:id="119"/>
      <w:bookmarkEnd w:id="120"/>
      <w:bookmarkEnd w:id="121"/>
      <w:bookmarkEnd w:id="122"/>
    </w:p>
    <w:p w14:paraId="29096F74">
      <w:pPr>
        <w:topLinePunct/>
        <w:spacing w:line="560" w:lineRule="exact"/>
        <w:ind w:firstLine="640" w:firstLineChars="200"/>
        <w:rPr>
          <w:rFonts w:hint="default" w:ascii="Times New Roman" w:hAnsi="Times New Roman" w:eastAsia="楷体_GB2312" w:cs="Times New Roman"/>
          <w:sz w:val="32"/>
          <w:szCs w:val="32"/>
        </w:rPr>
      </w:pPr>
      <w:bookmarkStart w:id="123" w:name="_Toc19758"/>
      <w:bookmarkStart w:id="124" w:name="_Toc32389"/>
      <w:bookmarkStart w:id="125" w:name="_Toc26885"/>
      <w:bookmarkStart w:id="126" w:name="_Toc11897"/>
      <w:bookmarkStart w:id="127" w:name="_Toc22699"/>
      <w:r>
        <w:rPr>
          <w:rFonts w:hint="default" w:ascii="Times New Roman" w:hAnsi="Times New Roman" w:eastAsia="楷体_GB2312" w:cs="Times New Roman"/>
          <w:sz w:val="32"/>
          <w:szCs w:val="32"/>
        </w:rPr>
        <w:t>（一）主要经验及做法</w:t>
      </w:r>
      <w:bookmarkEnd w:id="123"/>
      <w:bookmarkEnd w:id="124"/>
      <w:bookmarkEnd w:id="125"/>
      <w:bookmarkEnd w:id="126"/>
      <w:bookmarkEnd w:id="127"/>
    </w:p>
    <w:p w14:paraId="5AB6B32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1.因地制宜建链接。实施了“扶贫公司+合作社+大户（党员）+贫困户”发展模式。</w:t>
      </w:r>
    </w:p>
    <w:p w14:paraId="35CBE16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2.产业带贫促合作。根据舍块草山资源，每个村确立1个主导产业，2个以上辅助产业。引导村集体经济起步发展。</w:t>
      </w:r>
    </w:p>
    <w:p w14:paraId="466A3461">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3.脱贫基础持续巩固提升，全面补齐了脱贫攻坚短板</w:t>
      </w:r>
      <w:bookmarkStart w:id="128" w:name="_Toc5960"/>
      <w:bookmarkStart w:id="129" w:name="_Toc12329"/>
      <w:bookmarkStart w:id="130" w:name="_Toc40"/>
      <w:bookmarkStart w:id="131" w:name="_Toc30126"/>
      <w:r>
        <w:rPr>
          <w:rFonts w:hint="default" w:ascii="Times New Roman" w:hAnsi="Times New Roman" w:eastAsia="仿宋_GB2312" w:cs="Times New Roman"/>
          <w:sz w:val="32"/>
          <w:szCs w:val="32"/>
        </w:rPr>
        <w:t>。</w:t>
      </w:r>
    </w:p>
    <w:p w14:paraId="76A0BEC9">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4.探索岩溶地区草山综合利用和保护的有效经验。</w:t>
      </w:r>
    </w:p>
    <w:p w14:paraId="1BEDF77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5.促进舍块乡农村产业转型升级。</w:t>
      </w:r>
    </w:p>
    <w:p w14:paraId="15E1DE7E">
      <w:pPr>
        <w:topLinePunct/>
        <w:spacing w:line="560" w:lineRule="exact"/>
        <w:ind w:firstLine="640" w:firstLineChars="200"/>
        <w:rPr>
          <w:rFonts w:hint="default" w:ascii="Times New Roman" w:hAnsi="Times New Roman" w:eastAsia="楷体_GB2312" w:cs="Times New Roman"/>
          <w:sz w:val="32"/>
          <w:szCs w:val="32"/>
        </w:rPr>
      </w:pPr>
      <w:bookmarkStart w:id="132" w:name="_Toc23695"/>
      <w:r>
        <w:rPr>
          <w:rFonts w:hint="default" w:ascii="Times New Roman" w:hAnsi="Times New Roman" w:eastAsia="楷体_GB2312" w:cs="Times New Roman"/>
          <w:sz w:val="32"/>
          <w:szCs w:val="32"/>
        </w:rPr>
        <w:t>（二）存在的问题</w:t>
      </w:r>
      <w:bookmarkEnd w:id="128"/>
      <w:bookmarkEnd w:id="129"/>
      <w:bookmarkEnd w:id="130"/>
      <w:bookmarkEnd w:id="131"/>
      <w:bookmarkEnd w:id="132"/>
    </w:p>
    <w:p w14:paraId="776F461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1.部分绩效内容在设定上量化不够具体，考核标准、考核条件过于简单和笼统，需进一步细化绩效考核指标，加强考核标准及考核条件。</w:t>
      </w:r>
    </w:p>
    <w:p w14:paraId="3149B09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2.地处高寒山区容易受极端天气影响导致项目前期进展缓慢。</w:t>
      </w:r>
    </w:p>
    <w:p w14:paraId="0DA1FFC3">
      <w:pPr>
        <w:topLinePunct/>
        <w:spacing w:line="560" w:lineRule="exact"/>
        <w:ind w:firstLine="640" w:firstLineChars="200"/>
        <w:rPr>
          <w:rFonts w:hint="default" w:ascii="Times New Roman" w:hAnsi="Times New Roman" w:eastAsia="楷体_GB2312" w:cs="Times New Roman"/>
          <w:sz w:val="32"/>
          <w:szCs w:val="32"/>
        </w:rPr>
      </w:pPr>
      <w:bookmarkStart w:id="133" w:name="_Toc28793"/>
      <w:r>
        <w:rPr>
          <w:rFonts w:hint="default" w:ascii="Times New Roman" w:hAnsi="Times New Roman" w:eastAsia="楷体_GB2312" w:cs="Times New Roman"/>
          <w:sz w:val="32"/>
          <w:szCs w:val="32"/>
        </w:rPr>
        <w:t>（三）建议和改进措施</w:t>
      </w:r>
      <w:bookmarkEnd w:id="133"/>
    </w:p>
    <w:p w14:paraId="546E244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1.结合舍块乡实际开展绩效评价，绩效评价亮化有待进一步加强。</w:t>
      </w:r>
    </w:p>
    <w:p w14:paraId="56870FC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2.请区级财政支持舍块乡万只优质生态羊养殖项目资金适当加快拨款速度，项目绩效将更加显著。</w:t>
      </w:r>
    </w:p>
    <w:p w14:paraId="5DC96B0A">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3.请区级职能部门加强舍块乡万只优质生态羊养殖的技术指导。</w:t>
      </w:r>
    </w:p>
    <w:p w14:paraId="4D215106">
      <w:pPr>
        <w:spacing w:line="560" w:lineRule="exact"/>
        <w:ind w:firstLine="640" w:firstLineChars="200"/>
        <w:rPr>
          <w:rFonts w:hint="default" w:ascii="Times New Roman" w:hAnsi="Times New Roman" w:eastAsia="黑体" w:cs="Times New Roman"/>
          <w:sz w:val="32"/>
          <w:szCs w:val="32"/>
        </w:rPr>
      </w:pPr>
    </w:p>
    <w:p w14:paraId="4525DD8B">
      <w:pPr>
        <w:spacing w:line="560" w:lineRule="exact"/>
        <w:ind w:firstLine="640" w:firstLineChars="200"/>
        <w:rPr>
          <w:rFonts w:hint="default" w:ascii="Times New Roman" w:hAnsi="Times New Roman" w:eastAsia="黑体" w:cs="Times New Roman"/>
          <w:sz w:val="32"/>
          <w:szCs w:val="32"/>
        </w:rPr>
      </w:pPr>
    </w:p>
    <w:p w14:paraId="7ABA1151">
      <w:pPr>
        <w:spacing w:line="560" w:lineRule="exact"/>
        <w:ind w:firstLine="640" w:firstLineChars="200"/>
        <w:rPr>
          <w:rFonts w:hint="default" w:ascii="Times New Roman" w:hAnsi="Times New Roman" w:eastAsia="黑体" w:cs="Times New Roman"/>
          <w:sz w:val="32"/>
          <w:szCs w:val="32"/>
        </w:rPr>
      </w:pPr>
    </w:p>
    <w:p w14:paraId="26D17D01">
      <w:pPr>
        <w:pStyle w:val="2"/>
        <w:rPr>
          <w:rFonts w:hint="default" w:ascii="Times New Roman" w:hAnsi="Times New Roman" w:eastAsia="黑体" w:cs="Times New Roman"/>
          <w:sz w:val="32"/>
          <w:szCs w:val="32"/>
        </w:rPr>
      </w:pPr>
    </w:p>
    <w:p w14:paraId="24B5C042">
      <w:pPr>
        <w:pStyle w:val="2"/>
        <w:rPr>
          <w:rFonts w:hint="default" w:ascii="Times New Roman" w:hAnsi="Times New Roman" w:eastAsia="黑体" w:cs="Times New Roman"/>
          <w:sz w:val="32"/>
          <w:szCs w:val="32"/>
        </w:rPr>
      </w:pPr>
    </w:p>
    <w:p w14:paraId="582C192E">
      <w:pPr>
        <w:pStyle w:val="2"/>
        <w:rPr>
          <w:rFonts w:hint="default" w:ascii="Times New Roman" w:hAnsi="Times New Roman" w:eastAsia="黑体" w:cs="Times New Roman"/>
          <w:sz w:val="32"/>
          <w:szCs w:val="32"/>
        </w:rPr>
      </w:pPr>
    </w:p>
    <w:p w14:paraId="1F00776F">
      <w:pPr>
        <w:pStyle w:val="2"/>
        <w:rPr>
          <w:rFonts w:hint="default" w:ascii="Times New Roman" w:hAnsi="Times New Roman" w:eastAsia="黑体" w:cs="Times New Roman"/>
          <w:sz w:val="32"/>
          <w:szCs w:val="32"/>
        </w:rPr>
      </w:pPr>
    </w:p>
    <w:p w14:paraId="105986C1">
      <w:pPr>
        <w:pStyle w:val="2"/>
        <w:rPr>
          <w:rFonts w:hint="default" w:ascii="Times New Roman" w:hAnsi="Times New Roman" w:eastAsia="黑体" w:cs="Times New Roman"/>
          <w:sz w:val="32"/>
          <w:szCs w:val="32"/>
        </w:rPr>
      </w:pPr>
    </w:p>
    <w:p w14:paraId="7B1C0AD4">
      <w:pPr>
        <w:pStyle w:val="2"/>
        <w:rPr>
          <w:rFonts w:hint="default" w:ascii="Times New Roman" w:hAnsi="Times New Roman" w:eastAsia="黑体" w:cs="Times New Roman"/>
          <w:sz w:val="32"/>
          <w:szCs w:val="32"/>
        </w:rPr>
      </w:pPr>
    </w:p>
    <w:p w14:paraId="0CB9F2A0">
      <w:pPr>
        <w:pStyle w:val="2"/>
        <w:ind w:left="0" w:leftChars="0" w:firstLine="0" w:firstLineChars="0"/>
        <w:rPr>
          <w:rFonts w:hint="eastAsia" w:eastAsia="黑体" w:cs="Times New Roman"/>
          <w:sz w:val="32"/>
          <w:szCs w:val="32"/>
          <w:lang w:eastAsia="zh-CN"/>
        </w:rPr>
      </w:pPr>
    </w:p>
    <w:p w14:paraId="17A3FC41">
      <w:pPr>
        <w:pStyle w:val="2"/>
        <w:ind w:left="0" w:leftChars="0" w:firstLine="0" w:firstLineChars="0"/>
        <w:rPr>
          <w:rFonts w:hint="eastAsia" w:eastAsia="黑体" w:cs="Times New Roman"/>
          <w:sz w:val="32"/>
          <w:szCs w:val="32"/>
          <w:lang w:eastAsia="zh-CN"/>
        </w:rPr>
      </w:pPr>
    </w:p>
    <w:p w14:paraId="19E08601">
      <w:pPr>
        <w:pStyle w:val="2"/>
        <w:ind w:left="0" w:leftChars="0" w:firstLine="0" w:firstLineChars="0"/>
        <w:rPr>
          <w:rFonts w:hint="eastAsia" w:eastAsia="黑体" w:cs="Times New Roman"/>
          <w:sz w:val="32"/>
          <w:szCs w:val="32"/>
          <w:lang w:eastAsia="zh-CN"/>
        </w:rPr>
      </w:pPr>
    </w:p>
    <w:p w14:paraId="09910134">
      <w:pPr>
        <w:pStyle w:val="2"/>
        <w:ind w:left="0" w:leftChars="0" w:firstLine="0" w:firstLineChars="0"/>
        <w:rPr>
          <w:rFonts w:hint="eastAsia" w:eastAsia="黑体" w:cs="Times New Roman"/>
          <w:sz w:val="32"/>
          <w:szCs w:val="32"/>
          <w:lang w:eastAsia="zh-CN"/>
        </w:rPr>
      </w:pPr>
    </w:p>
    <w:p w14:paraId="4F1FFD9C">
      <w:pPr>
        <w:pStyle w:val="2"/>
        <w:ind w:left="0" w:leftChars="0" w:firstLine="0" w:firstLineChars="0"/>
        <w:rPr>
          <w:rFonts w:hint="eastAsia" w:eastAsia="黑体" w:cs="Times New Roman"/>
          <w:sz w:val="32"/>
          <w:szCs w:val="32"/>
          <w:lang w:eastAsia="zh-CN"/>
        </w:rPr>
      </w:pPr>
    </w:p>
    <w:p w14:paraId="506D0150">
      <w:pPr>
        <w:pStyle w:val="2"/>
        <w:rPr>
          <w:rFonts w:hint="default"/>
        </w:rPr>
      </w:pPr>
    </w:p>
    <w:p w14:paraId="5708250F">
      <w:pPr>
        <w:spacing w:line="560" w:lineRule="exact"/>
        <w:ind w:firstLine="640" w:firstLineChars="200"/>
        <w:rPr>
          <w:rFonts w:hint="default" w:ascii="Times New Roman" w:hAnsi="Times New Roman" w:eastAsia="黑体" w:cs="Times New Roman"/>
          <w:sz w:val="32"/>
          <w:szCs w:val="32"/>
        </w:rPr>
      </w:pPr>
    </w:p>
    <w:p w14:paraId="2A70642F">
      <w:pPr>
        <w:spacing w:line="560" w:lineRule="exact"/>
        <w:ind w:firstLine="640" w:firstLineChars="200"/>
        <w:rPr>
          <w:rFonts w:hint="default" w:ascii="Times New Roman" w:hAnsi="Times New Roman" w:eastAsia="黑体" w:cs="Times New Roman"/>
          <w:sz w:val="32"/>
          <w:szCs w:val="32"/>
        </w:rPr>
      </w:pPr>
    </w:p>
    <w:p w14:paraId="2E2ABEFC">
      <w:pPr>
        <w:spacing w:line="560" w:lineRule="exact"/>
        <w:ind w:firstLine="640" w:firstLineChars="200"/>
        <w:rPr>
          <w:rFonts w:hint="default" w:ascii="Times New Roman" w:hAnsi="Times New Roman" w:eastAsia="黑体" w:cs="Times New Roman"/>
          <w:sz w:val="32"/>
          <w:szCs w:val="32"/>
        </w:rPr>
      </w:pPr>
    </w:p>
    <w:p w14:paraId="75849B62">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佐证材料：</w:t>
      </w:r>
    </w:p>
    <w:p w14:paraId="14603C05">
      <w:pPr>
        <w:spacing w:line="5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1.《舍块乡万只生态羊养殖项目可行性研究报告》</w:t>
      </w:r>
    </w:p>
    <w:p w14:paraId="2FA4B860">
      <w:pPr>
        <w:spacing w:line="5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2.《关于印发东川区统筹整合使用财政涉农资金管理办法补充规定的通知》（东政发〔2019〕42号）</w:t>
      </w:r>
    </w:p>
    <w:p w14:paraId="0C5608EC">
      <w:pPr>
        <w:spacing w:line="5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3.《关于印发东川区统筹整合使用财政涉农资金管理办法（修订）的通知》（东政发〔2018〕98号）</w:t>
      </w:r>
    </w:p>
    <w:p w14:paraId="10006F23">
      <w:pPr>
        <w:spacing w:line="5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4.《关于下达2020年第四批整合使用财政涉农资金的通知》（东财整合（2020）4号）</w:t>
      </w:r>
    </w:p>
    <w:p w14:paraId="3B7ECD2B">
      <w:pPr>
        <w:spacing w:line="5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5.《昆明市东川区人民政府关于昆明市东川区2019年财政涉农资金统筹整合调整使用方案的通知》（东政发〔2019〕57号）</w:t>
      </w:r>
    </w:p>
    <w:p w14:paraId="4721A735">
      <w:pPr>
        <w:spacing w:line="5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6.《昆明市东川区人民政府关于印发昆明市东川区政府投资项目建设管理办法的通知》（东政发〔2020〕5号）</w:t>
      </w:r>
    </w:p>
    <w:p w14:paraId="596E5EE3">
      <w:pPr>
        <w:spacing w:line="5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7.《关于印发昆明市东川区社会投资项目管理办法的通知》（东政发〔2020〕6号）</w:t>
      </w:r>
    </w:p>
    <w:p w14:paraId="4425FB8C">
      <w:pPr>
        <w:spacing w:line="5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 昆明市东川区发展和改革局关于《舍块乡人民政府关于批准万只优质生态羊养殖项目可行性研究报告的请示》的批复（东发改〔2019〕144号）</w:t>
      </w:r>
    </w:p>
    <w:p w14:paraId="03CB6999">
      <w:pPr>
        <w:spacing w:line="5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9.《东川区农业农村局关于舍块乡扶贫公司发展生态羊养殖用地的批复》</w:t>
      </w:r>
    </w:p>
    <w:p w14:paraId="1D1DC689">
      <w:pPr>
        <w:spacing w:line="560" w:lineRule="exact"/>
        <w:rPr>
          <w:rFonts w:hint="default" w:ascii="Times New Roman" w:hAnsi="Times New Roman" w:cs="Times New Roman"/>
        </w:rPr>
      </w:pPr>
      <w:r>
        <w:rPr>
          <w:rFonts w:hint="default" w:ascii="Times New Roman" w:hAnsi="Times New Roman" w:eastAsia="仿宋_GB2312" w:cs="Times New Roman"/>
          <w:sz w:val="32"/>
          <w:szCs w:val="32"/>
        </w:rPr>
        <w:t>10.</w:t>
      </w:r>
      <w:r>
        <w:rPr>
          <w:rFonts w:hint="default" w:ascii="Times New Roman" w:hAnsi="Times New Roman" w:cs="Times New Roman"/>
        </w:rPr>
        <w:t xml:space="preserve"> 《</w:t>
      </w:r>
      <w:r>
        <w:rPr>
          <w:rFonts w:hint="default" w:ascii="Times New Roman" w:hAnsi="Times New Roman" w:eastAsia="仿宋_GB2312" w:cs="Times New Roman"/>
          <w:sz w:val="32"/>
          <w:szCs w:val="32"/>
        </w:rPr>
        <w:t>东川区防震减灾局关于舍块乡万只生态羊养殖项目防震减灾意见的复函</w:t>
      </w:r>
      <w:r>
        <w:rPr>
          <w:rFonts w:hint="default" w:ascii="Times New Roman" w:hAnsi="Times New Roman" w:cs="Times New Roman"/>
        </w:rPr>
        <w:t>》</w:t>
      </w:r>
    </w:p>
    <w:p w14:paraId="4B182F92">
      <w:pPr>
        <w:spacing w:line="580" w:lineRule="exact"/>
        <w:jc w:val="left"/>
        <w:rPr>
          <w:rFonts w:hint="default" w:ascii="Times New Roman" w:hAnsi="Times New Roman" w:cs="Times New Roman"/>
        </w:rPr>
      </w:pPr>
    </w:p>
    <w:sectPr>
      <w:headerReference r:id="rId3" w:type="default"/>
      <w:footerReference r:id="rId4" w:type="default"/>
      <w:footerReference r:id="rId5" w:type="even"/>
      <w:pgSz w:w="11906" w:h="16838"/>
      <w:pgMar w:top="1701"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方正小标宋简体">
    <w:altName w:val="Arial Unicode MS"/>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7FFAEFF" w:usb1="F9DFFFFF" w:usb2="0000007F" w:usb3="00000000" w:csb0="203F01FF" w:csb1="D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FE4C6">
    <w:pPr>
      <w:pStyle w:val="6"/>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p w14:paraId="23272B30">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F71D8">
    <w:pPr>
      <w:pStyle w:val="6"/>
      <w:framePr w:wrap="around" w:vAnchor="text" w:hAnchor="margin" w:xAlign="outside" w:y="1"/>
      <w:rPr>
        <w:rStyle w:val="13"/>
      </w:rPr>
    </w:pPr>
    <w:r>
      <w:fldChar w:fldCharType="begin"/>
    </w:r>
    <w:r>
      <w:rPr>
        <w:rStyle w:val="13"/>
      </w:rPr>
      <w:instrText xml:space="preserve">PAGE  </w:instrText>
    </w:r>
    <w:r>
      <w:fldChar w:fldCharType="separate"/>
    </w:r>
    <w:r>
      <w:rPr>
        <w:rStyle w:val="13"/>
      </w:rPr>
      <w:t>- 4 -</w:t>
    </w:r>
    <w:r>
      <w:fldChar w:fldCharType="end"/>
    </w:r>
  </w:p>
  <w:p w14:paraId="6700C414">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5DC4C">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892"/>
    <w:rsid w:val="00050AA3"/>
    <w:rsid w:val="000919A0"/>
    <w:rsid w:val="000E279E"/>
    <w:rsid w:val="000E5BD0"/>
    <w:rsid w:val="00106409"/>
    <w:rsid w:val="0015618E"/>
    <w:rsid w:val="00161DC4"/>
    <w:rsid w:val="00167C21"/>
    <w:rsid w:val="00170875"/>
    <w:rsid w:val="00176085"/>
    <w:rsid w:val="001A715C"/>
    <w:rsid w:val="001B7117"/>
    <w:rsid w:val="001C4F8B"/>
    <w:rsid w:val="00274FC9"/>
    <w:rsid w:val="00276709"/>
    <w:rsid w:val="002A66D0"/>
    <w:rsid w:val="002C3F2E"/>
    <w:rsid w:val="002C4F8E"/>
    <w:rsid w:val="002D79F7"/>
    <w:rsid w:val="00303B6A"/>
    <w:rsid w:val="00331185"/>
    <w:rsid w:val="00333E0C"/>
    <w:rsid w:val="003C29F5"/>
    <w:rsid w:val="003D4C2A"/>
    <w:rsid w:val="0040552E"/>
    <w:rsid w:val="004113CA"/>
    <w:rsid w:val="00417067"/>
    <w:rsid w:val="004259EF"/>
    <w:rsid w:val="0044064B"/>
    <w:rsid w:val="00471D36"/>
    <w:rsid w:val="00482BB5"/>
    <w:rsid w:val="0048377D"/>
    <w:rsid w:val="004B2F96"/>
    <w:rsid w:val="004C575A"/>
    <w:rsid w:val="00516738"/>
    <w:rsid w:val="00542F7D"/>
    <w:rsid w:val="00562721"/>
    <w:rsid w:val="0056781B"/>
    <w:rsid w:val="00594DFD"/>
    <w:rsid w:val="0059527A"/>
    <w:rsid w:val="005B2AB6"/>
    <w:rsid w:val="005E28CD"/>
    <w:rsid w:val="005E626B"/>
    <w:rsid w:val="00614757"/>
    <w:rsid w:val="0065073D"/>
    <w:rsid w:val="006706AA"/>
    <w:rsid w:val="006A36EF"/>
    <w:rsid w:val="006D59E9"/>
    <w:rsid w:val="00732619"/>
    <w:rsid w:val="00787C70"/>
    <w:rsid w:val="0079136E"/>
    <w:rsid w:val="007C3D27"/>
    <w:rsid w:val="0080135A"/>
    <w:rsid w:val="00801A8F"/>
    <w:rsid w:val="00847812"/>
    <w:rsid w:val="008A1C5E"/>
    <w:rsid w:val="008D4459"/>
    <w:rsid w:val="00900743"/>
    <w:rsid w:val="009722ED"/>
    <w:rsid w:val="009737E3"/>
    <w:rsid w:val="00980EE7"/>
    <w:rsid w:val="009B2B3C"/>
    <w:rsid w:val="009E3FA2"/>
    <w:rsid w:val="00A35871"/>
    <w:rsid w:val="00A510DB"/>
    <w:rsid w:val="00A70565"/>
    <w:rsid w:val="00A72EB7"/>
    <w:rsid w:val="00AA2FFA"/>
    <w:rsid w:val="00AB2C44"/>
    <w:rsid w:val="00B710F7"/>
    <w:rsid w:val="00B8555E"/>
    <w:rsid w:val="00B86E41"/>
    <w:rsid w:val="00B95E2E"/>
    <w:rsid w:val="00BB583E"/>
    <w:rsid w:val="00BC55DD"/>
    <w:rsid w:val="00C06D78"/>
    <w:rsid w:val="00C22DEB"/>
    <w:rsid w:val="00C25720"/>
    <w:rsid w:val="00C408B1"/>
    <w:rsid w:val="00C63F05"/>
    <w:rsid w:val="00C70618"/>
    <w:rsid w:val="00CB3696"/>
    <w:rsid w:val="00CC006B"/>
    <w:rsid w:val="00CF75CD"/>
    <w:rsid w:val="00D04C7E"/>
    <w:rsid w:val="00D16417"/>
    <w:rsid w:val="00DB146F"/>
    <w:rsid w:val="00E10EE0"/>
    <w:rsid w:val="00E37D63"/>
    <w:rsid w:val="00E51C9E"/>
    <w:rsid w:val="00E93AB5"/>
    <w:rsid w:val="00EA1017"/>
    <w:rsid w:val="00ED1D63"/>
    <w:rsid w:val="00F361C8"/>
    <w:rsid w:val="00F95A9D"/>
    <w:rsid w:val="00FA1DBA"/>
    <w:rsid w:val="00FE4374"/>
    <w:rsid w:val="00FE591F"/>
    <w:rsid w:val="00FF1D30"/>
    <w:rsid w:val="031676C8"/>
    <w:rsid w:val="04241DAE"/>
    <w:rsid w:val="046F6AC9"/>
    <w:rsid w:val="082B293C"/>
    <w:rsid w:val="094B6825"/>
    <w:rsid w:val="0BE15661"/>
    <w:rsid w:val="0C033724"/>
    <w:rsid w:val="0C150701"/>
    <w:rsid w:val="11376B51"/>
    <w:rsid w:val="16393924"/>
    <w:rsid w:val="1BF336DC"/>
    <w:rsid w:val="1C443BD1"/>
    <w:rsid w:val="1CCF2F09"/>
    <w:rsid w:val="20B957A2"/>
    <w:rsid w:val="2A097D38"/>
    <w:rsid w:val="2A621B97"/>
    <w:rsid w:val="2B0C730D"/>
    <w:rsid w:val="2CB159FE"/>
    <w:rsid w:val="2E5F2A47"/>
    <w:rsid w:val="2F780F97"/>
    <w:rsid w:val="304341DA"/>
    <w:rsid w:val="304D7904"/>
    <w:rsid w:val="31D51591"/>
    <w:rsid w:val="34E06138"/>
    <w:rsid w:val="3CC73D5C"/>
    <w:rsid w:val="3D2768F1"/>
    <w:rsid w:val="444B1319"/>
    <w:rsid w:val="44797A59"/>
    <w:rsid w:val="4F501151"/>
    <w:rsid w:val="54E04B91"/>
    <w:rsid w:val="561F0B9C"/>
    <w:rsid w:val="573345A0"/>
    <w:rsid w:val="57A65E1E"/>
    <w:rsid w:val="5A5E56E5"/>
    <w:rsid w:val="5CA56E94"/>
    <w:rsid w:val="5D6401F3"/>
    <w:rsid w:val="63B13EAC"/>
    <w:rsid w:val="657A7175"/>
    <w:rsid w:val="6AF749DC"/>
    <w:rsid w:val="6D35797C"/>
    <w:rsid w:val="6DCC7033"/>
    <w:rsid w:val="743F3744"/>
    <w:rsid w:val="76D14F70"/>
    <w:rsid w:val="796842AE"/>
    <w:rsid w:val="7C13394A"/>
    <w:rsid w:val="7F741A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2">
    <w:name w:val="Default Paragraph Font"/>
    <w:uiPriority w:val="0"/>
  </w:style>
  <w:style w:type="table" w:default="1" w:styleId="10">
    <w:name w:val="Normal Table"/>
    <w:semiHidden/>
    <w:uiPriority w:val="0"/>
    <w:tblPr>
      <w:tblStyle w:val="10"/>
      <w:tblCellMar>
        <w:top w:w="0" w:type="dxa"/>
        <w:left w:w="108" w:type="dxa"/>
        <w:bottom w:w="0" w:type="dxa"/>
        <w:right w:w="108" w:type="dxa"/>
      </w:tblCellMar>
    </w:tblPr>
  </w:style>
  <w:style w:type="paragraph" w:customStyle="1" w:styleId="2">
    <w:name w:val="实施方案正文"/>
    <w:basedOn w:val="1"/>
    <w:qFormat/>
    <w:uiPriority w:val="0"/>
    <w:pPr>
      <w:ind w:firstLine="566" w:firstLineChars="202"/>
    </w:pPr>
    <w:rPr>
      <w:rFonts w:ascii="Times New Roman" w:hAnsi="Times New Roman"/>
      <w:szCs w:val="21"/>
    </w:rPr>
  </w:style>
  <w:style w:type="paragraph" w:styleId="4">
    <w:name w:val="Date"/>
    <w:basedOn w:val="1"/>
    <w:next w:val="1"/>
    <w:uiPriority w:val="0"/>
    <w:pPr>
      <w:ind w:left="100" w:leftChars="2500"/>
    </w:pPr>
  </w:style>
  <w:style w:type="paragraph" w:styleId="5">
    <w:name w:val="Balloon Text"/>
    <w:basedOn w:val="1"/>
    <w:uiPriority w:val="0"/>
    <w:rPr>
      <w:sz w:val="18"/>
      <w:szCs w:val="18"/>
    </w:rPr>
  </w:style>
  <w:style w:type="paragraph" w:styleId="6">
    <w:name w:val="footer"/>
    <w:basedOn w:val="1"/>
    <w:link w:val="16"/>
    <w:uiPriority w:val="99"/>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Lines="0" w:beforeAutospacing="1" w:after="100" w:afterLines="0" w:afterAutospacing="1"/>
      <w:jc w:val="left"/>
    </w:pPr>
    <w:rPr>
      <w:rFonts w:ascii="宋体" w:hAnsi="宋体" w:cs="宋体"/>
      <w:kern w:val="0"/>
      <w:sz w:val="18"/>
      <w:szCs w:val="18"/>
    </w:rPr>
  </w:style>
  <w:style w:type="paragraph" w:styleId="9">
    <w:name w:val="Title"/>
    <w:basedOn w:val="1"/>
    <w:qFormat/>
    <w:uiPriority w:val="0"/>
    <w:pPr>
      <w:adjustRightInd w:val="0"/>
      <w:spacing w:before="240" w:beforeLines="0" w:after="60" w:afterLines="0" w:line="312" w:lineRule="atLeast"/>
      <w:jc w:val="center"/>
      <w:textAlignment w:val="baseline"/>
    </w:pPr>
    <w:rPr>
      <w:rFonts w:ascii="Arial" w:hAnsi="Arial"/>
      <w:b/>
      <w:kern w:val="28"/>
      <w:sz w:val="32"/>
      <w:szCs w:val="20"/>
    </w:rPr>
  </w:style>
  <w:style w:type="table" w:styleId="11">
    <w:name w:val="Table Grid"/>
    <w:basedOn w:val="10"/>
    <w:unhideWhenUsed/>
    <w:uiPriority w:val="99"/>
    <w:pPr>
      <w:widowControl w:val="0"/>
      <w:jc w:val="both"/>
    </w:pPr>
    <w:tblPr>
      <w:tblStyle w:val="1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uiPriority w:val="0"/>
  </w:style>
  <w:style w:type="character" w:customStyle="1" w:styleId="14">
    <w:name w:val="签发人"/>
    <w:uiPriority w:val="0"/>
    <w:rPr>
      <w:rFonts w:ascii="仿宋_GB2312" w:eastAsia="仿宋_GB2312"/>
      <w:sz w:val="32"/>
    </w:rPr>
  </w:style>
  <w:style w:type="character" w:customStyle="1" w:styleId="15">
    <w:name w:val="公文文号"/>
    <w:uiPriority w:val="0"/>
    <w:rPr>
      <w:rFonts w:ascii="仿宋_GB2312" w:eastAsia="仿宋_GB2312"/>
    </w:rPr>
  </w:style>
  <w:style w:type="character" w:customStyle="1" w:styleId="16">
    <w:name w:val="页脚 Char"/>
    <w:link w:val="6"/>
    <w:uiPriority w:val="99"/>
    <w:rPr>
      <w:kern w:val="2"/>
      <w:sz w:val="18"/>
      <w:szCs w:val="18"/>
    </w:rPr>
  </w:style>
  <w:style w:type="character" w:customStyle="1" w:styleId="17">
    <w:name w:val="公文文种"/>
    <w:uiPriority w:val="0"/>
    <w:rPr>
      <w:rFonts w:eastAsia="宋体"/>
      <w:sz w:val="32"/>
    </w:rPr>
  </w:style>
  <w:style w:type="character" w:customStyle="1" w:styleId="18">
    <w:name w:val="16"/>
    <w:uiPriority w:val="0"/>
    <w:rPr>
      <w:rFonts w:hint="eastAsia" w:ascii="仿宋_GB2312" w:eastAsia="仿宋_GB2312"/>
      <w:sz w:val="20"/>
      <w:szCs w:val="20"/>
    </w:rPr>
  </w:style>
  <w:style w:type="paragraph" w:styleId="19">
    <w:name w:val="List Paragraph"/>
    <w:basedOn w:val="1"/>
    <w:qFormat/>
    <w:uiPriority w:val="34"/>
    <w:pPr>
      <w:ind w:firstLine="420" w:firstLineChars="200"/>
    </w:pPr>
  </w:style>
  <w:style w:type="paragraph" w:customStyle="1" w:styleId="20">
    <w:name w:val="_Style 6"/>
    <w:basedOn w:val="1"/>
    <w:uiPriority w:val="0"/>
    <w:pPr>
      <w:tabs>
        <w:tab w:val="left" w:pos="840"/>
      </w:tabs>
      <w:ind w:left="840" w:hanging="420"/>
    </w:pPr>
  </w:style>
  <w:style w:type="paragraph" w:customStyle="1" w:styleId="21">
    <w:name w:val="p0"/>
    <w:basedOn w:val="1"/>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ompany>
  <Pages>17</Pages>
  <Words>8225</Words>
  <Characters>8752</Characters>
  <Lines>65</Lines>
  <Paragraphs>18</Paragraphs>
  <TotalTime>199</TotalTime>
  <ScaleCrop>false</ScaleCrop>
  <LinksUpToDate>false</LinksUpToDate>
  <CharactersWithSpaces>8944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2020-08-05T08:05:00Z</dcterms:created>
  <dc:creator>*</dc:creator>
  <cp:lastModifiedBy>符号</cp:lastModifiedBy>
  <cp:lastPrinted>2015-05-07T07:09:00Z</cp:lastPrinted>
  <dcterms:modified xsi:type="dcterms:W3CDTF">2026-05-29T08:13:09Z</dcterms:modified>
  <dc:title>关于收取森林防火保证金的通知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4344575782494421ADDA8606358E536B_13</vt:lpwstr>
  </property>
  <property fmtid="{D5CDD505-2E9C-101B-9397-08002B2CF9AE}" pid="4" name="KSOTemplateDocerSaveRecord">
    <vt:lpwstr>eyJoZGlkIjoiZDBhMjlkMWVkOWU1MmNmYmI1OWFkYmZkZTE3YTZjZTQiLCJ1c2VySWQiOiIzNjE2NjA5NTcifQ==</vt:lpwstr>
  </property>
</Properties>
</file>