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4EBE">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ascii="Times New Roman" w:hAnsi="Times New Roman"/>
          <w:b/>
          <w:bCs/>
          <w:color w:val="auto"/>
          <w:sz w:val="72"/>
          <w:szCs w:val="72"/>
          <w:highlight w:val="none"/>
          <w:u w:val="single"/>
        </w:rPr>
      </w:pPr>
      <w:bookmarkStart w:id="0" w:name="_Toc526626941"/>
      <w:r>
        <w:rPr>
          <w:rFonts w:ascii="Times New Roman" w:hAnsi="Times New Roman"/>
          <w:b/>
          <w:bCs/>
          <w:color w:val="auto"/>
          <w:sz w:val="72"/>
          <w:szCs w:val="72"/>
          <w:highlight w:val="none"/>
        </w:rPr>
        <w:t>建设项目环境影响报告表</w:t>
      </w:r>
    </w:p>
    <w:p w14:paraId="766C2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olor w:val="auto"/>
          <w:sz w:val="32"/>
          <w:highlight w:val="none"/>
        </w:rPr>
      </w:pPr>
      <w:r>
        <w:rPr>
          <w:rFonts w:ascii="Times New Roman" w:hAnsi="Times New Roman"/>
          <w:b/>
          <w:bCs/>
          <w:color w:val="auto"/>
          <w:sz w:val="36"/>
          <w:szCs w:val="36"/>
          <w:highlight w:val="none"/>
        </w:rPr>
        <w:t>（</w:t>
      </w:r>
      <w:r>
        <w:rPr>
          <w:rFonts w:hint="eastAsia" w:ascii="Times New Roman" w:hAnsi="Times New Roman"/>
          <w:b/>
          <w:bCs/>
          <w:color w:val="auto"/>
          <w:sz w:val="36"/>
          <w:szCs w:val="36"/>
          <w:highlight w:val="none"/>
          <w:lang w:val="en-US" w:eastAsia="zh-CN"/>
        </w:rPr>
        <w:t>送审</w:t>
      </w:r>
      <w:r>
        <w:rPr>
          <w:rFonts w:ascii="Times New Roman" w:hAnsi="Times New Roman"/>
          <w:b/>
          <w:bCs/>
          <w:color w:val="auto"/>
          <w:sz w:val="36"/>
          <w:szCs w:val="36"/>
          <w:highlight w:val="none"/>
        </w:rPr>
        <w:t>稿）</w:t>
      </w:r>
    </w:p>
    <w:p w14:paraId="3C312B9B">
      <w:pPr>
        <w:jc w:val="center"/>
        <w:rPr>
          <w:rFonts w:ascii="Times New Roman" w:hAnsi="Times New Roman"/>
          <w:color w:val="auto"/>
          <w:sz w:val="32"/>
          <w:highlight w:val="none"/>
        </w:rPr>
      </w:pPr>
    </w:p>
    <w:p w14:paraId="1AEAC3B2">
      <w:pPr>
        <w:jc w:val="center"/>
        <w:rPr>
          <w:rFonts w:ascii="Times New Roman" w:hAnsi="Times New Roman"/>
          <w:color w:val="auto"/>
          <w:sz w:val="32"/>
          <w:highlight w:val="none"/>
        </w:rPr>
      </w:pPr>
    </w:p>
    <w:p w14:paraId="713CBD4F">
      <w:pPr>
        <w:jc w:val="center"/>
        <w:rPr>
          <w:rFonts w:ascii="Times New Roman" w:hAnsi="Times New Roman"/>
          <w:color w:val="auto"/>
          <w:sz w:val="32"/>
          <w:highlight w:val="none"/>
        </w:rPr>
      </w:pPr>
    </w:p>
    <w:p w14:paraId="49FFA84A">
      <w:pPr>
        <w:rPr>
          <w:rFonts w:ascii="Times New Roman" w:hAnsi="Times New Roman"/>
          <w:color w:val="auto"/>
          <w:sz w:val="32"/>
          <w:highlight w:val="none"/>
        </w:rPr>
      </w:pPr>
    </w:p>
    <w:p w14:paraId="0CF42CCD">
      <w:pPr>
        <w:ind w:firstLine="643" w:firstLineChars="200"/>
        <w:rPr>
          <w:rFonts w:ascii="Times New Roman" w:hAnsi="Times New Roman"/>
          <w:b/>
          <w:color w:val="auto"/>
          <w:sz w:val="32"/>
          <w:szCs w:val="32"/>
          <w:highlight w:val="none"/>
        </w:rPr>
      </w:pPr>
    </w:p>
    <w:p w14:paraId="4278B86A">
      <w:pPr>
        <w:pStyle w:val="2"/>
        <w:rPr>
          <w:rFonts w:ascii="Times New Roman" w:hAnsi="Times New Roman"/>
          <w:b/>
          <w:color w:val="auto"/>
          <w:sz w:val="32"/>
          <w:szCs w:val="32"/>
          <w:highlight w:val="none"/>
        </w:rPr>
      </w:pPr>
    </w:p>
    <w:p w14:paraId="6ABFB9C2">
      <w:pPr>
        <w:pStyle w:val="4"/>
        <w:rPr>
          <w:rFonts w:ascii="Times New Roman" w:hAnsi="Times New Roman"/>
          <w:b/>
          <w:color w:val="auto"/>
          <w:sz w:val="32"/>
          <w:szCs w:val="32"/>
          <w:highlight w:val="none"/>
        </w:rPr>
      </w:pPr>
    </w:p>
    <w:p w14:paraId="350DC11E">
      <w:pPr>
        <w:rPr>
          <w:rFonts w:ascii="Times New Roman" w:hAnsi="Times New Roman"/>
          <w:b/>
          <w:color w:val="auto"/>
          <w:sz w:val="32"/>
          <w:szCs w:val="32"/>
          <w:highlight w:val="none"/>
        </w:rPr>
      </w:pPr>
    </w:p>
    <w:p w14:paraId="6238669B">
      <w:pPr>
        <w:pStyle w:val="2"/>
        <w:rPr>
          <w:rFonts w:ascii="Times New Roman" w:hAnsi="Times New Roman"/>
          <w:b/>
          <w:color w:val="auto"/>
          <w:sz w:val="32"/>
          <w:szCs w:val="32"/>
          <w:highlight w:val="none"/>
        </w:rPr>
      </w:pPr>
    </w:p>
    <w:p w14:paraId="45E403F4">
      <w:pPr>
        <w:pStyle w:val="4"/>
        <w:rPr>
          <w:rFonts w:ascii="Times New Roman" w:hAnsi="Times New Roman"/>
          <w:b/>
          <w:color w:val="auto"/>
          <w:sz w:val="32"/>
          <w:szCs w:val="32"/>
          <w:highlight w:val="none"/>
        </w:rPr>
      </w:pPr>
    </w:p>
    <w:p w14:paraId="3156B26A">
      <w:pPr>
        <w:rPr>
          <w:rFonts w:ascii="Times New Roman" w:hAnsi="Times New Roman"/>
          <w:b/>
          <w:color w:val="auto"/>
          <w:sz w:val="32"/>
          <w:szCs w:val="32"/>
          <w:highlight w:val="none"/>
        </w:rPr>
      </w:pPr>
    </w:p>
    <w:p w14:paraId="730653BF">
      <w:pPr>
        <w:pStyle w:val="2"/>
        <w:rPr>
          <w:color w:val="auto"/>
          <w:highlight w:val="none"/>
        </w:rPr>
      </w:pPr>
    </w:p>
    <w:p w14:paraId="2BD4866D">
      <w:pPr>
        <w:ind w:firstLine="643" w:firstLineChars="200"/>
        <w:rPr>
          <w:rFonts w:ascii="Times New Roman" w:hAnsi="Times New Roman"/>
          <w:b/>
          <w:color w:val="auto"/>
          <w:sz w:val="32"/>
          <w:szCs w:val="32"/>
          <w:highlight w:val="none"/>
        </w:rPr>
      </w:pPr>
      <w:r>
        <w:rPr>
          <w:rFonts w:ascii="Times New Roman" w:hAnsi="Times New Roman"/>
          <w:b/>
          <w:color w:val="auto"/>
          <w:sz w:val="32"/>
          <w:szCs w:val="32"/>
          <w:highlight w:val="none"/>
        </w:rPr>
        <w:t xml:space="preserve"> </w:t>
      </w:r>
    </w:p>
    <w:p w14:paraId="27AA37FD">
      <w:pPr>
        <w:ind w:left="2246" w:leftChars="246" w:hanging="1606" w:hangingChars="500"/>
        <w:jc w:val="left"/>
        <w:rPr>
          <w:rFonts w:hint="eastAsia" w:ascii="Times New Roman" w:hAnsi="Times New Roman" w:eastAsia="宋体"/>
          <w:b/>
          <w:color w:val="auto"/>
          <w:sz w:val="32"/>
          <w:szCs w:val="32"/>
          <w:highlight w:val="none"/>
          <w:u w:val="thick"/>
          <w:lang w:eastAsia="zh-CN"/>
        </w:rPr>
      </w:pPr>
      <w:r>
        <w:rPr>
          <w:rFonts w:ascii="Times New Roman" w:hAnsi="Times New Roman"/>
          <w:b/>
          <w:color w:val="auto"/>
          <w:sz w:val="32"/>
          <w:szCs w:val="32"/>
          <w:highlight w:val="none"/>
        </w:rPr>
        <w:t>项目名称：</w:t>
      </w:r>
      <w:r>
        <w:rPr>
          <w:rFonts w:hint="eastAsia"/>
          <w:b/>
          <w:bCs w:val="0"/>
          <w:color w:val="auto"/>
          <w:sz w:val="32"/>
          <w:szCs w:val="32"/>
          <w:highlight w:val="none"/>
          <w:u w:val="single"/>
          <w:lang w:eastAsia="zh-CN"/>
        </w:rPr>
        <w:t>昆明华地锦辰旅游资源开发有限公司东川区排子田普通建筑材料用石灰岩矿</w:t>
      </w:r>
    </w:p>
    <w:p w14:paraId="46D20135">
      <w:pPr>
        <w:jc w:val="left"/>
        <w:rPr>
          <w:rFonts w:ascii="Times New Roman" w:hAnsi="Times New Roman"/>
          <w:b/>
          <w:color w:val="auto"/>
          <w:sz w:val="32"/>
          <w:szCs w:val="32"/>
          <w:highlight w:val="none"/>
        </w:rPr>
      </w:pPr>
      <w:r>
        <w:rPr>
          <w:rFonts w:ascii="Times New Roman" w:hAnsi="Times New Roman"/>
          <w:b/>
          <w:color w:val="auto"/>
          <w:sz w:val="32"/>
          <w:szCs w:val="32"/>
          <w:highlight w:val="none"/>
        </w:rPr>
        <w:t>建设单位：</w:t>
      </w:r>
      <w:r>
        <w:rPr>
          <w:rFonts w:hint="eastAsia" w:ascii="Times New Roman" w:hAnsi="Times New Roman"/>
          <w:b/>
          <w:color w:val="auto"/>
          <w:sz w:val="32"/>
          <w:szCs w:val="32"/>
          <w:highlight w:val="none"/>
          <w:u w:val="single"/>
        </w:rPr>
        <w:t>昆明华地锦辰旅游资源开发有限公司</w:t>
      </w:r>
    </w:p>
    <w:p w14:paraId="4DA11DCC">
      <w:pPr>
        <w:jc w:val="left"/>
        <w:rPr>
          <w:rFonts w:ascii="Times New Roman" w:hAnsi="Times New Roman"/>
          <w:b/>
          <w:color w:val="auto"/>
          <w:sz w:val="32"/>
          <w:szCs w:val="32"/>
          <w:highlight w:val="none"/>
          <w:u w:val="single"/>
        </w:rPr>
      </w:pPr>
      <w:r>
        <w:rPr>
          <w:rFonts w:hint="eastAsia" w:ascii="Times New Roman" w:hAnsi="Times New Roman"/>
          <w:b/>
          <w:color w:val="auto"/>
          <w:sz w:val="32"/>
          <w:szCs w:val="32"/>
          <w:highlight w:val="none"/>
        </w:rPr>
        <w:t>环评</w:t>
      </w:r>
      <w:r>
        <w:rPr>
          <w:rFonts w:ascii="Times New Roman" w:hAnsi="Times New Roman"/>
          <w:b/>
          <w:color w:val="auto"/>
          <w:sz w:val="32"/>
          <w:szCs w:val="32"/>
          <w:highlight w:val="none"/>
        </w:rPr>
        <w:t>单位：</w:t>
      </w:r>
      <w:r>
        <w:rPr>
          <w:rFonts w:hint="eastAsia" w:ascii="Times New Roman" w:hAnsi="Times New Roman"/>
          <w:b/>
          <w:color w:val="auto"/>
          <w:sz w:val="32"/>
          <w:szCs w:val="32"/>
          <w:highlight w:val="none"/>
          <w:u w:val="single"/>
          <w:lang w:val="en-US" w:eastAsia="zh-CN"/>
        </w:rPr>
        <w:t>云南莱恩环保技术工程</w:t>
      </w:r>
      <w:r>
        <w:rPr>
          <w:rFonts w:hint="eastAsia" w:ascii="Times New Roman" w:hAnsi="Times New Roman"/>
          <w:b/>
          <w:color w:val="auto"/>
          <w:sz w:val="32"/>
          <w:szCs w:val="32"/>
          <w:highlight w:val="none"/>
          <w:u w:val="single"/>
        </w:rPr>
        <w:t>有限公司</w:t>
      </w:r>
    </w:p>
    <w:p w14:paraId="3AA7B86A">
      <w:pPr>
        <w:jc w:val="center"/>
        <w:rPr>
          <w:rFonts w:ascii="Times New Roman" w:hAnsi="Times New Roman"/>
          <w:b/>
          <w:color w:val="auto"/>
          <w:sz w:val="32"/>
          <w:szCs w:val="32"/>
          <w:highlight w:val="none"/>
        </w:rPr>
      </w:pPr>
    </w:p>
    <w:p w14:paraId="67CF561B">
      <w:pPr>
        <w:jc w:val="left"/>
        <w:rPr>
          <w:rFonts w:ascii="Times New Roman" w:hAnsi="Times New Roman"/>
          <w:color w:val="auto"/>
          <w:sz w:val="32"/>
          <w:highlight w:val="none"/>
        </w:rPr>
      </w:pPr>
    </w:p>
    <w:p w14:paraId="0539FA90">
      <w:pPr>
        <w:jc w:val="center"/>
        <w:rPr>
          <w:rFonts w:ascii="Times New Roman" w:hAnsi="Times New Roman"/>
          <w:color w:val="auto"/>
          <w:sz w:val="32"/>
          <w:highlight w:val="none"/>
        </w:rPr>
      </w:pPr>
    </w:p>
    <w:p w14:paraId="154FC332">
      <w:pPr>
        <w:jc w:val="center"/>
        <w:rPr>
          <w:rFonts w:ascii="Times New Roman" w:hAnsi="Times New Roman"/>
          <w:color w:val="auto"/>
          <w:sz w:val="32"/>
          <w:highlight w:val="none"/>
        </w:rPr>
      </w:pPr>
    </w:p>
    <w:p w14:paraId="7E472CD3">
      <w:pPr>
        <w:jc w:val="center"/>
        <w:rPr>
          <w:rFonts w:ascii="Times New Roman" w:hAnsi="Times New Roman"/>
          <w:color w:val="auto"/>
          <w:sz w:val="32"/>
          <w:highlight w:val="none"/>
        </w:rPr>
      </w:pPr>
    </w:p>
    <w:p w14:paraId="75D6C365">
      <w:pPr>
        <w:jc w:val="center"/>
        <w:rPr>
          <w:rFonts w:ascii="Times New Roman" w:hAnsi="Times New Roman"/>
          <w:color w:val="auto"/>
          <w:sz w:val="32"/>
          <w:highlight w:val="none"/>
        </w:rPr>
      </w:pPr>
    </w:p>
    <w:p w14:paraId="3845FE92">
      <w:pPr>
        <w:jc w:val="center"/>
        <w:rPr>
          <w:rFonts w:ascii="Times New Roman" w:hAnsi="Times New Roman"/>
          <w:color w:val="auto"/>
          <w:sz w:val="32"/>
          <w:highlight w:val="none"/>
        </w:rPr>
      </w:pPr>
    </w:p>
    <w:p w14:paraId="7DE425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bCs/>
          <w:color w:val="auto"/>
          <w:sz w:val="32"/>
          <w:highlight w:val="none"/>
        </w:rPr>
      </w:pPr>
      <w:r>
        <w:rPr>
          <w:rFonts w:ascii="Times New Roman" w:hAnsi="Times New Roman"/>
          <w:b/>
          <w:bCs/>
          <w:color w:val="auto"/>
          <w:sz w:val="32"/>
          <w:highlight w:val="none"/>
        </w:rPr>
        <w:t>编制日期</w:t>
      </w:r>
      <w:r>
        <w:rPr>
          <w:rFonts w:hint="eastAsia" w:ascii="Times New Roman" w:hAnsi="Times New Roman"/>
          <w:b/>
          <w:bCs/>
          <w:color w:val="auto"/>
          <w:sz w:val="32"/>
          <w:highlight w:val="none"/>
          <w:lang w:eastAsia="zh-CN"/>
        </w:rPr>
        <w:t>：</w:t>
      </w:r>
      <w:r>
        <w:rPr>
          <w:rFonts w:ascii="Times New Roman" w:hAnsi="Times New Roman"/>
          <w:b/>
          <w:bCs/>
          <w:color w:val="auto"/>
          <w:sz w:val="32"/>
          <w:highlight w:val="none"/>
        </w:rPr>
        <w:t>202</w:t>
      </w:r>
      <w:r>
        <w:rPr>
          <w:rFonts w:hint="eastAsia" w:ascii="Times New Roman" w:hAnsi="Times New Roman"/>
          <w:b/>
          <w:bCs/>
          <w:color w:val="auto"/>
          <w:sz w:val="32"/>
          <w:highlight w:val="none"/>
          <w:lang w:val="en-US" w:eastAsia="zh-CN"/>
        </w:rPr>
        <w:t>1</w:t>
      </w:r>
      <w:r>
        <w:rPr>
          <w:rFonts w:ascii="Times New Roman" w:hAnsi="Times New Roman"/>
          <w:b/>
          <w:bCs/>
          <w:color w:val="auto"/>
          <w:sz w:val="32"/>
          <w:highlight w:val="none"/>
        </w:rPr>
        <w:t>年</w:t>
      </w:r>
      <w:r>
        <w:rPr>
          <w:rFonts w:hint="eastAsia"/>
          <w:b/>
          <w:bCs/>
          <w:color w:val="auto"/>
          <w:sz w:val="32"/>
          <w:highlight w:val="none"/>
          <w:lang w:val="en-US" w:eastAsia="zh-CN"/>
        </w:rPr>
        <w:t>3</w:t>
      </w:r>
      <w:r>
        <w:rPr>
          <w:rFonts w:ascii="Times New Roman" w:hAnsi="Times New Roman"/>
          <w:b/>
          <w:bCs/>
          <w:color w:val="auto"/>
          <w:sz w:val="32"/>
          <w:highlight w:val="none"/>
        </w:rPr>
        <w:t>月</w:t>
      </w:r>
    </w:p>
    <w:p w14:paraId="52689F75">
      <w:pPr>
        <w:jc w:val="center"/>
        <w:rPr>
          <w:rFonts w:ascii="Times New Roman" w:hAnsi="Times New Roman"/>
          <w:color w:val="auto"/>
          <w:sz w:val="32"/>
          <w:highlight w:val="none"/>
        </w:rPr>
      </w:pPr>
    </w:p>
    <w:p w14:paraId="3093B505">
      <w:pPr>
        <w:rPr>
          <w:rFonts w:ascii="Times New Roman" w:hAnsi="Times New Roman"/>
          <w:color w:val="auto"/>
          <w:highlight w:val="none"/>
        </w:rPr>
      </w:pPr>
    </w:p>
    <w:p w14:paraId="44D7FF3E">
      <w:pPr>
        <w:widowControl/>
        <w:spacing w:line="360" w:lineRule="auto"/>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《建设项目环境影响报告表》编制说明</w:t>
      </w:r>
    </w:p>
    <w:p w14:paraId="46F56028">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ab/>
      </w:r>
      <w:r>
        <w:rPr>
          <w:rFonts w:ascii="Times New Roman" w:hAnsi="Times New Roman"/>
          <w:color w:val="auto"/>
          <w:sz w:val="28"/>
          <w:szCs w:val="28"/>
          <w:highlight w:val="none"/>
        </w:rPr>
        <w:t>《建设项目环境影响报告表》由具有从事环境影响评价工作资质的单位编制。</w:t>
      </w:r>
    </w:p>
    <w:p w14:paraId="1AEEFE2F">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1、项目名称——指项目立项批复时的名称，应不超过30个字（两个英文字段作一个汉字）。</w:t>
      </w:r>
    </w:p>
    <w:p w14:paraId="702B5728">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2、建设地点——指项目所在地详细地址，公路、铁路应填写起止地点。</w:t>
      </w:r>
    </w:p>
    <w:p w14:paraId="76BE04AF">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3、行业类别——按国标填写。</w:t>
      </w:r>
    </w:p>
    <w:p w14:paraId="57F3E3AB">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4、总投资——指项目投资总额。</w:t>
      </w:r>
    </w:p>
    <w:p w14:paraId="7CBE018F">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5、主要环境保护目标——指项目区周围一定范围内集中居民住宅区、学校、医院、保护文物、风景名胜区、水源地和生态敏感点等，应尽可能给出保护目标、性质、规模和距厂界距离等。</w:t>
      </w:r>
    </w:p>
    <w:p w14:paraId="06ED37AC">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11FE4ECB">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7、预审意见——由行业主管部门填写答复意见，无主管部门项目，可不填。</w:t>
      </w:r>
    </w:p>
    <w:p w14:paraId="77CB8E03">
      <w:pPr>
        <w:spacing w:line="50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8、审批意见——由负责审批该项目的环境保护行政主管部门批复。</w:t>
      </w:r>
    </w:p>
    <w:p w14:paraId="5AB52870">
      <w:pPr>
        <w:pStyle w:val="6"/>
        <w:spacing w:before="312" w:after="312"/>
        <w:jc w:val="left"/>
        <w:outlineLvl w:val="9"/>
        <w:rPr>
          <w:color w:val="auto"/>
          <w:highlight w:val="none"/>
        </w:rPr>
        <w:sectPr>
          <w:footerReference r:id="rId5" w:type="default"/>
          <w:pgSz w:w="11906" w:h="16838"/>
          <w:pgMar w:top="1440" w:right="1800" w:bottom="1440" w:left="1800" w:header="851" w:footer="992" w:gutter="0"/>
          <w:cols w:space="425" w:num="1"/>
          <w:docGrid w:type="lines"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B3F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4261" w:type="dxa"/>
          </w:tcPr>
          <w:p w14:paraId="12A1EC7B">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54605" cy="1822450"/>
                  <wp:effectExtent l="0" t="0" r="17145" b="6350"/>
                  <wp:docPr id="11" name="图片 11" descr="IMG_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5882"/>
                          <pic:cNvPicPr>
                            <a:picLocks noChangeAspect="1"/>
                          </pic:cNvPicPr>
                        </pic:nvPicPr>
                        <pic:blipFill>
                          <a:blip r:embed="rId8"/>
                          <a:stretch>
                            <a:fillRect/>
                          </a:stretch>
                        </pic:blipFill>
                        <pic:spPr>
                          <a:xfrm>
                            <a:off x="0" y="0"/>
                            <a:ext cx="2554605" cy="1822450"/>
                          </a:xfrm>
                          <a:prstGeom prst="rect">
                            <a:avLst/>
                          </a:prstGeom>
                        </pic:spPr>
                      </pic:pic>
                    </a:graphicData>
                  </a:graphic>
                </wp:inline>
              </w:drawing>
            </w:r>
          </w:p>
        </w:tc>
        <w:tc>
          <w:tcPr>
            <w:tcW w:w="4261" w:type="dxa"/>
          </w:tcPr>
          <w:p w14:paraId="274EA48A">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54605" cy="1843405"/>
                  <wp:effectExtent l="0" t="0" r="17145" b="4445"/>
                  <wp:docPr id="12" name="图片 12" descr="IMG_5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5868"/>
                          <pic:cNvPicPr>
                            <a:picLocks noChangeAspect="1"/>
                          </pic:cNvPicPr>
                        </pic:nvPicPr>
                        <pic:blipFill>
                          <a:blip r:embed="rId9"/>
                          <a:stretch>
                            <a:fillRect/>
                          </a:stretch>
                        </pic:blipFill>
                        <pic:spPr>
                          <a:xfrm>
                            <a:off x="0" y="0"/>
                            <a:ext cx="2554605" cy="1843405"/>
                          </a:xfrm>
                          <a:prstGeom prst="rect">
                            <a:avLst/>
                          </a:prstGeom>
                        </pic:spPr>
                      </pic:pic>
                    </a:graphicData>
                  </a:graphic>
                </wp:inline>
              </w:drawing>
            </w:r>
          </w:p>
        </w:tc>
      </w:tr>
      <w:tr w14:paraId="382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8C9D0D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变电站</w:t>
            </w:r>
          </w:p>
        </w:tc>
        <w:tc>
          <w:tcPr>
            <w:tcW w:w="4261" w:type="dxa"/>
          </w:tcPr>
          <w:p w14:paraId="219B316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1期破碎设备</w:t>
            </w:r>
          </w:p>
        </w:tc>
      </w:tr>
      <w:tr w14:paraId="2EAB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4261" w:type="dxa"/>
          </w:tcPr>
          <w:p w14:paraId="5FDDB88D">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54605" cy="1832610"/>
                  <wp:effectExtent l="0" t="0" r="17145" b="15240"/>
                  <wp:docPr id="13" name="图片 13" descr="IMG_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5870"/>
                          <pic:cNvPicPr>
                            <a:picLocks noChangeAspect="1"/>
                          </pic:cNvPicPr>
                        </pic:nvPicPr>
                        <pic:blipFill>
                          <a:blip r:embed="rId10"/>
                          <a:stretch>
                            <a:fillRect/>
                          </a:stretch>
                        </pic:blipFill>
                        <pic:spPr>
                          <a:xfrm>
                            <a:off x="0" y="0"/>
                            <a:ext cx="2554605" cy="1832610"/>
                          </a:xfrm>
                          <a:prstGeom prst="rect">
                            <a:avLst/>
                          </a:prstGeom>
                        </pic:spPr>
                      </pic:pic>
                    </a:graphicData>
                  </a:graphic>
                </wp:inline>
              </w:drawing>
            </w:r>
          </w:p>
        </w:tc>
        <w:tc>
          <w:tcPr>
            <w:tcW w:w="4261" w:type="dxa"/>
          </w:tcPr>
          <w:p w14:paraId="7E7CA4BA">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40000" cy="1830705"/>
                  <wp:effectExtent l="0" t="0" r="12700" b="17145"/>
                  <wp:docPr id="16" name="图片 16" descr="DJI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JI_0024"/>
                          <pic:cNvPicPr>
                            <a:picLocks noChangeAspect="1"/>
                          </pic:cNvPicPr>
                        </pic:nvPicPr>
                        <pic:blipFill>
                          <a:blip r:embed="rId11"/>
                          <a:stretch>
                            <a:fillRect/>
                          </a:stretch>
                        </pic:blipFill>
                        <pic:spPr>
                          <a:xfrm>
                            <a:off x="0" y="0"/>
                            <a:ext cx="2540000" cy="1830705"/>
                          </a:xfrm>
                          <a:prstGeom prst="rect">
                            <a:avLst/>
                          </a:prstGeom>
                        </pic:spPr>
                      </pic:pic>
                    </a:graphicData>
                  </a:graphic>
                </wp:inline>
              </w:drawing>
            </w:r>
          </w:p>
        </w:tc>
      </w:tr>
      <w:tr w14:paraId="59B9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615F5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vertAlign w:val="baseline"/>
              </w:rPr>
            </w:pPr>
            <w:r>
              <w:rPr>
                <w:rFonts w:hint="eastAsia"/>
                <w:color w:val="auto"/>
                <w:highlight w:val="none"/>
                <w:vertAlign w:val="baseline"/>
                <w:lang w:val="en-US" w:eastAsia="zh-CN"/>
              </w:rPr>
              <w:t>现场堆存的砂石</w:t>
            </w:r>
          </w:p>
        </w:tc>
        <w:tc>
          <w:tcPr>
            <w:tcW w:w="4261" w:type="dxa"/>
          </w:tcPr>
          <w:p w14:paraId="7D4AB12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1号破碎场地</w:t>
            </w:r>
          </w:p>
        </w:tc>
      </w:tr>
      <w:tr w14:paraId="7654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C27657">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66035" cy="1898650"/>
                  <wp:effectExtent l="0" t="0" r="5715" b="6350"/>
                  <wp:docPr id="17" name="图片 17" descr="QQ截图2021012011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截图20210120110202"/>
                          <pic:cNvPicPr>
                            <a:picLocks noChangeAspect="1"/>
                          </pic:cNvPicPr>
                        </pic:nvPicPr>
                        <pic:blipFill>
                          <a:blip r:embed="rId12"/>
                          <a:stretch>
                            <a:fillRect/>
                          </a:stretch>
                        </pic:blipFill>
                        <pic:spPr>
                          <a:xfrm>
                            <a:off x="0" y="0"/>
                            <a:ext cx="2566035" cy="1898650"/>
                          </a:xfrm>
                          <a:prstGeom prst="rect">
                            <a:avLst/>
                          </a:prstGeom>
                        </pic:spPr>
                      </pic:pic>
                    </a:graphicData>
                  </a:graphic>
                </wp:inline>
              </w:drawing>
            </w:r>
          </w:p>
        </w:tc>
        <w:tc>
          <w:tcPr>
            <w:tcW w:w="4261" w:type="dxa"/>
          </w:tcPr>
          <w:p w14:paraId="6FC35C69">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40000" cy="1905000"/>
                  <wp:effectExtent l="0" t="0" r="12700" b="0"/>
                  <wp:docPr id="18" name="图片 18" descr="DJI_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JI_0051"/>
                          <pic:cNvPicPr>
                            <a:picLocks noChangeAspect="1"/>
                          </pic:cNvPicPr>
                        </pic:nvPicPr>
                        <pic:blipFill>
                          <a:blip r:embed="rId13"/>
                          <a:stretch>
                            <a:fillRect/>
                          </a:stretch>
                        </pic:blipFill>
                        <pic:spPr>
                          <a:xfrm>
                            <a:off x="0" y="0"/>
                            <a:ext cx="2540000" cy="1905000"/>
                          </a:xfrm>
                          <a:prstGeom prst="rect">
                            <a:avLst/>
                          </a:prstGeom>
                        </pic:spPr>
                      </pic:pic>
                    </a:graphicData>
                  </a:graphic>
                </wp:inline>
              </w:drawing>
            </w:r>
          </w:p>
        </w:tc>
      </w:tr>
      <w:tr w14:paraId="3E78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26EC8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生活区</w:t>
            </w:r>
          </w:p>
        </w:tc>
        <w:tc>
          <w:tcPr>
            <w:tcW w:w="4261" w:type="dxa"/>
          </w:tcPr>
          <w:p w14:paraId="2657CB7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临近的道路</w:t>
            </w:r>
          </w:p>
        </w:tc>
      </w:tr>
      <w:tr w14:paraId="0A9E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AC160E">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67305" cy="1791335"/>
                  <wp:effectExtent l="0" t="0" r="4445" b="18415"/>
                  <wp:docPr id="20" name="图片 20" descr="QQ截图2021012011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截图20210120114318"/>
                          <pic:cNvPicPr>
                            <a:picLocks noChangeAspect="1"/>
                          </pic:cNvPicPr>
                        </pic:nvPicPr>
                        <pic:blipFill>
                          <a:blip r:embed="rId14"/>
                          <a:stretch>
                            <a:fillRect/>
                          </a:stretch>
                        </pic:blipFill>
                        <pic:spPr>
                          <a:xfrm>
                            <a:off x="0" y="0"/>
                            <a:ext cx="2567305" cy="1791335"/>
                          </a:xfrm>
                          <a:prstGeom prst="rect">
                            <a:avLst/>
                          </a:prstGeom>
                        </pic:spPr>
                      </pic:pic>
                    </a:graphicData>
                  </a:graphic>
                </wp:inline>
              </w:drawing>
            </w:r>
          </w:p>
        </w:tc>
        <w:tc>
          <w:tcPr>
            <w:tcW w:w="4261" w:type="dxa"/>
          </w:tcPr>
          <w:p w14:paraId="11FFB7FF">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vertAlign w:val="baseline"/>
                <w:lang w:eastAsia="zh-CN"/>
              </w:rPr>
            </w:pPr>
            <w:r>
              <w:rPr>
                <w:rFonts w:hint="eastAsia" w:eastAsia="宋体"/>
                <w:color w:val="auto"/>
                <w:highlight w:val="none"/>
                <w:vertAlign w:val="baseline"/>
                <w:lang w:eastAsia="zh-CN"/>
              </w:rPr>
              <w:drawing>
                <wp:inline distT="0" distB="0" distL="114300" distR="114300">
                  <wp:extent cx="2516505" cy="1887220"/>
                  <wp:effectExtent l="0" t="0" r="17145" b="17780"/>
                  <wp:docPr id="1" name="图片 1" descr="132566167039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56616703943158"/>
                          <pic:cNvPicPr>
                            <a:picLocks noChangeAspect="1"/>
                          </pic:cNvPicPr>
                        </pic:nvPicPr>
                        <pic:blipFill>
                          <a:blip r:embed="rId15"/>
                          <a:stretch>
                            <a:fillRect/>
                          </a:stretch>
                        </pic:blipFill>
                        <pic:spPr>
                          <a:xfrm>
                            <a:off x="0" y="0"/>
                            <a:ext cx="2516505" cy="1887220"/>
                          </a:xfrm>
                          <a:prstGeom prst="rect">
                            <a:avLst/>
                          </a:prstGeom>
                        </pic:spPr>
                      </pic:pic>
                    </a:graphicData>
                  </a:graphic>
                </wp:inline>
              </w:drawing>
            </w:r>
          </w:p>
        </w:tc>
      </w:tr>
      <w:tr w14:paraId="538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94B818">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周边植被现状</w:t>
            </w:r>
          </w:p>
        </w:tc>
        <w:tc>
          <w:tcPr>
            <w:tcW w:w="4261" w:type="dxa"/>
          </w:tcPr>
          <w:p w14:paraId="1FC0C45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排子田居民</w:t>
            </w:r>
          </w:p>
        </w:tc>
      </w:tr>
    </w:tbl>
    <w:p w14:paraId="1FA2FA09">
      <w:pPr>
        <w:pStyle w:val="2"/>
        <w:rPr>
          <w:color w:val="auto"/>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color w:val="auto"/>
          <w:kern w:val="2"/>
          <w:sz w:val="21"/>
          <w:szCs w:val="26"/>
          <w:highlight w:val="none"/>
          <w:lang w:val="en-US" w:eastAsia="zh-CN" w:bidi="ar-SA"/>
        </w:rPr>
        <w:id w:val="147457328"/>
        <w15:color w:val="DBDBDB"/>
        <w:docPartObj>
          <w:docPartGallery w:val="Table of Contents"/>
          <w:docPartUnique/>
        </w:docPartObj>
      </w:sdtPr>
      <w:sdtEndPr>
        <w:rPr>
          <w:rFonts w:ascii="Times New Roman" w:hAnsi="Times New Roman" w:eastAsia="宋体" w:cstheme="minorBidi"/>
          <w:color w:val="auto"/>
          <w:kern w:val="2"/>
          <w:sz w:val="26"/>
          <w:szCs w:val="26"/>
          <w:highlight w:val="none"/>
          <w:lang w:val="en-US" w:eastAsia="zh-CN" w:bidi="ar-SA"/>
        </w:rPr>
      </w:sdtEndPr>
      <w:sdtContent>
        <w:p w14:paraId="21CF733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78136980">
          <w:pPr>
            <w:pStyle w:val="19"/>
            <w:tabs>
              <w:tab w:val="right" w:leader="dot" w:pos="830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_Toc13726 </w:instrText>
          </w:r>
          <w:r>
            <w:rPr>
              <w:color w:val="auto"/>
              <w:highlight w:val="none"/>
            </w:rPr>
            <w:fldChar w:fldCharType="separate"/>
          </w:r>
          <w:r>
            <w:rPr>
              <w:color w:val="auto"/>
              <w:highlight w:val="none"/>
            </w:rPr>
            <w:t>表一、建设项目基本情况</w:t>
          </w:r>
          <w:r>
            <w:rPr>
              <w:color w:val="auto"/>
              <w:highlight w:val="none"/>
            </w:rPr>
            <w:tab/>
          </w:r>
          <w:r>
            <w:rPr>
              <w:color w:val="auto"/>
              <w:highlight w:val="none"/>
            </w:rPr>
            <w:fldChar w:fldCharType="begin"/>
          </w:r>
          <w:r>
            <w:rPr>
              <w:color w:val="auto"/>
              <w:highlight w:val="none"/>
            </w:rPr>
            <w:instrText xml:space="preserve"> PAGEREF _Toc13726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25BBFBA">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_Toc9811 </w:instrText>
          </w:r>
          <w:r>
            <w:rPr>
              <w:color w:val="auto"/>
              <w:highlight w:val="none"/>
            </w:rPr>
            <w:fldChar w:fldCharType="separate"/>
          </w:r>
          <w:r>
            <w:rPr>
              <w:color w:val="auto"/>
              <w:highlight w:val="none"/>
            </w:rPr>
            <w:t>表二、建设项目所在地自然环境、社会环境简况</w:t>
          </w:r>
          <w:r>
            <w:rPr>
              <w:color w:val="auto"/>
              <w:highlight w:val="none"/>
            </w:rPr>
            <w:tab/>
          </w:r>
          <w:r>
            <w:rPr>
              <w:color w:val="auto"/>
              <w:highlight w:val="none"/>
            </w:rPr>
            <w:fldChar w:fldCharType="begin"/>
          </w:r>
          <w:r>
            <w:rPr>
              <w:color w:val="auto"/>
              <w:highlight w:val="none"/>
            </w:rPr>
            <w:instrText xml:space="preserve"> PAGEREF _Toc9811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BF21E1E">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_Toc12294 </w:instrText>
          </w:r>
          <w:r>
            <w:rPr>
              <w:color w:val="auto"/>
              <w:highlight w:val="none"/>
            </w:rPr>
            <w:fldChar w:fldCharType="separate"/>
          </w:r>
          <w:r>
            <w:rPr>
              <w:color w:val="auto"/>
              <w:highlight w:val="none"/>
            </w:rPr>
            <w:t>表三、环境质量状况</w:t>
          </w:r>
          <w:r>
            <w:rPr>
              <w:color w:val="auto"/>
              <w:highlight w:val="none"/>
            </w:rPr>
            <w:tab/>
          </w:r>
          <w:r>
            <w:rPr>
              <w:color w:val="auto"/>
              <w:highlight w:val="none"/>
            </w:rPr>
            <w:fldChar w:fldCharType="begin"/>
          </w:r>
          <w:r>
            <w:rPr>
              <w:color w:val="auto"/>
              <w:highlight w:val="none"/>
            </w:rPr>
            <w:instrText xml:space="preserve"> PAGEREF _Toc12294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184FD6F">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_Toc931 </w:instrText>
          </w:r>
          <w:r>
            <w:rPr>
              <w:color w:val="auto"/>
              <w:highlight w:val="none"/>
            </w:rPr>
            <w:fldChar w:fldCharType="separate"/>
          </w:r>
          <w:r>
            <w:rPr>
              <w:rFonts w:ascii="Times New Roman" w:hAnsi="Times New Roman"/>
              <w:color w:val="auto"/>
              <w:highlight w:val="none"/>
            </w:rPr>
            <w:t>表四、评价适用标准</w:t>
          </w:r>
          <w:r>
            <w:rPr>
              <w:color w:val="auto"/>
              <w:highlight w:val="none"/>
            </w:rPr>
            <w:tab/>
          </w:r>
          <w:r>
            <w:rPr>
              <w:color w:val="auto"/>
              <w:highlight w:val="none"/>
            </w:rPr>
            <w:fldChar w:fldCharType="begin"/>
          </w:r>
          <w:r>
            <w:rPr>
              <w:color w:val="auto"/>
              <w:highlight w:val="none"/>
            </w:rPr>
            <w:instrText xml:space="preserve"> PAGEREF _Toc931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A1CB98E">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_Toc27163 </w:instrText>
          </w:r>
          <w:r>
            <w:rPr>
              <w:color w:val="auto"/>
              <w:highlight w:val="none"/>
            </w:rPr>
            <w:fldChar w:fldCharType="separate"/>
          </w:r>
          <w:r>
            <w:rPr>
              <w:rFonts w:ascii="Times New Roman" w:hAnsi="Times New Roman"/>
              <w:color w:val="auto"/>
              <w:highlight w:val="none"/>
            </w:rPr>
            <w:t>表</w:t>
          </w:r>
          <w:r>
            <w:rPr>
              <w:rFonts w:hint="eastAsia" w:ascii="Times New Roman" w:hAnsi="Times New Roman"/>
              <w:color w:val="auto"/>
              <w:highlight w:val="none"/>
              <w:lang w:val="en-US" w:eastAsia="zh-CN"/>
            </w:rPr>
            <w:t>五、</w:t>
          </w:r>
          <w:r>
            <w:rPr>
              <w:rFonts w:ascii="Times New Roman" w:hAnsi="Times New Roman"/>
              <w:color w:val="auto"/>
              <w:highlight w:val="none"/>
            </w:rPr>
            <w:t>建设项目工程分析</w:t>
          </w:r>
          <w:r>
            <w:rPr>
              <w:color w:val="auto"/>
              <w:highlight w:val="none"/>
            </w:rPr>
            <w:tab/>
          </w:r>
          <w:r>
            <w:rPr>
              <w:color w:val="auto"/>
              <w:highlight w:val="none"/>
            </w:rPr>
            <w:fldChar w:fldCharType="begin"/>
          </w:r>
          <w:r>
            <w:rPr>
              <w:color w:val="auto"/>
              <w:highlight w:val="none"/>
            </w:rPr>
            <w:instrText xml:space="preserve"> PAGEREF _Toc27163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C32CA38">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_Toc14459 </w:instrText>
          </w:r>
          <w:r>
            <w:rPr>
              <w:color w:val="auto"/>
              <w:highlight w:val="none"/>
            </w:rPr>
            <w:fldChar w:fldCharType="separate"/>
          </w:r>
          <w:r>
            <w:rPr>
              <w:color w:val="auto"/>
              <w:szCs w:val="28"/>
              <w:highlight w:val="none"/>
            </w:rPr>
            <w:t>表六、项目主要污染物产生及预计排放情况</w:t>
          </w:r>
          <w:r>
            <w:rPr>
              <w:color w:val="auto"/>
              <w:highlight w:val="none"/>
            </w:rPr>
            <w:tab/>
          </w:r>
          <w:r>
            <w:rPr>
              <w:color w:val="auto"/>
              <w:highlight w:val="none"/>
            </w:rPr>
            <w:fldChar w:fldCharType="begin"/>
          </w:r>
          <w:r>
            <w:rPr>
              <w:color w:val="auto"/>
              <w:highlight w:val="none"/>
            </w:rPr>
            <w:instrText xml:space="preserve"> PAGEREF _Toc14459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98230FF">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_Toc5876 </w:instrText>
          </w:r>
          <w:r>
            <w:rPr>
              <w:color w:val="auto"/>
              <w:highlight w:val="none"/>
            </w:rPr>
            <w:fldChar w:fldCharType="separate"/>
          </w:r>
          <w:r>
            <w:rPr>
              <w:color w:val="auto"/>
              <w:highlight w:val="none"/>
            </w:rPr>
            <w:t>表七、环境影响分析</w:t>
          </w:r>
          <w:r>
            <w:rPr>
              <w:color w:val="auto"/>
              <w:highlight w:val="none"/>
            </w:rPr>
            <w:tab/>
          </w:r>
          <w:r>
            <w:rPr>
              <w:color w:val="auto"/>
              <w:highlight w:val="none"/>
            </w:rPr>
            <w:fldChar w:fldCharType="begin"/>
          </w:r>
          <w:r>
            <w:rPr>
              <w:color w:val="auto"/>
              <w:highlight w:val="none"/>
            </w:rPr>
            <w:instrText xml:space="preserve"> PAGEREF _Toc5876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F03AAB3">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_Toc29160 </w:instrText>
          </w:r>
          <w:r>
            <w:rPr>
              <w:color w:val="auto"/>
              <w:highlight w:val="none"/>
            </w:rPr>
            <w:fldChar w:fldCharType="separate"/>
          </w:r>
          <w:r>
            <w:rPr>
              <w:rFonts w:hint="eastAsia"/>
              <w:color w:val="auto"/>
              <w:szCs w:val="24"/>
              <w:highlight w:val="none"/>
              <w:lang w:val="en-US" w:eastAsia="zh-CN"/>
            </w:rPr>
            <w:t>二</w:t>
          </w:r>
          <w:r>
            <w:rPr>
              <w:color w:val="auto"/>
              <w:szCs w:val="24"/>
              <w:highlight w:val="none"/>
            </w:rPr>
            <w:t>、监</w:t>
          </w:r>
          <w:r>
            <w:rPr>
              <w:rFonts w:hint="eastAsia"/>
              <w:color w:val="auto"/>
              <w:szCs w:val="24"/>
              <w:highlight w:val="none"/>
            </w:rPr>
            <w:t>理</w:t>
          </w:r>
          <w:r>
            <w:rPr>
              <w:color w:val="auto"/>
              <w:szCs w:val="24"/>
              <w:highlight w:val="none"/>
            </w:rPr>
            <w:t>计划</w:t>
          </w:r>
          <w:r>
            <w:rPr>
              <w:color w:val="auto"/>
              <w:highlight w:val="none"/>
            </w:rPr>
            <w:tab/>
          </w:r>
          <w:r>
            <w:rPr>
              <w:color w:val="auto"/>
              <w:highlight w:val="none"/>
            </w:rPr>
            <w:fldChar w:fldCharType="begin"/>
          </w:r>
          <w:r>
            <w:rPr>
              <w:color w:val="auto"/>
              <w:highlight w:val="none"/>
            </w:rPr>
            <w:instrText xml:space="preserve"> PAGEREF _Toc29160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75407BC0">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_Toc17504 </w:instrText>
          </w:r>
          <w:r>
            <w:rPr>
              <w:color w:val="auto"/>
              <w:highlight w:val="none"/>
            </w:rPr>
            <w:fldChar w:fldCharType="separate"/>
          </w:r>
          <w:r>
            <w:rPr>
              <w:rFonts w:hint="eastAsia"/>
              <w:color w:val="auto"/>
              <w:szCs w:val="24"/>
              <w:highlight w:val="none"/>
              <w:lang w:val="en-US" w:eastAsia="zh-CN"/>
            </w:rPr>
            <w:t>三</w:t>
          </w:r>
          <w:r>
            <w:rPr>
              <w:color w:val="auto"/>
              <w:szCs w:val="24"/>
              <w:highlight w:val="none"/>
            </w:rPr>
            <w:t>、监测计划</w:t>
          </w:r>
          <w:r>
            <w:rPr>
              <w:color w:val="auto"/>
              <w:highlight w:val="none"/>
            </w:rPr>
            <w:tab/>
          </w:r>
          <w:r>
            <w:rPr>
              <w:color w:val="auto"/>
              <w:highlight w:val="none"/>
            </w:rPr>
            <w:fldChar w:fldCharType="begin"/>
          </w:r>
          <w:r>
            <w:rPr>
              <w:color w:val="auto"/>
              <w:highlight w:val="none"/>
            </w:rPr>
            <w:instrText xml:space="preserve"> PAGEREF _Toc17504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1CFEBB80">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_Toc4015 </w:instrText>
          </w:r>
          <w:r>
            <w:rPr>
              <w:color w:val="auto"/>
              <w:highlight w:val="none"/>
            </w:rPr>
            <w:fldChar w:fldCharType="separate"/>
          </w:r>
          <w:r>
            <w:rPr>
              <w:rFonts w:ascii="Times New Roman" w:hAnsi="Times New Roman" w:eastAsia="宋体"/>
              <w:color w:val="auto"/>
              <w:highlight w:val="none"/>
            </w:rPr>
            <w:t>表</w:t>
          </w:r>
          <w:r>
            <w:rPr>
              <w:rFonts w:hint="eastAsia" w:ascii="Times New Roman" w:hAnsi="Times New Roman" w:eastAsia="宋体"/>
              <w:color w:val="auto"/>
              <w:highlight w:val="none"/>
              <w:lang w:val="en-US" w:eastAsia="zh-CN"/>
            </w:rPr>
            <w:t>八、</w:t>
          </w:r>
          <w:r>
            <w:rPr>
              <w:rFonts w:ascii="Times New Roman" w:hAnsi="Times New Roman" w:eastAsia="宋体"/>
              <w:color w:val="auto"/>
              <w:highlight w:val="none"/>
            </w:rPr>
            <w:t>建设项目拟采取的防治措施及预期治理效果</w:t>
          </w:r>
          <w:r>
            <w:rPr>
              <w:color w:val="auto"/>
              <w:highlight w:val="none"/>
            </w:rPr>
            <w:tab/>
          </w:r>
          <w:r>
            <w:rPr>
              <w:color w:val="auto"/>
              <w:highlight w:val="none"/>
            </w:rPr>
            <w:fldChar w:fldCharType="begin"/>
          </w:r>
          <w:r>
            <w:rPr>
              <w:color w:val="auto"/>
              <w:highlight w:val="none"/>
            </w:rPr>
            <w:instrText xml:space="preserve"> PAGEREF _Toc4015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7427A0D">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_Toc24463 </w:instrText>
          </w:r>
          <w:r>
            <w:rPr>
              <w:color w:val="auto"/>
              <w:highlight w:val="none"/>
            </w:rPr>
            <w:fldChar w:fldCharType="separate"/>
          </w:r>
          <w:r>
            <w:rPr>
              <w:rFonts w:ascii="Times New Roman" w:hAnsi="Times New Roman" w:eastAsia="宋体"/>
              <w:color w:val="auto"/>
              <w:highlight w:val="none"/>
            </w:rPr>
            <w:t>表</w:t>
          </w:r>
          <w:r>
            <w:rPr>
              <w:rFonts w:hint="eastAsia" w:ascii="Times New Roman" w:hAnsi="Times New Roman" w:eastAsia="宋体"/>
              <w:color w:val="auto"/>
              <w:highlight w:val="none"/>
              <w:lang w:val="en-US" w:eastAsia="zh-CN"/>
            </w:rPr>
            <w:t>九、</w:t>
          </w:r>
          <w:r>
            <w:rPr>
              <w:rFonts w:ascii="Times New Roman" w:hAnsi="Times New Roman" w:eastAsia="宋体"/>
              <w:color w:val="auto"/>
              <w:highlight w:val="none"/>
            </w:rPr>
            <w:t>结论与建议</w:t>
          </w:r>
          <w:r>
            <w:rPr>
              <w:color w:val="auto"/>
              <w:highlight w:val="none"/>
            </w:rPr>
            <w:tab/>
          </w:r>
          <w:r>
            <w:rPr>
              <w:color w:val="auto"/>
              <w:highlight w:val="none"/>
            </w:rPr>
            <w:fldChar w:fldCharType="begin"/>
          </w:r>
          <w:r>
            <w:rPr>
              <w:color w:val="auto"/>
              <w:highlight w:val="none"/>
            </w:rPr>
            <w:instrText xml:space="preserve"> PAGEREF _Toc24463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5D84B13">
          <w:pPr>
            <w:pStyle w:val="4"/>
            <w:outlineLvl w:val="9"/>
            <w:rPr>
              <w:color w:val="auto"/>
              <w:highlight w:val="none"/>
            </w:rPr>
            <w:sectPr>
              <w:pgSz w:w="11906" w:h="16838"/>
              <w:pgMar w:top="1440" w:right="1800" w:bottom="1440" w:left="1800" w:header="851" w:footer="992" w:gutter="0"/>
              <w:cols w:space="425" w:num="1"/>
              <w:docGrid w:type="lines" w:linePitch="312" w:charSpace="0"/>
            </w:sectPr>
          </w:pPr>
          <w:r>
            <w:rPr>
              <w:color w:val="auto"/>
              <w:highlight w:val="none"/>
            </w:rPr>
            <w:fldChar w:fldCharType="end"/>
          </w:r>
        </w:p>
      </w:sdtContent>
    </w:sdt>
    <w:p w14:paraId="1ED63E1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w:t>
      </w:r>
    </w:p>
    <w:p w14:paraId="70A6D842">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附件1：基础信息表</w:t>
      </w:r>
    </w:p>
    <w:p w14:paraId="4B1A206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附件2：委托书</w:t>
      </w:r>
    </w:p>
    <w:p w14:paraId="0A048299">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附件3：营业执照</w:t>
      </w:r>
    </w:p>
    <w:p w14:paraId="40FB7384">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附件4：项目投资备案证</w:t>
      </w:r>
    </w:p>
    <w:p w14:paraId="5B5EFD4B">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附件5：联勘联审文件</w:t>
      </w:r>
    </w:p>
    <w:p w14:paraId="4162902E">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附件6：矿业权规划审查意见</w:t>
      </w:r>
    </w:p>
    <w:p w14:paraId="1A4A5E7D">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附件7：采矿权出让计划建议请示函</w:t>
      </w:r>
    </w:p>
    <w:p w14:paraId="3CA1BB2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color w:val="auto"/>
          <w:sz w:val="26"/>
          <w:szCs w:val="26"/>
          <w:highlight w:val="none"/>
          <w:lang w:val="en-US" w:eastAsia="zh-CN"/>
        </w:rPr>
      </w:pPr>
      <w:r>
        <w:rPr>
          <w:rFonts w:hint="eastAsia"/>
          <w:color w:val="auto"/>
          <w:sz w:val="26"/>
          <w:szCs w:val="26"/>
          <w:highlight w:val="none"/>
          <w:lang w:val="en-US" w:eastAsia="zh-CN"/>
        </w:rPr>
        <w:t>附件8：采矿权出让计划的批复</w:t>
      </w:r>
    </w:p>
    <w:p w14:paraId="338A6D0B">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color w:val="auto"/>
          <w:sz w:val="26"/>
          <w:szCs w:val="26"/>
          <w:highlight w:val="none"/>
          <w:lang w:val="en-US" w:eastAsia="zh-CN"/>
        </w:rPr>
      </w:pPr>
      <w:r>
        <w:rPr>
          <w:rFonts w:hint="eastAsia"/>
          <w:color w:val="auto"/>
          <w:sz w:val="26"/>
          <w:szCs w:val="26"/>
          <w:highlight w:val="none"/>
          <w:lang w:val="en-US" w:eastAsia="zh-CN"/>
        </w:rPr>
        <w:t>附件9：监测报告</w:t>
      </w:r>
    </w:p>
    <w:p w14:paraId="5338B6D5">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附件10：探矿权</w:t>
      </w:r>
    </w:p>
    <w:p w14:paraId="46CC26B4">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default"/>
          <w:color w:val="auto"/>
          <w:sz w:val="26"/>
          <w:szCs w:val="26"/>
          <w:highlight w:val="none"/>
          <w:lang w:val="en-US" w:eastAsia="zh-CN"/>
        </w:rPr>
      </w:pPr>
      <w:r>
        <w:rPr>
          <w:rFonts w:hint="eastAsia"/>
          <w:color w:val="auto"/>
          <w:sz w:val="26"/>
          <w:szCs w:val="26"/>
          <w:highlight w:val="none"/>
          <w:lang w:val="en-US" w:eastAsia="zh-CN"/>
        </w:rPr>
        <w:t>附件11：三审单及进度表</w:t>
      </w:r>
    </w:p>
    <w:p w14:paraId="215E847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sz w:val="26"/>
          <w:szCs w:val="26"/>
          <w:highlight w:val="none"/>
          <w:lang w:val="en-US" w:eastAsia="zh-CN"/>
        </w:rPr>
      </w:pPr>
    </w:p>
    <w:p w14:paraId="1B9260AD">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285C174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color w:val="auto"/>
          <w:sz w:val="26"/>
          <w:szCs w:val="26"/>
          <w:highlight w:val="none"/>
          <w:lang w:val="en-US" w:eastAsia="zh-CN"/>
        </w:rPr>
      </w:pPr>
      <w:r>
        <w:rPr>
          <w:rFonts w:hint="eastAsia"/>
          <w:color w:val="auto"/>
          <w:sz w:val="26"/>
          <w:szCs w:val="26"/>
          <w:highlight w:val="none"/>
          <w:lang w:val="en-US" w:eastAsia="zh-CN"/>
        </w:rPr>
        <w:t>附图：</w:t>
      </w:r>
    </w:p>
    <w:p w14:paraId="0E650E1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sz w:val="26"/>
          <w:szCs w:val="26"/>
          <w:highlight w:val="none"/>
          <w:lang w:val="en-US" w:eastAsia="zh-CN"/>
        </w:rPr>
      </w:pPr>
      <w:r>
        <w:rPr>
          <w:rFonts w:hint="eastAsia"/>
          <w:color w:val="auto"/>
          <w:sz w:val="26"/>
          <w:szCs w:val="26"/>
          <w:highlight w:val="none"/>
          <w:lang w:val="en-US" w:eastAsia="zh-CN"/>
        </w:rPr>
        <w:t>附图1：项目矿界关系图</w:t>
      </w:r>
    </w:p>
    <w:p w14:paraId="211B925A">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color w:val="auto"/>
          <w:sz w:val="26"/>
          <w:szCs w:val="26"/>
          <w:highlight w:val="none"/>
          <w:lang w:val="en-US" w:eastAsia="zh-CN"/>
        </w:rPr>
      </w:pPr>
      <w:r>
        <w:rPr>
          <w:rFonts w:hint="eastAsia"/>
          <w:color w:val="auto"/>
          <w:sz w:val="26"/>
          <w:szCs w:val="26"/>
          <w:highlight w:val="none"/>
          <w:lang w:val="en-US" w:eastAsia="zh-CN"/>
        </w:rPr>
        <w:t>附图2：项目区场地平面布置图</w:t>
      </w:r>
    </w:p>
    <w:p w14:paraId="735F6965">
      <w:pPr>
        <w:pStyle w:val="4"/>
        <w:ind w:firstLine="520" w:firstLineChars="200"/>
        <w:rPr>
          <w:rFonts w:hint="default"/>
          <w:color w:val="auto"/>
          <w:highlight w:val="none"/>
          <w:lang w:val="en-US" w:eastAsia="zh-CN"/>
        </w:rPr>
      </w:pPr>
      <w:r>
        <w:rPr>
          <w:rFonts w:hint="eastAsia"/>
          <w:color w:val="auto"/>
          <w:sz w:val="26"/>
          <w:szCs w:val="26"/>
          <w:highlight w:val="none"/>
          <w:lang w:val="en-US" w:eastAsia="zh-CN"/>
        </w:rPr>
        <w:t>附图3：项目地理位置图</w:t>
      </w:r>
    </w:p>
    <w:p w14:paraId="228FC30B">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color w:val="auto"/>
          <w:sz w:val="26"/>
          <w:szCs w:val="26"/>
          <w:highlight w:val="none"/>
          <w:lang w:val="en-US" w:eastAsia="zh-CN"/>
        </w:rPr>
      </w:pPr>
      <w:r>
        <w:rPr>
          <w:rFonts w:hint="eastAsia"/>
          <w:color w:val="auto"/>
          <w:sz w:val="26"/>
          <w:szCs w:val="26"/>
          <w:highlight w:val="none"/>
          <w:lang w:val="en-US" w:eastAsia="zh-CN"/>
        </w:rPr>
        <w:t>附图4：项目区水系图</w:t>
      </w:r>
    </w:p>
    <w:p w14:paraId="7E7451C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color w:val="auto"/>
          <w:sz w:val="26"/>
          <w:szCs w:val="26"/>
          <w:highlight w:val="none"/>
          <w:lang w:val="en-US" w:eastAsia="zh-CN"/>
        </w:rPr>
      </w:pPr>
      <w:r>
        <w:rPr>
          <w:rFonts w:hint="eastAsia"/>
          <w:color w:val="auto"/>
          <w:sz w:val="26"/>
          <w:szCs w:val="26"/>
          <w:highlight w:val="none"/>
          <w:lang w:val="en-US" w:eastAsia="zh-CN"/>
        </w:rPr>
        <w:t>附图5：监测布点图</w:t>
      </w:r>
    </w:p>
    <w:p w14:paraId="477ED5A8">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auto"/>
          <w:sz w:val="26"/>
          <w:szCs w:val="26"/>
          <w:highlight w:val="none"/>
          <w:lang w:val="en-US" w:eastAsia="zh-CN"/>
        </w:rPr>
      </w:pPr>
      <w:r>
        <w:rPr>
          <w:rFonts w:hint="eastAsia"/>
          <w:color w:val="auto"/>
          <w:sz w:val="26"/>
          <w:szCs w:val="26"/>
          <w:highlight w:val="none"/>
          <w:lang w:val="en-US" w:eastAsia="zh-CN"/>
        </w:rPr>
        <w:t>附图6：项目区保护目标图</w:t>
      </w:r>
    </w:p>
    <w:p w14:paraId="0C58583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27AEB393">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sz w:val="26"/>
          <w:szCs w:val="26"/>
          <w:highlight w:val="none"/>
          <w:lang w:val="en-US" w:eastAsia="zh-CN"/>
        </w:rPr>
      </w:pPr>
    </w:p>
    <w:p w14:paraId="27489F6A">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2501A51E">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05F7BD38">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sz w:val="26"/>
          <w:szCs w:val="26"/>
          <w:highlight w:val="none"/>
          <w:lang w:val="en-US" w:eastAsia="zh-CN"/>
        </w:rPr>
      </w:pPr>
    </w:p>
    <w:p w14:paraId="35AB65B0">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7251444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p>
    <w:p w14:paraId="3759BC1A">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auto"/>
          <w:sz w:val="26"/>
          <w:szCs w:val="26"/>
          <w:highlight w:val="none"/>
          <w:lang w:val="en-US" w:eastAsia="zh-CN"/>
        </w:rPr>
        <w:sectPr>
          <w:pgSz w:w="11906" w:h="16838"/>
          <w:pgMar w:top="1440" w:right="1800" w:bottom="1440" w:left="1800" w:header="851" w:footer="992" w:gutter="0"/>
          <w:cols w:space="425" w:num="1"/>
          <w:docGrid w:type="lines" w:linePitch="312" w:charSpace="0"/>
        </w:sectPr>
      </w:pPr>
    </w:p>
    <w:p w14:paraId="04EC74B5">
      <w:pPr>
        <w:pStyle w:val="6"/>
        <w:spacing w:before="312" w:after="312"/>
        <w:jc w:val="left"/>
        <w:rPr>
          <w:color w:val="auto"/>
          <w:highlight w:val="none"/>
        </w:rPr>
      </w:pPr>
      <w:bookmarkStart w:id="1" w:name="_Toc13726"/>
      <w:r>
        <w:rPr>
          <w:rFonts w:hint="eastAsia"/>
          <w:color w:val="auto"/>
          <w:highlight w:val="none"/>
          <w:lang w:val="en-US" w:eastAsia="zh-CN"/>
        </w:rPr>
        <w:t>9</w:t>
      </w:r>
      <w:r>
        <w:rPr>
          <w:color w:val="auto"/>
          <w:highlight w:val="none"/>
        </w:rPr>
        <w:t>表一、建设项目基本情况</w:t>
      </w:r>
      <w:bookmarkEnd w:id="0"/>
      <w:bookmarkEnd w:id="1"/>
    </w:p>
    <w:tbl>
      <w:tblPr>
        <w:tblStyle w:val="22"/>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60"/>
        <w:gridCol w:w="1414"/>
        <w:gridCol w:w="573"/>
        <w:gridCol w:w="736"/>
        <w:gridCol w:w="47"/>
        <w:gridCol w:w="95"/>
        <w:gridCol w:w="1145"/>
        <w:gridCol w:w="77"/>
        <w:gridCol w:w="938"/>
        <w:gridCol w:w="426"/>
        <w:gridCol w:w="851"/>
      </w:tblGrid>
      <w:tr w14:paraId="73DB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1234" w:type="pct"/>
            <w:noWrap w:val="0"/>
            <w:vAlign w:val="center"/>
          </w:tcPr>
          <w:p w14:paraId="23E6EED3">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项目名称</w:t>
            </w:r>
          </w:p>
        </w:tc>
        <w:tc>
          <w:tcPr>
            <w:tcW w:w="3765" w:type="pct"/>
            <w:gridSpan w:val="10"/>
            <w:noWrap w:val="0"/>
            <w:vAlign w:val="center"/>
          </w:tcPr>
          <w:p w14:paraId="6E5CAE2B">
            <w:pPr>
              <w:ind w:firstLine="0" w:firstLineChars="0"/>
              <w:jc w:val="center"/>
              <w:rPr>
                <w:rFonts w:hint="eastAsia" w:ascii="Times New Roman" w:hAnsi="Times New Roman" w:eastAsia="宋体"/>
                <w:color w:val="auto"/>
                <w:sz w:val="24"/>
                <w:szCs w:val="24"/>
                <w:highlight w:val="none"/>
                <w:lang w:eastAsia="zh-CN"/>
              </w:rPr>
            </w:pPr>
            <w:r>
              <w:rPr>
                <w:rFonts w:hint="eastAsia"/>
                <w:color w:val="auto"/>
                <w:sz w:val="24"/>
                <w:szCs w:val="24"/>
                <w:highlight w:val="none"/>
                <w:lang w:eastAsia="zh-CN"/>
              </w:rPr>
              <w:t>昆明华地锦辰旅游资源开发有限公司东川区排子田普通建筑材料用石灰岩矿</w:t>
            </w:r>
          </w:p>
        </w:tc>
      </w:tr>
      <w:tr w14:paraId="5EE5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236BF136">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建设单位</w:t>
            </w:r>
          </w:p>
        </w:tc>
        <w:tc>
          <w:tcPr>
            <w:tcW w:w="3765" w:type="pct"/>
            <w:gridSpan w:val="10"/>
            <w:noWrap w:val="0"/>
            <w:vAlign w:val="center"/>
          </w:tcPr>
          <w:p w14:paraId="24179927">
            <w:pPr>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昆明华地锦辰旅游资源开发有限公司</w:t>
            </w:r>
          </w:p>
        </w:tc>
      </w:tr>
      <w:tr w14:paraId="2E52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5E858883">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法人代表</w:t>
            </w:r>
          </w:p>
        </w:tc>
        <w:tc>
          <w:tcPr>
            <w:tcW w:w="1656" w:type="pct"/>
            <w:gridSpan w:val="4"/>
            <w:noWrap w:val="0"/>
            <w:vAlign w:val="center"/>
          </w:tcPr>
          <w:p w14:paraId="3EEE2F40">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 xml:space="preserve">  </w:t>
            </w:r>
          </w:p>
        </w:tc>
        <w:tc>
          <w:tcPr>
            <w:tcW w:w="788" w:type="pct"/>
            <w:gridSpan w:val="3"/>
            <w:noWrap w:val="0"/>
            <w:vAlign w:val="center"/>
          </w:tcPr>
          <w:p w14:paraId="0E7479FC">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联系人</w:t>
            </w:r>
          </w:p>
        </w:tc>
        <w:tc>
          <w:tcPr>
            <w:tcW w:w="1320" w:type="pct"/>
            <w:gridSpan w:val="3"/>
            <w:noWrap w:val="0"/>
            <w:vAlign w:val="center"/>
          </w:tcPr>
          <w:p w14:paraId="19E58A5C">
            <w:pPr>
              <w:ind w:firstLine="0" w:firstLineChars="0"/>
              <w:jc w:val="center"/>
              <w:rPr>
                <w:rFonts w:hint="default" w:ascii="Times New Roman" w:hAnsi="Times New Roman" w:eastAsia="宋体"/>
                <w:bCs/>
                <w:color w:val="auto"/>
                <w:sz w:val="24"/>
                <w:szCs w:val="24"/>
                <w:highlight w:val="none"/>
                <w:lang w:val="en-US" w:eastAsia="zh-CN"/>
              </w:rPr>
            </w:pPr>
            <w:r>
              <w:rPr>
                <w:rFonts w:hint="eastAsia"/>
                <w:bCs/>
                <w:color w:val="auto"/>
                <w:sz w:val="24"/>
                <w:szCs w:val="24"/>
                <w:highlight w:val="none"/>
                <w:lang w:val="en-US" w:eastAsia="zh-CN"/>
              </w:rPr>
              <w:t xml:space="preserve"> </w:t>
            </w:r>
          </w:p>
        </w:tc>
      </w:tr>
      <w:tr w14:paraId="5825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2920A66C">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通讯地址</w:t>
            </w:r>
          </w:p>
        </w:tc>
        <w:tc>
          <w:tcPr>
            <w:tcW w:w="3765" w:type="pct"/>
            <w:gridSpan w:val="10"/>
            <w:noWrap w:val="0"/>
            <w:vAlign w:val="center"/>
          </w:tcPr>
          <w:p w14:paraId="0977A8E9">
            <w:pPr>
              <w:ind w:firstLine="0" w:firstLineChars="0"/>
              <w:jc w:val="center"/>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东川区拖布卡镇大荒地村排子田小组</w:t>
            </w:r>
          </w:p>
        </w:tc>
      </w:tr>
      <w:tr w14:paraId="668A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2654F367">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联系电话</w:t>
            </w:r>
          </w:p>
        </w:tc>
        <w:tc>
          <w:tcPr>
            <w:tcW w:w="1189" w:type="pct"/>
            <w:gridSpan w:val="2"/>
            <w:noWrap w:val="0"/>
            <w:vAlign w:val="center"/>
          </w:tcPr>
          <w:p w14:paraId="3F026C65">
            <w:pPr>
              <w:ind w:firstLine="0" w:firstLineChars="0"/>
              <w:jc w:val="center"/>
              <w:rPr>
                <w:rFonts w:hint="default" w:ascii="Times New Roman" w:hAnsi="Times New Roman"/>
                <w:bCs/>
                <w:color w:val="auto"/>
                <w:sz w:val="24"/>
                <w:szCs w:val="24"/>
                <w:highlight w:val="none"/>
                <w:lang w:val="en-US"/>
              </w:rPr>
            </w:pPr>
          </w:p>
        </w:tc>
        <w:tc>
          <w:tcPr>
            <w:tcW w:w="524" w:type="pct"/>
            <w:gridSpan w:val="3"/>
            <w:noWrap w:val="0"/>
            <w:vAlign w:val="center"/>
          </w:tcPr>
          <w:p w14:paraId="55D80356">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传真</w:t>
            </w:r>
          </w:p>
        </w:tc>
        <w:tc>
          <w:tcPr>
            <w:tcW w:w="731" w:type="pct"/>
            <w:gridSpan w:val="2"/>
            <w:noWrap w:val="0"/>
            <w:vAlign w:val="center"/>
          </w:tcPr>
          <w:p w14:paraId="6C12A73B">
            <w:pPr>
              <w:ind w:firstLine="0" w:firstLineChars="0"/>
              <w:jc w:val="center"/>
              <w:rPr>
                <w:rFonts w:ascii="Times New Roman" w:hAnsi="Times New Roman"/>
                <w:bCs/>
                <w:color w:val="auto"/>
                <w:sz w:val="24"/>
                <w:szCs w:val="24"/>
                <w:highlight w:val="none"/>
              </w:rPr>
            </w:pPr>
            <w:r>
              <w:rPr>
                <w:rFonts w:ascii="Times New Roman" w:hAnsi="Times New Roman"/>
                <w:color w:val="auto"/>
                <w:sz w:val="24"/>
                <w:szCs w:val="24"/>
                <w:highlight w:val="none"/>
              </w:rPr>
              <w:t>/</w:t>
            </w:r>
          </w:p>
        </w:tc>
        <w:tc>
          <w:tcPr>
            <w:tcW w:w="560" w:type="pct"/>
            <w:noWrap w:val="0"/>
            <w:vAlign w:val="center"/>
          </w:tcPr>
          <w:p w14:paraId="48598C46">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邮编</w:t>
            </w:r>
          </w:p>
        </w:tc>
        <w:tc>
          <w:tcPr>
            <w:tcW w:w="759" w:type="pct"/>
            <w:gridSpan w:val="2"/>
            <w:noWrap w:val="0"/>
            <w:vAlign w:val="center"/>
          </w:tcPr>
          <w:p w14:paraId="32FC5812">
            <w:pPr>
              <w:ind w:firstLine="0" w:firstLineChars="0"/>
              <w:jc w:val="center"/>
              <w:rPr>
                <w:rFonts w:hint="default" w:ascii="Times New Roman" w:hAnsi="Times New Roman" w:eastAsia="宋体"/>
                <w:bCs/>
                <w:color w:val="auto"/>
                <w:sz w:val="24"/>
                <w:szCs w:val="24"/>
                <w:highlight w:val="none"/>
                <w:lang w:val="en-US" w:eastAsia="zh-CN"/>
              </w:rPr>
            </w:pPr>
            <w:r>
              <w:rPr>
                <w:rFonts w:hint="eastAsia"/>
                <w:bCs/>
                <w:color w:val="auto"/>
                <w:sz w:val="24"/>
                <w:szCs w:val="24"/>
                <w:highlight w:val="none"/>
                <w:lang w:val="en-US" w:eastAsia="zh-CN"/>
              </w:rPr>
              <w:t>654115</w:t>
            </w:r>
          </w:p>
        </w:tc>
      </w:tr>
      <w:tr w14:paraId="6491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39C30D7C">
            <w:pPr>
              <w:ind w:firstLine="0" w:firstLineChars="0"/>
              <w:jc w:val="center"/>
              <w:rPr>
                <w:rFonts w:ascii="Times New Roman" w:hAnsi="Times New Roman"/>
                <w:bCs/>
                <w:color w:val="auto"/>
                <w:sz w:val="24"/>
                <w:szCs w:val="24"/>
                <w:highlight w:val="none"/>
              </w:rPr>
            </w:pPr>
            <w:r>
              <w:rPr>
                <w:rFonts w:ascii="Times New Roman" w:hAnsi="Times New Roman"/>
                <w:bCs/>
                <w:color w:val="auto"/>
                <w:sz w:val="24"/>
                <w:szCs w:val="24"/>
                <w:highlight w:val="none"/>
              </w:rPr>
              <w:t>建设地点</w:t>
            </w:r>
          </w:p>
        </w:tc>
        <w:tc>
          <w:tcPr>
            <w:tcW w:w="3765" w:type="pct"/>
            <w:gridSpan w:val="10"/>
            <w:noWrap w:val="0"/>
            <w:vAlign w:val="center"/>
          </w:tcPr>
          <w:p w14:paraId="718507FF">
            <w:pPr>
              <w:ind w:firstLine="0" w:firstLineChars="0"/>
              <w:jc w:val="center"/>
              <w:rPr>
                <w:rFonts w:ascii="Times New Roman" w:hAnsi="Times New Roman"/>
                <w:bCs/>
                <w:color w:val="auto"/>
                <w:sz w:val="24"/>
                <w:szCs w:val="24"/>
                <w:highlight w:val="none"/>
              </w:rPr>
            </w:pPr>
            <w:r>
              <w:rPr>
                <w:rFonts w:hint="eastAsia" w:ascii="Times New Roman" w:hAnsi="Times New Roman"/>
                <w:bCs/>
                <w:color w:val="auto"/>
                <w:sz w:val="24"/>
                <w:szCs w:val="24"/>
                <w:highlight w:val="none"/>
              </w:rPr>
              <w:t>东川区拖布卡镇大荒地村排子田小组</w:t>
            </w:r>
          </w:p>
        </w:tc>
      </w:tr>
      <w:tr w14:paraId="58D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7" w:hRule="atLeast"/>
          <w:jc w:val="center"/>
        </w:trPr>
        <w:tc>
          <w:tcPr>
            <w:tcW w:w="1234" w:type="pct"/>
            <w:noWrap w:val="0"/>
            <w:vAlign w:val="center"/>
          </w:tcPr>
          <w:p w14:paraId="579C5136">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立项审批部门</w:t>
            </w:r>
          </w:p>
        </w:tc>
        <w:tc>
          <w:tcPr>
            <w:tcW w:w="1628" w:type="pct"/>
            <w:gridSpan w:val="3"/>
            <w:noWrap w:val="0"/>
            <w:vAlign w:val="center"/>
          </w:tcPr>
          <w:p w14:paraId="57C49BCC">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w:t>
            </w:r>
          </w:p>
        </w:tc>
        <w:tc>
          <w:tcPr>
            <w:tcW w:w="770" w:type="pct"/>
            <w:gridSpan w:val="3"/>
            <w:noWrap w:val="0"/>
            <w:vAlign w:val="center"/>
          </w:tcPr>
          <w:p w14:paraId="21EB2397">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备案项目编号</w:t>
            </w:r>
          </w:p>
        </w:tc>
        <w:tc>
          <w:tcPr>
            <w:tcW w:w="1366" w:type="pct"/>
            <w:gridSpan w:val="4"/>
            <w:noWrap w:val="0"/>
            <w:vAlign w:val="center"/>
          </w:tcPr>
          <w:p w14:paraId="790789C6">
            <w:pPr>
              <w:widowControl w:val="0"/>
              <w:tabs>
                <w:tab w:val="left" w:pos="2395"/>
              </w:tabs>
              <w:ind w:firstLine="0" w:firstLineChars="0"/>
              <w:jc w:val="center"/>
              <w:rPr>
                <w:rFonts w:hint="eastAsia"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w:t>
            </w:r>
          </w:p>
        </w:tc>
      </w:tr>
      <w:tr w14:paraId="4CD9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2F02C308">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建设性质</w:t>
            </w:r>
          </w:p>
        </w:tc>
        <w:tc>
          <w:tcPr>
            <w:tcW w:w="1628" w:type="pct"/>
            <w:gridSpan w:val="3"/>
            <w:noWrap w:val="0"/>
            <w:vAlign w:val="center"/>
          </w:tcPr>
          <w:p w14:paraId="6178FFCD">
            <w:pPr>
              <w:ind w:firstLine="0" w:firstLineChars="0"/>
              <w:jc w:val="center"/>
              <w:rPr>
                <w:rFonts w:hint="eastAsia"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新建</w:t>
            </w:r>
          </w:p>
        </w:tc>
        <w:tc>
          <w:tcPr>
            <w:tcW w:w="770" w:type="pct"/>
            <w:gridSpan w:val="3"/>
            <w:noWrap w:val="0"/>
            <w:vAlign w:val="center"/>
          </w:tcPr>
          <w:p w14:paraId="027CFB7C">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行业类别及代码</w:t>
            </w:r>
          </w:p>
        </w:tc>
        <w:tc>
          <w:tcPr>
            <w:tcW w:w="1366" w:type="pct"/>
            <w:gridSpan w:val="4"/>
            <w:noWrap w:val="0"/>
            <w:vAlign w:val="center"/>
          </w:tcPr>
          <w:p w14:paraId="22A56B26">
            <w:pPr>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B101土砂石开采</w:t>
            </w:r>
          </w:p>
        </w:tc>
      </w:tr>
      <w:tr w14:paraId="3365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759B1BA8">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占地面积(m</w:t>
            </w:r>
            <w:r>
              <w:rPr>
                <w:rFonts w:ascii="Times New Roman" w:hAnsi="Times New Roman"/>
                <w:color w:val="auto"/>
                <w:sz w:val="24"/>
                <w:szCs w:val="24"/>
                <w:highlight w:val="none"/>
                <w:vertAlign w:val="superscript"/>
              </w:rPr>
              <w:t>2</w:t>
            </w:r>
            <w:r>
              <w:rPr>
                <w:rFonts w:ascii="Times New Roman" w:hAnsi="Times New Roman"/>
                <w:color w:val="auto"/>
                <w:sz w:val="24"/>
                <w:szCs w:val="24"/>
                <w:highlight w:val="none"/>
              </w:rPr>
              <w:t>)</w:t>
            </w:r>
          </w:p>
        </w:tc>
        <w:tc>
          <w:tcPr>
            <w:tcW w:w="1628" w:type="pct"/>
            <w:gridSpan w:val="3"/>
            <w:noWrap w:val="0"/>
            <w:vAlign w:val="center"/>
          </w:tcPr>
          <w:p w14:paraId="3356E1CA">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136500</w:t>
            </w:r>
          </w:p>
        </w:tc>
        <w:tc>
          <w:tcPr>
            <w:tcW w:w="770" w:type="pct"/>
            <w:gridSpan w:val="3"/>
            <w:noWrap w:val="0"/>
            <w:vAlign w:val="center"/>
          </w:tcPr>
          <w:p w14:paraId="3188E90F">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绿化面积(m</w:t>
            </w:r>
            <w:r>
              <w:rPr>
                <w:rFonts w:ascii="Times New Roman" w:hAnsi="Times New Roman"/>
                <w:color w:val="auto"/>
                <w:sz w:val="24"/>
                <w:szCs w:val="24"/>
                <w:highlight w:val="none"/>
                <w:vertAlign w:val="superscript"/>
              </w:rPr>
              <w:t>2</w:t>
            </w:r>
            <w:r>
              <w:rPr>
                <w:rFonts w:ascii="Times New Roman" w:hAnsi="Times New Roman"/>
                <w:color w:val="auto"/>
                <w:sz w:val="24"/>
                <w:szCs w:val="24"/>
                <w:highlight w:val="none"/>
              </w:rPr>
              <w:t>)</w:t>
            </w:r>
          </w:p>
        </w:tc>
        <w:tc>
          <w:tcPr>
            <w:tcW w:w="1366" w:type="pct"/>
            <w:gridSpan w:val="4"/>
            <w:noWrap w:val="0"/>
            <w:vAlign w:val="center"/>
          </w:tcPr>
          <w:p w14:paraId="11FA9C70">
            <w:pPr>
              <w:ind w:firstLine="0" w:firstLineChars="0"/>
              <w:jc w:val="center"/>
              <w:rPr>
                <w:rFonts w:hint="eastAsia"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w:t>
            </w:r>
          </w:p>
        </w:tc>
      </w:tr>
      <w:tr w14:paraId="7838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3816ED7C">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总投资(万元)</w:t>
            </w:r>
          </w:p>
        </w:tc>
        <w:tc>
          <w:tcPr>
            <w:tcW w:w="846" w:type="pct"/>
            <w:noWrap w:val="0"/>
            <w:vAlign w:val="center"/>
          </w:tcPr>
          <w:p w14:paraId="3DDC800D">
            <w:pPr>
              <w:ind w:firstLine="0" w:firstLineChars="0"/>
              <w:jc w:val="center"/>
              <w:rPr>
                <w:rFonts w:ascii="Times New Roman" w:hAnsi="Times New Roman"/>
                <w:color w:val="auto"/>
                <w:sz w:val="24"/>
                <w:szCs w:val="24"/>
                <w:highlight w:val="none"/>
              </w:rPr>
            </w:pPr>
            <w:r>
              <w:rPr>
                <w:rFonts w:hint="eastAsia"/>
                <w:color w:val="auto"/>
                <w:sz w:val="24"/>
                <w:szCs w:val="24"/>
                <w:highlight w:val="none"/>
                <w:lang w:val="en-US" w:eastAsia="zh-CN"/>
              </w:rPr>
              <w:t>1191.49</w:t>
            </w:r>
            <w:r>
              <w:rPr>
                <w:rFonts w:hint="eastAsia" w:ascii="Times New Roman" w:hAnsi="Times New Roman"/>
                <w:color w:val="auto"/>
                <w:sz w:val="24"/>
                <w:szCs w:val="24"/>
                <w:highlight w:val="none"/>
              </w:rPr>
              <w:t xml:space="preserve"> </w:t>
            </w:r>
          </w:p>
        </w:tc>
        <w:tc>
          <w:tcPr>
            <w:tcW w:w="782" w:type="pct"/>
            <w:gridSpan w:val="2"/>
            <w:noWrap w:val="0"/>
            <w:vAlign w:val="center"/>
          </w:tcPr>
          <w:p w14:paraId="570BEC9B">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其中：环保投资(万元)</w:t>
            </w:r>
          </w:p>
        </w:tc>
        <w:tc>
          <w:tcPr>
            <w:tcW w:w="770" w:type="pct"/>
            <w:gridSpan w:val="3"/>
            <w:noWrap w:val="0"/>
            <w:vAlign w:val="center"/>
          </w:tcPr>
          <w:p w14:paraId="7E0DCA09">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102.3</w:t>
            </w:r>
          </w:p>
        </w:tc>
        <w:tc>
          <w:tcPr>
            <w:tcW w:w="860" w:type="pct"/>
            <w:gridSpan w:val="3"/>
            <w:noWrap w:val="0"/>
            <w:vAlign w:val="center"/>
          </w:tcPr>
          <w:p w14:paraId="3C5642FA">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占总投资比例%</w:t>
            </w:r>
          </w:p>
        </w:tc>
        <w:tc>
          <w:tcPr>
            <w:tcW w:w="506" w:type="pct"/>
            <w:noWrap w:val="0"/>
            <w:vAlign w:val="center"/>
          </w:tcPr>
          <w:p w14:paraId="158B48A4">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8.59</w:t>
            </w:r>
          </w:p>
        </w:tc>
      </w:tr>
      <w:tr w14:paraId="6404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34" w:type="pct"/>
            <w:noWrap w:val="0"/>
            <w:vAlign w:val="center"/>
          </w:tcPr>
          <w:p w14:paraId="5768F994">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评价经费(万元)</w:t>
            </w:r>
          </w:p>
        </w:tc>
        <w:tc>
          <w:tcPr>
            <w:tcW w:w="846" w:type="pct"/>
            <w:noWrap w:val="0"/>
            <w:vAlign w:val="center"/>
          </w:tcPr>
          <w:p w14:paraId="6CF8023C">
            <w:pPr>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2</w:t>
            </w:r>
          </w:p>
        </w:tc>
        <w:tc>
          <w:tcPr>
            <w:tcW w:w="782" w:type="pct"/>
            <w:gridSpan w:val="2"/>
            <w:noWrap w:val="0"/>
            <w:vAlign w:val="center"/>
          </w:tcPr>
          <w:p w14:paraId="082DFAA6">
            <w:pPr>
              <w:ind w:firstLine="0" w:firstLineChars="0"/>
              <w:jc w:val="center"/>
              <w:rPr>
                <w:rFonts w:ascii="Times New Roman" w:hAnsi="Times New Roman"/>
                <w:color w:val="auto"/>
                <w:sz w:val="24"/>
                <w:szCs w:val="24"/>
                <w:highlight w:val="none"/>
              </w:rPr>
            </w:pPr>
            <w:r>
              <w:rPr>
                <w:rFonts w:ascii="Times New Roman" w:hAnsi="Times New Roman"/>
                <w:color w:val="auto"/>
                <w:sz w:val="24"/>
                <w:szCs w:val="24"/>
                <w:highlight w:val="none"/>
              </w:rPr>
              <w:t>预期投产日期</w:t>
            </w:r>
          </w:p>
        </w:tc>
        <w:tc>
          <w:tcPr>
            <w:tcW w:w="2136" w:type="pct"/>
            <w:gridSpan w:val="7"/>
            <w:noWrap w:val="0"/>
            <w:vAlign w:val="center"/>
          </w:tcPr>
          <w:p w14:paraId="0C8D21D8">
            <w:pPr>
              <w:ind w:firstLine="0" w:firstLineChars="0"/>
              <w:jc w:val="center"/>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2021年9月</w:t>
            </w:r>
          </w:p>
        </w:tc>
      </w:tr>
      <w:tr w14:paraId="6083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3" w:hRule="atLeast"/>
          <w:jc w:val="center"/>
        </w:trPr>
        <w:tc>
          <w:tcPr>
            <w:tcW w:w="5000" w:type="pct"/>
            <w:gridSpan w:val="11"/>
            <w:noWrap w:val="0"/>
            <w:vAlign w:val="top"/>
          </w:tcPr>
          <w:p w14:paraId="731E1008">
            <w:pPr>
              <w:tabs>
                <w:tab w:val="left" w:pos="2395"/>
              </w:tabs>
              <w:ind w:left="130" w:leftChars="50" w:right="130" w:rightChars="50" w:firstLine="0" w:firstLineChars="0"/>
              <w:rPr>
                <w:rFonts w:ascii="Times New Roman" w:hAnsi="Times New Roman"/>
                <w:b/>
                <w:bCs/>
                <w:color w:val="auto"/>
                <w:sz w:val="28"/>
                <w:szCs w:val="28"/>
                <w:highlight w:val="none"/>
              </w:rPr>
            </w:pPr>
            <w:r>
              <w:rPr>
                <w:rFonts w:ascii="Times New Roman" w:hAnsi="Times New Roman"/>
                <w:b/>
                <w:bCs/>
                <w:color w:val="auto"/>
                <w:sz w:val="28"/>
                <w:szCs w:val="28"/>
                <w:highlight w:val="none"/>
              </w:rPr>
              <w:t>工程内容及规模</w:t>
            </w:r>
          </w:p>
          <w:p w14:paraId="4766F569">
            <w:pPr>
              <w:tabs>
                <w:tab w:val="left" w:pos="2395"/>
              </w:tabs>
              <w:spacing w:line="360" w:lineRule="auto"/>
              <w:ind w:left="0" w:leftChars="0" w:right="130" w:rightChars="50" w:firstLine="0" w:firstLineChars="0"/>
              <w:rPr>
                <w:rFonts w:ascii="Times New Roman" w:hAnsi="Times New Roman"/>
                <w:b/>
                <w:bCs/>
                <w:color w:val="auto"/>
                <w:sz w:val="28"/>
                <w:szCs w:val="28"/>
                <w:highlight w:val="none"/>
              </w:rPr>
            </w:pPr>
            <w:r>
              <w:rPr>
                <w:rFonts w:ascii="Times New Roman" w:hAnsi="Times New Roman"/>
                <w:b/>
                <w:bCs/>
                <w:color w:val="auto"/>
                <w:sz w:val="28"/>
                <w:szCs w:val="28"/>
                <w:highlight w:val="none"/>
              </w:rPr>
              <w:t>1、任务由来</w:t>
            </w:r>
          </w:p>
          <w:p w14:paraId="74854CCC">
            <w:pPr>
              <w:keepNext w:val="0"/>
              <w:keepLines w:val="0"/>
              <w:pageBreakBefore w:val="0"/>
              <w:widowControl w:val="0"/>
              <w:tabs>
                <w:tab w:val="left" w:pos="2395"/>
              </w:tabs>
              <w:kinsoku/>
              <w:wordWrap/>
              <w:overflowPunct/>
              <w:topLinePunct w:val="0"/>
              <w:autoSpaceDE/>
              <w:autoSpaceDN/>
              <w:bidi w:val="0"/>
              <w:adjustRightInd/>
              <w:snapToGrid/>
              <w:spacing w:line="480" w:lineRule="exact"/>
              <w:ind w:left="0" w:leftChars="0" w:right="0" w:rightChars="0" w:firstLine="522"/>
              <w:textAlignment w:val="auto"/>
              <w:rPr>
                <w:rFonts w:hint="eastAsia" w:ascii="Times New Roman" w:hAnsi="Times New Roman"/>
                <w:b w:val="0"/>
                <w:color w:val="auto"/>
                <w:highlight w:val="none"/>
              </w:rPr>
            </w:pPr>
            <w:r>
              <w:rPr>
                <w:rFonts w:hint="eastAsia" w:ascii="Times New Roman" w:hAnsi="Times New Roman"/>
                <w:b w:val="0"/>
                <w:color w:val="auto"/>
                <w:highlight w:val="none"/>
              </w:rPr>
              <w:t>随着国家西部大开发政策的逐步深入，美丽新农村建设的逐步推进，公用、民用建筑事业的飞速发展，市场对建筑材料的需求量日益增大，水泥用石灰岩价格不断上涨，市场上普通建筑材料已呈现供不应求的态势。</w:t>
            </w:r>
          </w:p>
          <w:p w14:paraId="013E50AF">
            <w:pPr>
              <w:keepNext w:val="0"/>
              <w:keepLines w:val="0"/>
              <w:pageBreakBefore w:val="0"/>
              <w:widowControl w:val="0"/>
              <w:tabs>
                <w:tab w:val="left" w:pos="2395"/>
              </w:tabs>
              <w:kinsoku/>
              <w:wordWrap/>
              <w:overflowPunct/>
              <w:topLinePunct w:val="0"/>
              <w:autoSpaceDE/>
              <w:autoSpaceDN/>
              <w:bidi w:val="0"/>
              <w:adjustRightInd/>
              <w:snapToGrid/>
              <w:spacing w:line="480" w:lineRule="exact"/>
              <w:ind w:left="0" w:leftChars="0" w:right="0" w:rightChars="0" w:firstLine="522"/>
              <w:textAlignment w:val="auto"/>
              <w:rPr>
                <w:rFonts w:hint="eastAsia"/>
                <w:b w:val="0"/>
                <w:color w:val="auto"/>
                <w:highlight w:val="none"/>
                <w:lang w:eastAsia="zh-CN"/>
              </w:rPr>
            </w:pPr>
            <w:r>
              <w:rPr>
                <w:rFonts w:hint="eastAsia" w:ascii="Times New Roman" w:hAnsi="Times New Roman"/>
                <w:b w:val="0"/>
                <w:color w:val="auto"/>
                <w:highlight w:val="none"/>
              </w:rPr>
              <w:t>为了满足东川区拖布卡镇及其周边地区对普通建筑用砂石料日益增长的需求，适应城镇及新农村建设的需要，遵循少破坏环境、合理开发利用资源的原则，拟在东川区拖布卡镇大荒地村排子田小组设立一个普通建筑材料用石灰岩矿</w:t>
            </w:r>
            <w:r>
              <w:rPr>
                <w:rFonts w:hint="eastAsia"/>
                <w:b w:val="0"/>
                <w:color w:val="auto"/>
                <w:highlight w:val="none"/>
                <w:lang w:val="en-US" w:eastAsia="zh-CN"/>
              </w:rPr>
              <w:t>项目，</w:t>
            </w:r>
            <w:r>
              <w:rPr>
                <w:rFonts w:hint="eastAsia" w:ascii="Times New Roman" w:hAnsi="Times New Roman"/>
                <w:b w:val="0"/>
                <w:color w:val="auto"/>
                <w:highlight w:val="none"/>
              </w:rPr>
              <w:t>拟设采矿权名称为昆明华地锦辰旅游资源开发有限公司东川区排子田普通建筑材料用石灰岩矿（下简称“排子田石灰岩矿”），</w:t>
            </w:r>
            <w:r>
              <w:rPr>
                <w:rFonts w:hint="eastAsia"/>
                <w:b w:val="0"/>
                <w:color w:val="auto"/>
                <w:highlight w:val="none"/>
                <w:lang w:val="en-US" w:eastAsia="zh-CN"/>
              </w:rPr>
              <w:t>本项目采矿权范围处于云南省紫润矿业有限公司所属的“昆明市东川区店房金矿地质勘探”原探矿权范围内，该探矿权首次设立于2003年9月，证号：5300000310595，勘查面积：41.89km</w:t>
            </w:r>
            <w:r>
              <w:rPr>
                <w:rFonts w:hint="eastAsia"/>
                <w:b w:val="0"/>
                <w:color w:val="auto"/>
                <w:highlight w:val="none"/>
                <w:vertAlign w:val="superscript"/>
                <w:lang w:val="en-US" w:eastAsia="zh-CN"/>
              </w:rPr>
              <w:t>2</w:t>
            </w:r>
            <w:r>
              <w:rPr>
                <w:rFonts w:hint="eastAsia"/>
                <w:b w:val="0"/>
                <w:color w:val="auto"/>
                <w:highlight w:val="none"/>
                <w:lang w:val="en-US" w:eastAsia="zh-CN"/>
              </w:rPr>
              <w:t>。经多次延续变更后，该探矿权证号：T53120090302025990，勘查面积：16.14Km</w:t>
            </w:r>
            <w:r>
              <w:rPr>
                <w:rFonts w:hint="eastAsia"/>
                <w:b w:val="0"/>
                <w:color w:val="auto"/>
                <w:highlight w:val="none"/>
                <w:vertAlign w:val="superscript"/>
                <w:lang w:val="en-US" w:eastAsia="zh-CN"/>
              </w:rPr>
              <w:t>2</w:t>
            </w:r>
            <w:r>
              <w:rPr>
                <w:rFonts w:hint="eastAsia"/>
                <w:b w:val="0"/>
                <w:color w:val="auto"/>
                <w:highlight w:val="none"/>
                <w:lang w:val="en-US" w:eastAsia="zh-CN"/>
              </w:rPr>
              <w:t>。</w:t>
            </w:r>
            <w:r>
              <w:rPr>
                <w:rFonts w:hint="eastAsia" w:ascii="Times New Roman" w:hAnsi="Times New Roman"/>
                <w:b w:val="0"/>
                <w:color w:val="auto"/>
                <w:highlight w:val="none"/>
              </w:rPr>
              <w:t>云南省紫润矿业有限公司</w:t>
            </w:r>
            <w:r>
              <w:rPr>
                <w:rFonts w:hint="eastAsia"/>
                <w:b w:val="0"/>
                <w:color w:val="auto"/>
                <w:highlight w:val="none"/>
                <w:lang w:val="en-US" w:eastAsia="zh-CN"/>
              </w:rPr>
              <w:t>探矿期间发现本项目范围内有大量的是灰岩矿，不适合金矿的开采，则</w:t>
            </w:r>
            <w:r>
              <w:rPr>
                <w:rFonts w:hint="eastAsia" w:ascii="Times New Roman" w:hAnsi="Times New Roman"/>
                <w:b w:val="0"/>
                <w:color w:val="auto"/>
                <w:highlight w:val="none"/>
              </w:rPr>
              <w:t>主动缩减了“昆明市东川区店房金矿地质勘探”探矿权范围，其缩减范围包括拟设的排子田石灰岩矿采矿权范围</w:t>
            </w:r>
            <w:r>
              <w:rPr>
                <w:rFonts w:hint="eastAsia"/>
                <w:b w:val="0"/>
                <w:color w:val="auto"/>
                <w:highlight w:val="none"/>
                <w:lang w:eastAsia="zh-CN"/>
              </w:rPr>
              <w:t>，</w:t>
            </w:r>
            <w:r>
              <w:rPr>
                <w:rFonts w:hint="eastAsia" w:ascii="Times New Roman" w:hAnsi="Times New Roman"/>
                <w:b w:val="0"/>
                <w:color w:val="auto"/>
                <w:highlight w:val="none"/>
              </w:rPr>
              <w:t>缩减后拟出让采矿权区为空白区，并且不属于国家出资探明地，</w:t>
            </w:r>
            <w:r>
              <w:rPr>
                <w:rFonts w:hint="eastAsia"/>
                <w:b w:val="0"/>
                <w:color w:val="auto"/>
                <w:highlight w:val="none"/>
                <w:lang w:val="en-US" w:eastAsia="zh-CN"/>
              </w:rPr>
              <w:t>探矿期间在本项目范围内建设了生活区，配电房及安装了破碎设施，本次项目可利用探矿期间建设的设备及建筑。</w:t>
            </w:r>
            <w:r>
              <w:rPr>
                <w:rFonts w:hint="eastAsia" w:ascii="Times New Roman" w:hAnsi="Times New Roman"/>
                <w:b w:val="0"/>
                <w:color w:val="auto"/>
                <w:highlight w:val="none"/>
              </w:rPr>
              <w:t>同时该范围处于第三轮矿产资源规划设置的砂石黏土允许开采区范围内</w:t>
            </w:r>
            <w:r>
              <w:rPr>
                <w:rFonts w:hint="eastAsia"/>
                <w:b w:val="0"/>
                <w:color w:val="auto"/>
                <w:highlight w:val="none"/>
                <w:lang w:eastAsia="zh-CN"/>
              </w:rPr>
              <w:t>。2020年5月16日昆明市东川区自然资源局</w:t>
            </w:r>
            <w:r>
              <w:rPr>
                <w:rFonts w:hint="eastAsia"/>
                <w:b w:val="0"/>
                <w:color w:val="auto"/>
                <w:highlight w:val="none"/>
                <w:lang w:val="en-US" w:eastAsia="zh-CN"/>
              </w:rPr>
              <w:t>向</w:t>
            </w:r>
            <w:r>
              <w:rPr>
                <w:rFonts w:hint="eastAsia"/>
                <w:b w:val="0"/>
                <w:color w:val="auto"/>
                <w:highlight w:val="none"/>
                <w:lang w:eastAsia="zh-CN"/>
              </w:rPr>
              <w:t>昆明市东川区人民政府建议该采矿权出让计划，后经昆明市东川区人民政府批复（东政复[2020]311号），于2020年9月18日同意设置该采矿权出让计划。</w:t>
            </w:r>
          </w:p>
          <w:p w14:paraId="4B78BE2B">
            <w:pPr>
              <w:keepNext w:val="0"/>
              <w:keepLines w:val="0"/>
              <w:pageBreakBefore w:val="0"/>
              <w:widowControl w:val="0"/>
              <w:tabs>
                <w:tab w:val="left" w:pos="2395"/>
              </w:tabs>
              <w:kinsoku/>
              <w:wordWrap/>
              <w:overflowPunct/>
              <w:topLinePunct w:val="0"/>
              <w:autoSpaceDE/>
              <w:autoSpaceDN/>
              <w:bidi w:val="0"/>
              <w:adjustRightInd/>
              <w:snapToGrid/>
              <w:spacing w:line="480" w:lineRule="exact"/>
              <w:ind w:left="0" w:leftChars="0" w:right="0" w:rightChars="0" w:firstLine="522"/>
              <w:textAlignment w:val="auto"/>
              <w:rPr>
                <w:rFonts w:hint="eastAsia" w:ascii="Times New Roman" w:hAnsi="Times New Roman"/>
                <w:b w:val="0"/>
                <w:color w:val="auto"/>
                <w:highlight w:val="none"/>
              </w:rPr>
            </w:pPr>
            <w:r>
              <w:rPr>
                <w:rFonts w:hint="eastAsia"/>
                <w:b w:val="0"/>
                <w:color w:val="auto"/>
                <w:highlight w:val="none"/>
                <w:lang w:eastAsia="zh-CN"/>
              </w:rPr>
              <w:t>目前该拟出让采矿权已被昆明华地锦辰旅游资源开发有限公司（下简称“我公司”）竞拍取得，</w:t>
            </w:r>
            <w:r>
              <w:rPr>
                <w:rFonts w:hint="eastAsia"/>
                <w:b w:val="0"/>
                <w:color w:val="auto"/>
                <w:highlight w:val="none"/>
                <w:lang w:val="en-US" w:eastAsia="zh-CN"/>
              </w:rPr>
              <w:t>云南省紫润矿业有限公司与</w:t>
            </w:r>
            <w:r>
              <w:rPr>
                <w:rFonts w:hint="eastAsia"/>
                <w:b w:val="0"/>
                <w:color w:val="auto"/>
                <w:highlight w:val="none"/>
                <w:lang w:eastAsia="zh-CN"/>
              </w:rPr>
              <w:t>昆明华地锦辰旅游资源开发有限公司</w:t>
            </w:r>
            <w:r>
              <w:rPr>
                <w:rFonts w:hint="eastAsia"/>
                <w:b w:val="0"/>
                <w:color w:val="auto"/>
                <w:highlight w:val="none"/>
                <w:lang w:val="en-US" w:eastAsia="zh-CN"/>
              </w:rPr>
              <w:t>实际投资主体和法定代表人均为张启东，即两家公司实际投资主体和法定代表人均为同一人。项目</w:t>
            </w:r>
            <w:r>
              <w:rPr>
                <w:rFonts w:hint="eastAsia"/>
                <w:b w:val="0"/>
                <w:color w:val="auto"/>
                <w:highlight w:val="none"/>
                <w:lang w:eastAsia="zh-CN"/>
              </w:rPr>
              <w:t>于2021年1月29日取得昆明市东川区发展和改革委员会关于“昆明华地锦辰旅游资源开发有限公司东川区排子田普通建筑材料用石灰岩矿”固定资产投资项目备案证明。</w:t>
            </w:r>
            <w:r>
              <w:rPr>
                <w:rFonts w:hint="eastAsia" w:ascii="Times New Roman" w:hAnsi="Times New Roman"/>
                <w:b w:val="0"/>
                <w:color w:val="auto"/>
                <w:highlight w:val="none"/>
              </w:rPr>
              <w:t>拟设矿区面积为0.1365 km</w:t>
            </w:r>
            <w:r>
              <w:rPr>
                <w:rFonts w:hint="eastAsia" w:ascii="Times New Roman" w:hAnsi="Times New Roman"/>
                <w:b w:val="0"/>
                <w:color w:val="auto"/>
                <w:highlight w:val="none"/>
                <w:vertAlign w:val="superscript"/>
              </w:rPr>
              <w:t>2</w:t>
            </w:r>
            <w:r>
              <w:rPr>
                <w:rFonts w:hint="eastAsia" w:ascii="Times New Roman" w:hAnsi="Times New Roman"/>
                <w:b w:val="0"/>
                <w:color w:val="auto"/>
                <w:highlight w:val="none"/>
              </w:rPr>
              <w:t>，拟设开采标高</w:t>
            </w:r>
            <w:r>
              <w:rPr>
                <w:rFonts w:hint="eastAsia"/>
                <w:b w:val="0"/>
                <w:color w:val="auto"/>
                <w:highlight w:val="none"/>
                <w:lang w:val="en-US" w:eastAsia="zh-CN"/>
              </w:rPr>
              <w:t>1200</w:t>
            </w:r>
            <w:r>
              <w:rPr>
                <w:rFonts w:hint="eastAsia" w:ascii="Times New Roman" w:hAnsi="Times New Roman"/>
                <w:b w:val="0"/>
                <w:color w:val="auto"/>
                <w:highlight w:val="none"/>
              </w:rPr>
              <w:t>m-1</w:t>
            </w:r>
            <w:r>
              <w:rPr>
                <w:rFonts w:hint="eastAsia"/>
                <w:b w:val="0"/>
                <w:color w:val="auto"/>
                <w:highlight w:val="none"/>
                <w:lang w:val="en-US" w:eastAsia="zh-CN"/>
              </w:rPr>
              <w:t>030</w:t>
            </w:r>
            <w:r>
              <w:rPr>
                <w:rFonts w:hint="eastAsia" w:ascii="Times New Roman" w:hAnsi="Times New Roman"/>
                <w:b w:val="0"/>
                <w:color w:val="auto"/>
                <w:highlight w:val="none"/>
              </w:rPr>
              <w:t>m，开采矿种为普通建筑材料用石灰岩矿</w:t>
            </w:r>
            <w:r>
              <w:rPr>
                <w:rFonts w:hint="eastAsia"/>
                <w:b w:val="0"/>
                <w:color w:val="auto"/>
                <w:highlight w:val="none"/>
                <w:lang w:eastAsia="zh-CN"/>
              </w:rPr>
              <w:t>，</w:t>
            </w:r>
            <w:r>
              <w:rPr>
                <w:rFonts w:hint="eastAsia"/>
                <w:b w:val="0"/>
                <w:color w:val="auto"/>
                <w:highlight w:val="none"/>
                <w:lang w:val="en-US" w:eastAsia="zh-CN"/>
              </w:rPr>
              <w:t>规模为30万t/a</w:t>
            </w:r>
            <w:r>
              <w:rPr>
                <w:rFonts w:hint="eastAsia" w:ascii="Times New Roman" w:hAnsi="Times New Roman"/>
                <w:b w:val="0"/>
                <w:color w:val="auto"/>
                <w:highlight w:val="none"/>
              </w:rPr>
              <w:t>。</w:t>
            </w:r>
          </w:p>
          <w:p w14:paraId="1576518D">
            <w:pPr>
              <w:keepNext w:val="0"/>
              <w:keepLines w:val="0"/>
              <w:pageBreakBefore w:val="0"/>
              <w:widowControl w:val="0"/>
              <w:tabs>
                <w:tab w:val="left" w:pos="2395"/>
              </w:tabs>
              <w:kinsoku/>
              <w:wordWrap/>
              <w:overflowPunct/>
              <w:topLinePunct w:val="0"/>
              <w:autoSpaceDE/>
              <w:autoSpaceDN/>
              <w:bidi w:val="0"/>
              <w:adjustRightInd/>
              <w:snapToGrid/>
              <w:spacing w:line="480" w:lineRule="exact"/>
              <w:ind w:left="0" w:leftChars="0" w:right="0" w:rightChars="0" w:firstLine="522"/>
              <w:textAlignment w:val="auto"/>
              <w:rPr>
                <w:rFonts w:hint="eastAsia" w:ascii="Times New Roman" w:hAnsi="Times New Roman"/>
                <w:b w:val="0"/>
                <w:color w:val="auto"/>
                <w:highlight w:val="none"/>
              </w:rPr>
            </w:pPr>
            <w:r>
              <w:rPr>
                <w:rFonts w:hint="eastAsia" w:ascii="Times New Roman" w:hAnsi="Times New Roman"/>
                <w:b w:val="0"/>
                <w:color w:val="auto"/>
                <w:highlight w:val="none"/>
              </w:rPr>
              <w:t>本矿交通较为便利，矿山开采安全简便，该石灰岩砂石原料加工技术简单可行</w:t>
            </w:r>
            <w:r>
              <w:rPr>
                <w:rFonts w:hint="eastAsia"/>
                <w:b w:val="0"/>
                <w:color w:val="auto"/>
                <w:highlight w:val="none"/>
                <w:lang w:eastAsia="zh-CN"/>
              </w:rPr>
              <w:t>，</w:t>
            </w:r>
            <w:r>
              <w:rPr>
                <w:rFonts w:hint="eastAsia" w:ascii="Times New Roman" w:hAnsi="Times New Roman"/>
                <w:b w:val="0"/>
                <w:color w:val="auto"/>
                <w:highlight w:val="none"/>
              </w:rPr>
              <w:t>矿山附近对建筑材料有很大需求，</w:t>
            </w:r>
            <w:r>
              <w:rPr>
                <w:rFonts w:hint="eastAsia"/>
                <w:b w:val="0"/>
                <w:color w:val="auto"/>
                <w:highlight w:val="none"/>
                <w:lang w:val="en-US" w:eastAsia="zh-CN"/>
              </w:rPr>
              <w:t>本项目</w:t>
            </w:r>
            <w:r>
              <w:rPr>
                <w:rFonts w:hint="eastAsia" w:ascii="Times New Roman" w:hAnsi="Times New Roman"/>
                <w:b w:val="0"/>
                <w:color w:val="auto"/>
                <w:highlight w:val="none"/>
              </w:rPr>
              <w:t>对建筑材料石灰岩的开发，具有良好的市场前景，能获得较好的经济效益。</w:t>
            </w:r>
          </w:p>
          <w:p w14:paraId="1E64A695">
            <w:pPr>
              <w:ind w:firstLine="520"/>
              <w:rPr>
                <w:rFonts w:hint="eastAsia" w:ascii="Times New Roman" w:hAnsi="Times New Roman"/>
                <w:b w:val="0"/>
                <w:color w:val="auto"/>
                <w:sz w:val="26"/>
                <w:szCs w:val="26"/>
                <w:highlight w:val="none"/>
              </w:rPr>
            </w:pPr>
            <w:bookmarkStart w:id="2" w:name="_Toc29537"/>
            <w:r>
              <w:rPr>
                <w:rFonts w:hint="eastAsia" w:ascii="Times New Roman" w:hAnsi="Times New Roman"/>
                <w:bCs/>
                <w:color w:val="auto"/>
                <w:highlight w:val="none"/>
              </w:rPr>
              <w:t>根据《中华人民共和国环境保护法》、《中华人民共和国环境影响评价法》、中华人民共和国国务院第</w:t>
            </w:r>
            <w:r>
              <w:rPr>
                <w:rFonts w:ascii="Times New Roman" w:hAnsi="Times New Roman"/>
                <w:bCs/>
                <w:color w:val="auto"/>
                <w:highlight w:val="none"/>
              </w:rPr>
              <w:t>682</w:t>
            </w:r>
            <w:r>
              <w:rPr>
                <w:rFonts w:hint="eastAsia" w:ascii="Times New Roman" w:hAnsi="Times New Roman"/>
                <w:bCs/>
                <w:color w:val="auto"/>
                <w:highlight w:val="none"/>
              </w:rPr>
              <w:t>号令《建设项目环境保护管理条例》（</w:t>
            </w:r>
            <w:r>
              <w:rPr>
                <w:rFonts w:ascii="Times New Roman" w:hAnsi="Times New Roman"/>
                <w:bCs/>
                <w:color w:val="auto"/>
                <w:highlight w:val="none"/>
              </w:rPr>
              <w:t>2017</w:t>
            </w:r>
            <w:r>
              <w:rPr>
                <w:rFonts w:hint="eastAsia" w:ascii="Times New Roman" w:hAnsi="Times New Roman"/>
                <w:bCs/>
                <w:color w:val="auto"/>
                <w:highlight w:val="none"/>
              </w:rPr>
              <w:t>年</w:t>
            </w:r>
            <w:r>
              <w:rPr>
                <w:rFonts w:ascii="Times New Roman" w:hAnsi="Times New Roman"/>
                <w:bCs/>
                <w:color w:val="auto"/>
                <w:highlight w:val="none"/>
              </w:rPr>
              <w:t>10</w:t>
            </w:r>
            <w:r>
              <w:rPr>
                <w:rFonts w:hint="eastAsia" w:ascii="Times New Roman" w:hAnsi="Times New Roman"/>
                <w:bCs/>
                <w:color w:val="auto"/>
                <w:highlight w:val="none"/>
              </w:rPr>
              <w:t>月</w:t>
            </w:r>
            <w:r>
              <w:rPr>
                <w:rFonts w:ascii="Times New Roman" w:hAnsi="Times New Roman"/>
                <w:bCs/>
                <w:color w:val="auto"/>
                <w:highlight w:val="none"/>
              </w:rPr>
              <w:t>1</w:t>
            </w:r>
            <w:r>
              <w:rPr>
                <w:rFonts w:hint="eastAsia" w:ascii="Times New Roman" w:hAnsi="Times New Roman"/>
                <w:bCs/>
                <w:color w:val="auto"/>
                <w:highlight w:val="none"/>
              </w:rPr>
              <w:t>日实施）中的有关规定，一切可能对环境造成影响的新建、扩建或改建项目必须实行环境影响评价审批制度，以便能有效的控制新的污染和生态破坏，保护环境、利国利民。根据中华人民共和国生态环境部公布的《</w:t>
            </w:r>
            <w:r>
              <w:rPr>
                <w:rFonts w:ascii="Times New Roman" w:hAnsi="Times New Roman"/>
                <w:bCs/>
                <w:color w:val="auto"/>
                <w:highlight w:val="none"/>
              </w:rPr>
              <w:fldChar w:fldCharType="begin"/>
            </w:r>
            <w:r>
              <w:rPr>
                <w:rFonts w:ascii="Times New Roman" w:hAnsi="Times New Roman"/>
                <w:bCs/>
                <w:color w:val="auto"/>
                <w:highlight w:val="none"/>
              </w:rPr>
              <w:instrText xml:space="preserve"> HYPERLINK "http://www.mep.gov.cn/gkml/sthjbgw/sthjbl/201804/t20180430_435750.htm" </w:instrText>
            </w:r>
            <w:r>
              <w:rPr>
                <w:rFonts w:ascii="Times New Roman" w:hAnsi="Times New Roman"/>
                <w:bCs/>
                <w:color w:val="auto"/>
                <w:highlight w:val="none"/>
              </w:rPr>
              <w:fldChar w:fldCharType="separate"/>
            </w:r>
            <w:r>
              <w:rPr>
                <w:rFonts w:hint="eastAsia" w:ascii="Times New Roman" w:hAnsi="Times New Roman"/>
                <w:bCs/>
                <w:color w:val="auto"/>
                <w:highlight w:val="none"/>
              </w:rPr>
              <w:t>建设项目环境影响评价分类管理名录》</w:t>
            </w:r>
            <w:r>
              <w:rPr>
                <w:rFonts w:hint="eastAsia"/>
                <w:bCs/>
                <w:color w:val="auto"/>
                <w:highlight w:val="none"/>
                <w:lang w:eastAsia="zh-CN"/>
              </w:rPr>
              <w:t>（</w:t>
            </w:r>
            <w:r>
              <w:rPr>
                <w:rFonts w:ascii="Times New Roman" w:hAnsi="Times New Roman"/>
                <w:bCs/>
                <w:color w:val="auto"/>
                <w:highlight w:val="none"/>
              </w:rPr>
              <w:fldChar w:fldCharType="end"/>
            </w:r>
            <w:r>
              <w:rPr>
                <w:rFonts w:hint="eastAsia"/>
                <w:bCs/>
                <w:color w:val="auto"/>
                <w:highlight w:val="none"/>
                <w:lang w:val="en-US" w:eastAsia="zh-CN"/>
              </w:rPr>
              <w:t>2021年版</w:t>
            </w:r>
            <w:r>
              <w:rPr>
                <w:rFonts w:hint="eastAsia"/>
                <w:bCs/>
                <w:color w:val="auto"/>
                <w:highlight w:val="none"/>
                <w:lang w:eastAsia="zh-CN"/>
              </w:rPr>
              <w:t>）</w:t>
            </w:r>
            <w:r>
              <w:rPr>
                <w:rFonts w:hint="eastAsia" w:ascii="Times New Roman" w:hAnsi="Times New Roman"/>
                <w:bCs/>
                <w:color w:val="auto"/>
                <w:highlight w:val="none"/>
              </w:rPr>
              <w:t>，</w:t>
            </w:r>
            <w:r>
              <w:rPr>
                <w:rFonts w:hint="eastAsia"/>
                <w:bCs/>
                <w:color w:val="auto"/>
                <w:highlight w:val="none"/>
                <w:lang w:eastAsia="zh-CN"/>
              </w:rPr>
              <w:t>“</w:t>
            </w:r>
            <w:r>
              <w:rPr>
                <w:rFonts w:hint="eastAsia"/>
                <w:bCs/>
                <w:color w:val="auto"/>
                <w:highlight w:val="none"/>
                <w:lang w:val="en-US" w:eastAsia="zh-CN"/>
              </w:rPr>
              <w:t>非金属矿采选业</w:t>
            </w:r>
            <w:r>
              <w:rPr>
                <w:rFonts w:hint="eastAsia"/>
                <w:bCs/>
                <w:color w:val="auto"/>
                <w:highlight w:val="none"/>
                <w:lang w:eastAsia="zh-CN"/>
              </w:rPr>
              <w:t>”</w:t>
            </w:r>
            <w:r>
              <w:rPr>
                <w:rFonts w:hint="eastAsia"/>
                <w:bCs/>
                <w:color w:val="auto"/>
                <w:highlight w:val="none"/>
                <w:lang w:val="en-US" w:eastAsia="zh-CN"/>
              </w:rPr>
              <w:t>中的‘</w:t>
            </w:r>
            <w:r>
              <w:rPr>
                <w:rFonts w:hint="eastAsia" w:ascii="Times New Roman" w:hAnsi="Times New Roman"/>
                <w:b w:val="0"/>
                <w:color w:val="auto"/>
                <w:sz w:val="26"/>
                <w:szCs w:val="26"/>
                <w:highlight w:val="none"/>
              </w:rPr>
              <w:t>土砂石开采101 (不含河道采砂项目)</w:t>
            </w:r>
            <w:r>
              <w:rPr>
                <w:rFonts w:hint="eastAsia"/>
                <w:bCs/>
                <w:color w:val="auto"/>
                <w:highlight w:val="none"/>
                <w:lang w:val="en-US" w:eastAsia="zh-CN"/>
              </w:rPr>
              <w:t>’</w:t>
            </w:r>
            <w:r>
              <w:rPr>
                <w:rFonts w:hint="eastAsia" w:ascii="Times New Roman" w:hAnsi="Times New Roman"/>
                <w:b w:val="0"/>
                <w:color w:val="auto"/>
                <w:sz w:val="26"/>
                <w:szCs w:val="26"/>
                <w:highlight w:val="none"/>
              </w:rPr>
              <w:t>“涉及环境敏感区的(不含单独的矿石破碎、集运</w:t>
            </w:r>
            <w:r>
              <w:rPr>
                <w:rFonts w:hint="eastAsia"/>
                <w:b w:val="0"/>
                <w:color w:val="auto"/>
                <w:sz w:val="26"/>
                <w:szCs w:val="26"/>
                <w:highlight w:val="none"/>
                <w:lang w:eastAsia="zh-CN"/>
              </w:rPr>
              <w:t>；</w:t>
            </w:r>
            <w:r>
              <w:rPr>
                <w:rFonts w:hint="eastAsia" w:ascii="Times New Roman" w:hAnsi="Times New Roman"/>
                <w:b w:val="0"/>
                <w:color w:val="auto"/>
                <w:sz w:val="26"/>
                <w:szCs w:val="26"/>
                <w:highlight w:val="none"/>
              </w:rPr>
              <w:t>不含矿区修复治理工程)”均需编制环境影响报告书，其他类型则编制报告表。根据</w:t>
            </w:r>
            <w:r>
              <w:rPr>
                <w:rFonts w:hint="eastAsia" w:ascii="Times New Roman" w:hAnsi="Times New Roman"/>
                <w:b w:val="0"/>
                <w:bCs w:val="0"/>
                <w:color w:val="auto"/>
                <w:sz w:val="26"/>
                <w:szCs w:val="26"/>
                <w:highlight w:val="none"/>
                <w:lang w:val="en-US" w:eastAsia="zh-CN" w:bidi="en-US"/>
              </w:rPr>
              <w:t>《</w:t>
            </w:r>
            <w:r>
              <w:rPr>
                <w:color w:val="auto"/>
                <w:highlight w:val="none"/>
              </w:rPr>
              <w:t>云南省昆明市东川区排子田普通建筑材料用石灰岩矿</w:t>
            </w:r>
            <w:r>
              <w:rPr>
                <w:rFonts w:hint="eastAsia"/>
                <w:color w:val="auto"/>
                <w:highlight w:val="none"/>
              </w:rPr>
              <w:t>矿产资源开发利用方案</w:t>
            </w:r>
            <w:r>
              <w:rPr>
                <w:rFonts w:hint="eastAsia" w:ascii="Times New Roman" w:hAnsi="Times New Roman"/>
                <w:b w:val="0"/>
                <w:bCs w:val="0"/>
                <w:color w:val="auto"/>
                <w:sz w:val="26"/>
                <w:szCs w:val="26"/>
                <w:highlight w:val="none"/>
                <w:lang w:val="en-US" w:eastAsia="zh-CN" w:bidi="en-US"/>
              </w:rPr>
              <w:t>》</w:t>
            </w:r>
            <w:r>
              <w:rPr>
                <w:rFonts w:hint="eastAsia" w:ascii="Times New Roman" w:hAnsi="Times New Roman"/>
                <w:b w:val="0"/>
                <w:color w:val="auto"/>
                <w:sz w:val="26"/>
                <w:szCs w:val="26"/>
                <w:highlight w:val="none"/>
              </w:rPr>
              <w:t>，</w:t>
            </w:r>
            <w:r>
              <w:rPr>
                <w:rFonts w:hint="eastAsia"/>
                <w:b w:val="0"/>
                <w:color w:val="auto"/>
                <w:sz w:val="26"/>
                <w:szCs w:val="26"/>
                <w:highlight w:val="none"/>
                <w:lang w:val="en-US" w:eastAsia="zh-CN"/>
              </w:rPr>
              <w:t>本</w:t>
            </w:r>
            <w:r>
              <w:rPr>
                <w:rFonts w:hint="eastAsia" w:ascii="Times New Roman" w:hAnsi="Times New Roman"/>
                <w:b w:val="0"/>
                <w:color w:val="auto"/>
                <w:sz w:val="26"/>
                <w:szCs w:val="26"/>
                <w:highlight w:val="none"/>
              </w:rPr>
              <w:t>项目开采量为</w:t>
            </w:r>
            <w:r>
              <w:rPr>
                <w:rFonts w:hint="eastAsia"/>
                <w:b w:val="0"/>
                <w:color w:val="auto"/>
                <w:sz w:val="26"/>
                <w:szCs w:val="26"/>
                <w:highlight w:val="none"/>
                <w:lang w:val="en-US" w:eastAsia="zh-CN"/>
              </w:rPr>
              <w:t>3</w:t>
            </w:r>
            <w:r>
              <w:rPr>
                <w:rFonts w:hint="eastAsia" w:ascii="Times New Roman" w:hAnsi="Times New Roman"/>
                <w:b w:val="0"/>
                <w:color w:val="auto"/>
                <w:sz w:val="26"/>
                <w:szCs w:val="26"/>
                <w:highlight w:val="none"/>
              </w:rPr>
              <w:t>0万吨/年，合约</w:t>
            </w:r>
            <w:r>
              <w:rPr>
                <w:rFonts w:hint="eastAsia"/>
                <w:b w:val="0"/>
                <w:color w:val="auto"/>
                <w:sz w:val="26"/>
                <w:szCs w:val="26"/>
                <w:highlight w:val="none"/>
                <w:lang w:val="en-US" w:eastAsia="zh-CN"/>
              </w:rPr>
              <w:t>11.03</w:t>
            </w:r>
            <w:r>
              <w:rPr>
                <w:rFonts w:hint="eastAsia" w:ascii="Times New Roman" w:hAnsi="Times New Roman"/>
                <w:b w:val="0"/>
                <w:color w:val="auto"/>
                <w:sz w:val="26"/>
                <w:szCs w:val="26"/>
                <w:highlight w:val="none"/>
              </w:rPr>
              <w:t>万</w:t>
            </w:r>
            <w:r>
              <w:rPr>
                <w:rFonts w:hint="eastAsia"/>
                <w:b w:val="0"/>
                <w:color w:val="auto"/>
                <w:sz w:val="26"/>
                <w:szCs w:val="26"/>
                <w:highlight w:val="none"/>
                <w:lang w:val="en-US" w:eastAsia="zh-CN"/>
              </w:rPr>
              <w:t>m</w:t>
            </w:r>
            <w:r>
              <w:rPr>
                <w:rFonts w:hint="eastAsia"/>
                <w:b w:val="0"/>
                <w:color w:val="auto"/>
                <w:sz w:val="26"/>
                <w:szCs w:val="26"/>
                <w:highlight w:val="none"/>
                <w:vertAlign w:val="superscript"/>
                <w:lang w:val="en-US" w:eastAsia="zh-CN"/>
              </w:rPr>
              <w:t>3</w:t>
            </w:r>
            <w:r>
              <w:rPr>
                <w:rFonts w:hint="eastAsia" w:ascii="Times New Roman" w:hAnsi="Times New Roman"/>
                <w:b w:val="0"/>
                <w:color w:val="auto"/>
                <w:sz w:val="26"/>
                <w:szCs w:val="26"/>
                <w:highlight w:val="none"/>
              </w:rPr>
              <w:t>，项目区域不属于基本草原、沙化土地封禁保护区</w:t>
            </w:r>
            <w:r>
              <w:rPr>
                <w:rFonts w:hint="eastAsia" w:ascii="Times New Roman" w:hAnsi="Times New Roman"/>
                <w:b w:val="0"/>
                <w:color w:val="auto"/>
                <w:sz w:val="26"/>
                <w:szCs w:val="26"/>
                <w:highlight w:val="none"/>
                <w:lang w:eastAsia="zh-CN"/>
              </w:rPr>
              <w:t>，</w:t>
            </w:r>
            <w:r>
              <w:rPr>
                <w:rFonts w:hint="eastAsia" w:ascii="Times New Roman" w:hAnsi="Times New Roman"/>
                <w:b w:val="0"/>
                <w:color w:val="auto"/>
                <w:sz w:val="26"/>
                <w:szCs w:val="26"/>
                <w:highlight w:val="none"/>
              </w:rPr>
              <w:t>周边水体不涉及到重要水生生物的自然产卵场及索饵场、越冬场和洄游通道等环境敏感区。</w:t>
            </w:r>
            <w:r>
              <w:rPr>
                <w:rFonts w:hint="eastAsia"/>
                <w:b w:val="0"/>
                <w:color w:val="auto"/>
                <w:sz w:val="26"/>
                <w:szCs w:val="26"/>
                <w:highlight w:val="none"/>
                <w:lang w:val="en-US" w:eastAsia="zh-CN"/>
              </w:rPr>
              <w:t>故</w:t>
            </w:r>
            <w:r>
              <w:rPr>
                <w:rFonts w:hint="eastAsia" w:ascii="Times New Roman" w:hAnsi="Times New Roman"/>
                <w:b w:val="0"/>
                <w:color w:val="auto"/>
                <w:sz w:val="26"/>
                <w:szCs w:val="26"/>
                <w:highlight w:val="none"/>
              </w:rPr>
              <w:t>该项目只需编制环境影响报告表。</w:t>
            </w:r>
            <w:r>
              <w:rPr>
                <w:rFonts w:hint="eastAsia" w:ascii="Times New Roman" w:hAnsi="Times New Roman"/>
                <w:bCs/>
                <w:color w:val="auto"/>
                <w:highlight w:val="none"/>
              </w:rPr>
              <w:t>因此，</w:t>
            </w:r>
            <w:bookmarkEnd w:id="2"/>
            <w:r>
              <w:rPr>
                <w:rFonts w:hint="eastAsia" w:ascii="Times New Roman" w:hAnsi="Times New Roman"/>
                <w:color w:val="auto"/>
                <w:highlight w:val="none"/>
              </w:rPr>
              <w:t>昆明华地锦辰旅游资源开发有限公司委托“云南莱恩环保技术工程有限公司”（以下简称“我单位”）对本项目进行环境影响评价工作。接受委托后，我单位技术人员进行了现场踏勘并收集有关资料，依据相关的法律法规、技术导则等编制《昆明华地锦辰旅游资源开发有限公司东川区排子田普通建筑材料用石灰岩矿环境影响评价报告表》供建设单位上报审批。</w:t>
            </w:r>
          </w:p>
          <w:p w14:paraId="65CF15AA">
            <w:pPr>
              <w:tabs>
                <w:tab w:val="left" w:pos="2395"/>
              </w:tabs>
              <w:spacing w:line="360" w:lineRule="auto"/>
              <w:ind w:left="0" w:leftChars="0" w:right="130" w:rightChars="50" w:firstLine="0" w:firstLineChars="0"/>
              <w:rPr>
                <w:rFonts w:ascii="Times New Roman" w:hAnsi="Times New Roman"/>
                <w:b/>
                <w:bCs/>
                <w:color w:val="auto"/>
                <w:sz w:val="28"/>
                <w:szCs w:val="28"/>
                <w:highlight w:val="none"/>
              </w:rPr>
            </w:pPr>
            <w:r>
              <w:rPr>
                <w:rFonts w:ascii="Times New Roman" w:hAnsi="Times New Roman"/>
                <w:b/>
                <w:bCs/>
                <w:color w:val="auto"/>
                <w:sz w:val="28"/>
                <w:szCs w:val="28"/>
                <w:highlight w:val="none"/>
              </w:rPr>
              <w:t>2、建设项目基本情况</w:t>
            </w:r>
          </w:p>
          <w:p w14:paraId="2BAF6516">
            <w:pPr>
              <w:tabs>
                <w:tab w:val="left" w:pos="2395"/>
              </w:tabs>
              <w:ind w:left="130" w:leftChars="50" w:right="130" w:rightChars="50" w:firstLine="520"/>
              <w:rPr>
                <w:rFonts w:hint="eastAsia" w:ascii="Times New Roman" w:hAnsi="Times New Roman"/>
                <w:color w:val="auto"/>
                <w:highlight w:val="none"/>
              </w:rPr>
            </w:pPr>
            <w:r>
              <w:rPr>
                <w:rFonts w:ascii="Times New Roman" w:hAnsi="Times New Roman"/>
                <w:color w:val="auto"/>
                <w:highlight w:val="none"/>
              </w:rPr>
              <w:t>项目名称：</w:t>
            </w:r>
            <w:r>
              <w:rPr>
                <w:rFonts w:hint="eastAsia" w:ascii="Times New Roman" w:hAnsi="Times New Roman"/>
                <w:color w:val="auto"/>
                <w:highlight w:val="none"/>
              </w:rPr>
              <w:t>昆明华地锦辰旅游资源开发有限公司东川区排子田普通建筑材料用石灰岩矿；</w:t>
            </w:r>
          </w:p>
          <w:p w14:paraId="7D4C0708">
            <w:pPr>
              <w:tabs>
                <w:tab w:val="left" w:pos="2395"/>
              </w:tabs>
              <w:ind w:left="130" w:leftChars="50" w:right="130" w:rightChars="50" w:firstLine="520"/>
              <w:rPr>
                <w:rFonts w:ascii="Times New Roman" w:hAnsi="Times New Roman"/>
                <w:color w:val="auto"/>
                <w:highlight w:val="none"/>
              </w:rPr>
            </w:pPr>
            <w:r>
              <w:rPr>
                <w:rFonts w:ascii="Times New Roman" w:hAnsi="Times New Roman"/>
                <w:color w:val="auto"/>
                <w:highlight w:val="none"/>
              </w:rPr>
              <w:t>建设性质：新建；</w:t>
            </w:r>
          </w:p>
          <w:p w14:paraId="3CF99593">
            <w:pPr>
              <w:tabs>
                <w:tab w:val="left" w:pos="2395"/>
              </w:tabs>
              <w:ind w:left="130" w:leftChars="50" w:right="130" w:rightChars="50" w:firstLine="520"/>
              <w:rPr>
                <w:rFonts w:ascii="Times New Roman" w:hAnsi="Times New Roman"/>
                <w:color w:val="auto"/>
                <w:highlight w:val="none"/>
              </w:rPr>
            </w:pPr>
            <w:r>
              <w:rPr>
                <w:rFonts w:ascii="Times New Roman" w:hAnsi="Times New Roman"/>
                <w:color w:val="auto"/>
                <w:highlight w:val="none"/>
              </w:rPr>
              <w:t>建设单位：</w:t>
            </w:r>
            <w:r>
              <w:rPr>
                <w:rFonts w:hint="eastAsia" w:ascii="Times New Roman" w:hAnsi="Times New Roman"/>
                <w:color w:val="auto"/>
                <w:highlight w:val="none"/>
              </w:rPr>
              <w:t>昆明华地锦辰旅游资源开发有限公司</w:t>
            </w:r>
            <w:r>
              <w:rPr>
                <w:rFonts w:ascii="Times New Roman" w:hAnsi="Times New Roman"/>
                <w:color w:val="auto"/>
                <w:highlight w:val="none"/>
              </w:rPr>
              <w:t>；</w:t>
            </w:r>
          </w:p>
          <w:p w14:paraId="705477C9">
            <w:pPr>
              <w:tabs>
                <w:tab w:val="left" w:pos="2395"/>
              </w:tabs>
              <w:ind w:left="130" w:leftChars="50" w:right="130" w:rightChars="50" w:firstLine="520"/>
              <w:rPr>
                <w:rFonts w:ascii="Times New Roman" w:hAnsi="Times New Roman"/>
                <w:color w:val="auto"/>
                <w:highlight w:val="none"/>
              </w:rPr>
            </w:pPr>
            <w:r>
              <w:rPr>
                <w:rFonts w:ascii="Times New Roman" w:hAnsi="Times New Roman"/>
                <w:color w:val="auto"/>
                <w:highlight w:val="none"/>
              </w:rPr>
              <w:t>建设地点：</w:t>
            </w:r>
            <w:r>
              <w:rPr>
                <w:rFonts w:hint="eastAsia" w:ascii="Times New Roman" w:hAnsi="Times New Roman"/>
                <w:color w:val="auto"/>
                <w:highlight w:val="none"/>
              </w:rPr>
              <w:t>东川区拖布卡镇大荒地村排子田小组</w:t>
            </w:r>
            <w:r>
              <w:rPr>
                <w:rFonts w:ascii="Times New Roman" w:hAnsi="Times New Roman"/>
                <w:color w:val="auto"/>
                <w:highlight w:val="none"/>
              </w:rPr>
              <w:t>；</w:t>
            </w:r>
          </w:p>
          <w:p w14:paraId="6323A0DB">
            <w:pPr>
              <w:tabs>
                <w:tab w:val="left" w:pos="2395"/>
              </w:tabs>
              <w:ind w:left="130" w:leftChars="50" w:right="130" w:rightChars="50" w:firstLine="520"/>
              <w:rPr>
                <w:rFonts w:hint="default" w:ascii="Times New Roman" w:hAnsi="Times New Roman" w:eastAsia="宋体"/>
                <w:color w:val="auto"/>
                <w:highlight w:val="none"/>
                <w:lang w:val="en-US" w:eastAsia="zh-CN"/>
              </w:rPr>
            </w:pPr>
            <w:r>
              <w:rPr>
                <w:rFonts w:hint="eastAsia"/>
                <w:color w:val="auto"/>
                <w:highlight w:val="none"/>
                <w:lang w:val="en-US" w:eastAsia="zh-CN"/>
              </w:rPr>
              <w:t>建设内容及规模：</w:t>
            </w:r>
            <w:r>
              <w:rPr>
                <w:rFonts w:hint="eastAsia" w:ascii="Times New Roman" w:hAnsi="Times New Roman"/>
                <w:color w:val="auto"/>
                <w:highlight w:val="none"/>
              </w:rPr>
              <w:t>建筑材料用石灰岩矿</w:t>
            </w:r>
            <w:r>
              <w:rPr>
                <w:rFonts w:hint="eastAsia"/>
                <w:color w:val="auto"/>
                <w:highlight w:val="none"/>
                <w:lang w:eastAsia="zh-CN"/>
              </w:rPr>
              <w:t>，</w:t>
            </w:r>
            <w:r>
              <w:rPr>
                <w:rFonts w:hint="eastAsia"/>
                <w:color w:val="auto"/>
                <w:highlight w:val="none"/>
                <w:lang w:val="en-US" w:eastAsia="zh-CN"/>
              </w:rPr>
              <w:t>生产规模30万t/a；</w:t>
            </w:r>
          </w:p>
          <w:p w14:paraId="3D43B8C0">
            <w:pPr>
              <w:tabs>
                <w:tab w:val="left" w:pos="2395"/>
              </w:tabs>
              <w:ind w:left="130" w:leftChars="50" w:right="130" w:rightChars="50" w:firstLine="520"/>
              <w:rPr>
                <w:rFonts w:hint="eastAsia"/>
                <w:b w:val="0"/>
                <w:bCs w:val="0"/>
                <w:color w:val="auto"/>
                <w:highlight w:val="none"/>
                <w:lang w:val="en-US" w:eastAsia="zh-CN"/>
              </w:rPr>
            </w:pPr>
            <w:r>
              <w:rPr>
                <w:rFonts w:hint="eastAsia"/>
                <w:b w:val="0"/>
                <w:bCs w:val="0"/>
                <w:color w:val="auto"/>
                <w:highlight w:val="none"/>
                <w:lang w:val="en-US" w:eastAsia="zh-CN"/>
              </w:rPr>
              <w:t>设计采出矿石量：628.86万t（231.20万m³）；</w:t>
            </w:r>
          </w:p>
          <w:p w14:paraId="5F224BC2">
            <w:pPr>
              <w:tabs>
                <w:tab w:val="left" w:pos="2395"/>
              </w:tabs>
              <w:ind w:left="130" w:leftChars="50" w:right="130" w:rightChars="50" w:firstLine="520"/>
              <w:rPr>
                <w:rFonts w:hint="default" w:ascii="Times New Roman" w:hAnsi="Times New Roman" w:eastAsia="宋体"/>
                <w:color w:val="auto"/>
                <w:highlight w:val="none"/>
                <w:lang w:val="en-US" w:eastAsia="zh-CN"/>
              </w:rPr>
            </w:pPr>
            <w:r>
              <w:rPr>
                <w:rFonts w:hint="eastAsia"/>
                <w:color w:val="auto"/>
                <w:highlight w:val="none"/>
                <w:lang w:val="en-US" w:eastAsia="zh-CN"/>
              </w:rPr>
              <w:t>服务年限：20.96年</w:t>
            </w:r>
          </w:p>
          <w:p w14:paraId="45B9C798">
            <w:pPr>
              <w:tabs>
                <w:tab w:val="left" w:pos="2395"/>
              </w:tabs>
              <w:ind w:left="130" w:leftChars="50" w:right="130" w:rightChars="50" w:firstLine="520"/>
              <w:rPr>
                <w:rFonts w:ascii="Times New Roman" w:hAnsi="Times New Roman"/>
                <w:color w:val="auto"/>
                <w:highlight w:val="none"/>
              </w:rPr>
            </w:pPr>
            <w:r>
              <w:rPr>
                <w:rFonts w:ascii="Times New Roman" w:hAnsi="Times New Roman"/>
                <w:color w:val="auto"/>
                <w:highlight w:val="none"/>
              </w:rPr>
              <w:t>项目投资：项目</w:t>
            </w:r>
            <w:r>
              <w:rPr>
                <w:rFonts w:hint="eastAsia" w:ascii="Times New Roman" w:hAnsi="Times New Roman"/>
                <w:color w:val="auto"/>
                <w:highlight w:val="none"/>
              </w:rPr>
              <w:t>总投资</w:t>
            </w:r>
            <w:r>
              <w:rPr>
                <w:rFonts w:hint="eastAsia"/>
                <w:color w:val="auto"/>
                <w:highlight w:val="none"/>
                <w:lang w:val="en-US" w:eastAsia="zh-CN"/>
              </w:rPr>
              <w:t>1191.49</w:t>
            </w:r>
            <w:r>
              <w:rPr>
                <w:rFonts w:hint="eastAsia" w:ascii="Times New Roman" w:hAnsi="Times New Roman"/>
                <w:color w:val="auto"/>
                <w:highlight w:val="none"/>
              </w:rPr>
              <w:t>万元</w:t>
            </w:r>
          </w:p>
          <w:p w14:paraId="3698C7B7">
            <w:pPr>
              <w:tabs>
                <w:tab w:val="left" w:pos="2395"/>
              </w:tabs>
              <w:ind w:left="130" w:leftChars="50" w:right="130" w:rightChars="50" w:firstLine="522"/>
              <w:rPr>
                <w:rFonts w:hint="eastAsia" w:ascii="Times New Roman" w:hAnsi="Times New Roman"/>
                <w:color w:val="auto"/>
                <w:highlight w:val="none"/>
              </w:rPr>
            </w:pPr>
            <w:r>
              <w:rPr>
                <w:rFonts w:hint="eastAsia" w:ascii="Times New Roman" w:hAnsi="Times New Roman"/>
                <w:b/>
                <w:bCs/>
                <w:color w:val="auto"/>
                <w:highlight w:val="none"/>
              </w:rPr>
              <w:t>2.1评价</w:t>
            </w:r>
            <w:r>
              <w:rPr>
                <w:rFonts w:hint="eastAsia"/>
                <w:b/>
                <w:bCs/>
                <w:color w:val="auto"/>
                <w:highlight w:val="none"/>
                <w:lang w:val="en-US" w:eastAsia="zh-CN"/>
              </w:rPr>
              <w:t>内容及规模</w:t>
            </w:r>
            <w:r>
              <w:rPr>
                <w:rFonts w:hint="eastAsia" w:ascii="Times New Roman" w:hAnsi="Times New Roman"/>
                <w:b/>
                <w:bCs/>
                <w:color w:val="auto"/>
                <w:highlight w:val="none"/>
              </w:rPr>
              <w:t>：</w:t>
            </w:r>
          </w:p>
          <w:p w14:paraId="6558462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22"/>
              <w:textAlignment w:val="auto"/>
              <w:rPr>
                <w:rFonts w:hint="eastAsia" w:ascii="Times New Roman" w:hAnsi="Times New Roman"/>
                <w:color w:val="auto"/>
                <w:highlight w:val="none"/>
              </w:rPr>
            </w:pPr>
            <w:r>
              <w:rPr>
                <w:rFonts w:hint="eastAsia"/>
                <w:color w:val="auto"/>
                <w:highlight w:val="none"/>
                <w:lang w:val="en-US" w:eastAsia="zh-CN"/>
              </w:rPr>
              <w:t>根据东自然资请[2020] 101号文及矿业权规划审查意见表（见附件），可知</w:t>
            </w:r>
            <w:r>
              <w:rPr>
                <w:rFonts w:hint="eastAsia" w:ascii="Times New Roman" w:hAnsi="Times New Roman"/>
                <w:color w:val="auto"/>
                <w:highlight w:val="none"/>
              </w:rPr>
              <w:t>本项目</w:t>
            </w:r>
            <w:r>
              <w:rPr>
                <w:rFonts w:hint="eastAsia"/>
                <w:color w:val="auto"/>
                <w:highlight w:val="none"/>
                <w:lang w:val="en-US" w:eastAsia="zh-CN"/>
              </w:rPr>
              <w:t>由8个拐点</w:t>
            </w:r>
            <w:r>
              <w:rPr>
                <w:rFonts w:hint="eastAsia" w:ascii="Times New Roman" w:hAnsi="Times New Roman"/>
                <w:color w:val="auto"/>
                <w:highlight w:val="none"/>
              </w:rPr>
              <w:t>划定</w:t>
            </w:r>
            <w:r>
              <w:rPr>
                <w:rFonts w:hint="eastAsia"/>
                <w:color w:val="auto"/>
                <w:highlight w:val="none"/>
                <w:lang w:val="en-US" w:eastAsia="zh-CN"/>
              </w:rPr>
              <w:t>矿区，矿</w:t>
            </w:r>
            <w:r>
              <w:rPr>
                <w:rFonts w:hint="eastAsia" w:ascii="Times New Roman" w:hAnsi="Times New Roman"/>
                <w:color w:val="auto"/>
                <w:highlight w:val="none"/>
              </w:rPr>
              <w:t>区面积为0.</w:t>
            </w:r>
            <w:r>
              <w:rPr>
                <w:rFonts w:hint="eastAsia"/>
                <w:color w:val="auto"/>
                <w:highlight w:val="none"/>
                <w:lang w:val="en-US" w:eastAsia="zh-CN"/>
              </w:rPr>
              <w:t>1365</w:t>
            </w:r>
            <w:r>
              <w:rPr>
                <w:rFonts w:hint="eastAsia" w:ascii="Times New Roman" w:hAnsi="Times New Roman"/>
                <w:color w:val="auto"/>
                <w:highlight w:val="none"/>
              </w:rPr>
              <w:t>km</w:t>
            </w:r>
            <w:r>
              <w:rPr>
                <w:rFonts w:hint="eastAsia"/>
                <w:color w:val="auto"/>
                <w:highlight w:val="none"/>
                <w:vertAlign w:val="superscript"/>
                <w:lang w:val="en-US" w:eastAsia="zh-CN"/>
              </w:rPr>
              <w:t>2</w:t>
            </w:r>
            <w:r>
              <w:rPr>
                <w:rFonts w:hint="eastAsia"/>
                <w:color w:val="auto"/>
                <w:highlight w:val="none"/>
                <w:lang w:eastAsia="zh-CN"/>
              </w:rPr>
              <w:t>，</w:t>
            </w:r>
            <w:r>
              <w:rPr>
                <w:rFonts w:hint="eastAsia" w:ascii="Times New Roman" w:hAnsi="Times New Roman"/>
                <w:b w:val="0"/>
                <w:color w:val="auto"/>
                <w:highlight w:val="none"/>
              </w:rPr>
              <w:t>开采标高</w:t>
            </w:r>
            <w:r>
              <w:rPr>
                <w:rFonts w:hint="eastAsia"/>
                <w:b w:val="0"/>
                <w:color w:val="auto"/>
                <w:highlight w:val="none"/>
                <w:lang w:val="en-US" w:eastAsia="zh-CN"/>
              </w:rPr>
              <w:t>1200</w:t>
            </w:r>
            <w:r>
              <w:rPr>
                <w:rFonts w:hint="eastAsia" w:ascii="Times New Roman" w:hAnsi="Times New Roman"/>
                <w:b w:val="0"/>
                <w:color w:val="auto"/>
                <w:highlight w:val="none"/>
              </w:rPr>
              <w:t>m-1</w:t>
            </w:r>
            <w:r>
              <w:rPr>
                <w:rFonts w:hint="eastAsia"/>
                <w:b w:val="0"/>
                <w:color w:val="auto"/>
                <w:highlight w:val="none"/>
                <w:lang w:val="en-US" w:eastAsia="zh-CN"/>
              </w:rPr>
              <w:t>030</w:t>
            </w:r>
            <w:r>
              <w:rPr>
                <w:rFonts w:hint="eastAsia" w:ascii="Times New Roman" w:hAnsi="Times New Roman"/>
                <w:b w:val="0"/>
                <w:color w:val="auto"/>
                <w:highlight w:val="none"/>
              </w:rPr>
              <w:t>m，</w:t>
            </w:r>
            <w:r>
              <w:rPr>
                <w:rFonts w:hint="eastAsia" w:ascii="Times New Roman" w:hAnsi="Times New Roman"/>
                <w:color w:val="auto"/>
                <w:highlight w:val="none"/>
              </w:rPr>
              <w:t>矿山设计采矿规模为年采灰岩矿</w:t>
            </w:r>
            <w:r>
              <w:rPr>
                <w:rFonts w:hint="eastAsia"/>
                <w:color w:val="auto"/>
                <w:highlight w:val="none"/>
                <w:lang w:val="en-US" w:eastAsia="zh-CN"/>
              </w:rPr>
              <w:t>30</w:t>
            </w:r>
            <w:r>
              <w:rPr>
                <w:rFonts w:hint="eastAsia" w:ascii="Times New Roman" w:hAnsi="Times New Roman"/>
                <w:color w:val="auto"/>
                <w:highlight w:val="none"/>
              </w:rPr>
              <w:t>万吨。</w:t>
            </w:r>
            <w:r>
              <w:rPr>
                <w:rFonts w:hint="eastAsia"/>
                <w:color w:val="auto"/>
                <w:highlight w:val="none"/>
                <w:lang w:val="en-US" w:eastAsia="zh-CN"/>
              </w:rPr>
              <w:t>根据《云南省昆明市东川区排子田普通建筑材料用石灰岩矿勘查报告》</w:t>
            </w:r>
            <w:r>
              <w:rPr>
                <w:rFonts w:hint="eastAsia" w:ascii="Times New Roman" w:hAnsi="Times New Roman"/>
                <w:b w:val="0"/>
                <w:bCs w:val="0"/>
                <w:color w:val="auto"/>
                <w:highlight w:val="none"/>
                <w:lang w:bidi="en-US"/>
              </w:rPr>
              <w:t>截止2020年9月30日，经估算，本矿区内的资源量828.39万m</w:t>
            </w:r>
            <w:r>
              <w:rPr>
                <w:rFonts w:hint="eastAsia" w:ascii="Times New Roman" w:hAnsi="Times New Roman"/>
                <w:b w:val="0"/>
                <w:bCs w:val="0"/>
                <w:color w:val="auto"/>
                <w:highlight w:val="none"/>
                <w:vertAlign w:val="superscript"/>
                <w:lang w:bidi="en-US"/>
              </w:rPr>
              <w:t>3</w:t>
            </w:r>
            <w:r>
              <w:rPr>
                <w:rFonts w:hint="eastAsia" w:ascii="Times New Roman" w:hAnsi="Times New Roman"/>
                <w:b w:val="0"/>
                <w:bCs w:val="0"/>
                <w:color w:val="auto"/>
                <w:highlight w:val="none"/>
                <w:lang w:bidi="en-US"/>
              </w:rPr>
              <w:t>（2253.22万t），其中推断的可采资源量243.37万m</w:t>
            </w:r>
            <w:r>
              <w:rPr>
                <w:rFonts w:hint="eastAsia" w:ascii="Times New Roman" w:hAnsi="Times New Roman"/>
                <w:b w:val="0"/>
                <w:bCs w:val="0"/>
                <w:color w:val="auto"/>
                <w:highlight w:val="none"/>
                <w:vertAlign w:val="superscript"/>
                <w:lang w:bidi="en-US"/>
              </w:rPr>
              <w:t>3</w:t>
            </w:r>
            <w:r>
              <w:rPr>
                <w:rFonts w:hint="eastAsia" w:ascii="Times New Roman" w:hAnsi="Times New Roman"/>
                <w:b w:val="0"/>
                <w:bCs w:val="0"/>
                <w:color w:val="auto"/>
                <w:highlight w:val="none"/>
                <w:lang w:bidi="en-US"/>
              </w:rPr>
              <w:t>（661.96万t），推断的边坡影响资源量585.02万m</w:t>
            </w:r>
            <w:r>
              <w:rPr>
                <w:rFonts w:hint="eastAsia" w:ascii="Times New Roman" w:hAnsi="Times New Roman"/>
                <w:b w:val="0"/>
                <w:bCs w:val="0"/>
                <w:color w:val="auto"/>
                <w:highlight w:val="none"/>
                <w:vertAlign w:val="superscript"/>
                <w:lang w:bidi="en-US"/>
              </w:rPr>
              <w:t>3</w:t>
            </w:r>
            <w:r>
              <w:rPr>
                <w:rFonts w:hint="eastAsia" w:ascii="Times New Roman" w:hAnsi="Times New Roman"/>
                <w:b w:val="0"/>
                <w:bCs w:val="0"/>
                <w:color w:val="auto"/>
                <w:highlight w:val="none"/>
                <w:lang w:bidi="en-US"/>
              </w:rPr>
              <w:t>（1591.26万t）</w:t>
            </w:r>
            <w:r>
              <w:rPr>
                <w:rFonts w:hint="eastAsia" w:ascii="Times New Roman" w:hAnsi="Times New Roman"/>
                <w:color w:val="auto"/>
                <w:highlight w:val="none"/>
              </w:rPr>
              <w:t>，设计总回采率为95%，服务年限为</w:t>
            </w:r>
            <w:r>
              <w:rPr>
                <w:rFonts w:hint="eastAsia"/>
                <w:color w:val="auto"/>
                <w:highlight w:val="none"/>
                <w:lang w:val="en-US" w:eastAsia="zh-CN"/>
              </w:rPr>
              <w:t>20.96</w:t>
            </w:r>
            <w:r>
              <w:rPr>
                <w:rFonts w:hint="eastAsia" w:ascii="Times New Roman" w:hAnsi="Times New Roman"/>
                <w:color w:val="auto"/>
                <w:highlight w:val="none"/>
              </w:rPr>
              <w:t xml:space="preserve"> 年</w:t>
            </w:r>
            <w:r>
              <w:rPr>
                <w:rFonts w:hint="eastAsia"/>
                <w:color w:val="auto"/>
                <w:highlight w:val="none"/>
                <w:lang w:eastAsia="zh-CN"/>
              </w:rPr>
              <w:t>，由于本项目服务年限较长，因此，本次评价暂不对闭矿期进行评价。</w:t>
            </w:r>
            <w:r>
              <w:rPr>
                <w:rFonts w:hint="eastAsia"/>
                <w:color w:val="auto"/>
                <w:highlight w:val="none"/>
                <w:lang w:val="en-US" w:eastAsia="zh-CN"/>
              </w:rPr>
              <w:t>本项目</w:t>
            </w:r>
            <w:r>
              <w:rPr>
                <w:rFonts w:hint="eastAsia" w:ascii="Times New Roman" w:hAnsi="Times New Roman"/>
                <w:color w:val="auto"/>
                <w:highlight w:val="none"/>
              </w:rPr>
              <w:t>主要现有建设内容包括堆</w:t>
            </w:r>
            <w:r>
              <w:rPr>
                <w:rFonts w:hint="eastAsia"/>
                <w:color w:val="auto"/>
                <w:highlight w:val="none"/>
                <w:lang w:val="en-US" w:eastAsia="zh-CN"/>
              </w:rPr>
              <w:t>料区</w:t>
            </w:r>
            <w:r>
              <w:rPr>
                <w:rFonts w:hint="eastAsia" w:ascii="Times New Roman" w:hAnsi="Times New Roman"/>
                <w:color w:val="auto"/>
                <w:highlight w:val="none"/>
              </w:rPr>
              <w:t>、</w:t>
            </w:r>
            <w:r>
              <w:rPr>
                <w:rFonts w:hint="eastAsia"/>
                <w:color w:val="auto"/>
                <w:highlight w:val="none"/>
                <w:lang w:val="en-US" w:eastAsia="zh-CN"/>
              </w:rPr>
              <w:t>原料破碎</w:t>
            </w:r>
            <w:r>
              <w:rPr>
                <w:rFonts w:hint="eastAsia" w:ascii="Times New Roman" w:hAnsi="Times New Roman"/>
                <w:color w:val="auto"/>
                <w:highlight w:val="none"/>
              </w:rPr>
              <w:t>加工区、生活办公区、场内公路等。现有工程主要内容见表1-</w:t>
            </w:r>
            <w:r>
              <w:rPr>
                <w:rFonts w:hint="eastAsia"/>
                <w:color w:val="auto"/>
                <w:highlight w:val="none"/>
                <w:lang w:val="en-US" w:eastAsia="zh-CN"/>
              </w:rPr>
              <w:t>1</w:t>
            </w:r>
            <w:r>
              <w:rPr>
                <w:rFonts w:hint="eastAsia" w:ascii="Times New Roman" w:hAnsi="Times New Roman"/>
                <w:color w:val="auto"/>
                <w:highlight w:val="none"/>
              </w:rPr>
              <w:t>。</w:t>
            </w:r>
          </w:p>
          <w:p w14:paraId="31628D4E">
            <w:pPr>
              <w:pStyle w:val="15"/>
              <w:keepNext w:val="0"/>
              <w:keepLines w:val="0"/>
              <w:pageBreakBefore w:val="0"/>
              <w:widowControl w:val="0"/>
              <w:kinsoku/>
              <w:wordWrap/>
              <w:overflowPunct/>
              <w:topLinePunct w:val="0"/>
              <w:autoSpaceDE/>
              <w:autoSpaceDN/>
              <w:bidi w:val="0"/>
              <w:adjustRightInd/>
              <w:snapToGrid/>
              <w:spacing w:line="480" w:lineRule="atLeast"/>
              <w:ind w:firstLine="0" w:firstLineChars="0"/>
              <w:jc w:val="center"/>
              <w:textAlignment w:val="auto"/>
              <w:rPr>
                <w:rFonts w:hint="default" w:ascii="Times New Roman" w:hAnsi="Times New Roman" w:eastAsia="宋体"/>
                <w:b/>
                <w:bCs/>
                <w:color w:val="auto"/>
                <w:sz w:val="21"/>
                <w:szCs w:val="21"/>
                <w:highlight w:val="none"/>
                <w:lang w:val="en-US" w:eastAsia="zh-CN" w:bidi="en-US"/>
              </w:rPr>
            </w:pPr>
            <w:bookmarkStart w:id="3" w:name="_Toc448323217"/>
            <w:r>
              <w:rPr>
                <w:rFonts w:hint="eastAsia" w:ascii="Times New Roman" w:hAnsi="Times New Roman"/>
                <w:b/>
                <w:bCs/>
                <w:color w:val="auto"/>
                <w:sz w:val="21"/>
                <w:szCs w:val="21"/>
                <w:highlight w:val="none"/>
                <w:lang w:val="en-US" w:eastAsia="zh-CN" w:bidi="en-US"/>
              </w:rPr>
              <w:t>表1-1 项目工程建设内容一览表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349"/>
              <w:gridCol w:w="1095"/>
              <w:gridCol w:w="3242"/>
              <w:gridCol w:w="1437"/>
            </w:tblGrid>
            <w:tr w14:paraId="4175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Align w:val="center"/>
                </w:tcPr>
                <w:p w14:paraId="480937B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工程内容</w:t>
                  </w:r>
                </w:p>
              </w:tc>
              <w:tc>
                <w:tcPr>
                  <w:tcW w:w="813" w:type="pct"/>
                  <w:vAlign w:val="center"/>
                </w:tcPr>
                <w:p w14:paraId="0B07978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建设内容</w:t>
                  </w:r>
                </w:p>
              </w:tc>
              <w:tc>
                <w:tcPr>
                  <w:tcW w:w="2614" w:type="pct"/>
                  <w:gridSpan w:val="2"/>
                  <w:vAlign w:val="center"/>
                </w:tcPr>
                <w:p w14:paraId="59DAF9D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建设规模</w:t>
                  </w:r>
                </w:p>
              </w:tc>
              <w:tc>
                <w:tcPr>
                  <w:tcW w:w="866" w:type="pct"/>
                  <w:vAlign w:val="center"/>
                </w:tcPr>
                <w:p w14:paraId="774412C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备注</w:t>
                  </w:r>
                </w:p>
              </w:tc>
            </w:tr>
            <w:tr w14:paraId="4361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5" w:type="pct"/>
                  <w:vMerge w:val="restart"/>
                  <w:vAlign w:val="center"/>
                </w:tcPr>
                <w:p w14:paraId="5A435782">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主体工程</w:t>
                  </w:r>
                </w:p>
              </w:tc>
              <w:tc>
                <w:tcPr>
                  <w:tcW w:w="813" w:type="pct"/>
                  <w:vAlign w:val="center"/>
                </w:tcPr>
                <w:p w14:paraId="53493E7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开采区</w:t>
                  </w:r>
                </w:p>
              </w:tc>
              <w:tc>
                <w:tcPr>
                  <w:tcW w:w="2614" w:type="pct"/>
                  <w:gridSpan w:val="2"/>
                  <w:vAlign w:val="center"/>
                </w:tcPr>
                <w:p w14:paraId="16E500A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bidi="en-US"/>
                    </w:rPr>
                  </w:pPr>
                  <w:r>
                    <w:rPr>
                      <w:rFonts w:hint="eastAsia" w:ascii="Times New Roman" w:hAnsi="Times New Roman" w:cs="Times New Roman"/>
                      <w:b w:val="0"/>
                      <w:bCs w:val="0"/>
                      <w:color w:val="auto"/>
                      <w:sz w:val="22"/>
                      <w:szCs w:val="22"/>
                      <w:highlight w:val="none"/>
                      <w:vertAlign w:val="baseline"/>
                      <w:lang w:val="en-US" w:eastAsia="zh-CN" w:bidi="en-US"/>
                    </w:rPr>
                    <w:t>采区</w:t>
                  </w:r>
                  <w:r>
                    <w:rPr>
                      <w:rFonts w:hint="default" w:ascii="Times New Roman" w:hAnsi="Times New Roman" w:eastAsia="宋体" w:cs="Times New Roman"/>
                      <w:b w:val="0"/>
                      <w:bCs w:val="0"/>
                      <w:color w:val="auto"/>
                      <w:sz w:val="22"/>
                      <w:szCs w:val="22"/>
                      <w:highlight w:val="none"/>
                      <w:vertAlign w:val="baseline"/>
                      <w:lang w:val="en-US" w:bidi="en-US"/>
                    </w:rPr>
                    <w:t>面积</w:t>
                  </w:r>
                  <w:r>
                    <w:rPr>
                      <w:rFonts w:hint="eastAsia" w:ascii="Times New Roman" w:hAnsi="Times New Roman" w:cs="Times New Roman"/>
                      <w:b w:val="0"/>
                      <w:bCs w:val="0"/>
                      <w:color w:val="auto"/>
                      <w:sz w:val="22"/>
                      <w:szCs w:val="22"/>
                      <w:highlight w:val="none"/>
                      <w:vertAlign w:val="baseline"/>
                      <w:lang w:val="en-US" w:eastAsia="zh-CN" w:bidi="en-US"/>
                    </w:rPr>
                    <w:t>10412</w:t>
                  </w:r>
                  <w:r>
                    <w:rPr>
                      <w:rFonts w:hint="default" w:ascii="Times New Roman" w:hAnsi="Times New Roman" w:eastAsia="宋体" w:cs="Times New Roman"/>
                      <w:b w:val="0"/>
                      <w:bCs w:val="0"/>
                      <w:color w:val="auto"/>
                      <w:sz w:val="22"/>
                      <w:szCs w:val="22"/>
                      <w:highlight w:val="none"/>
                      <w:vertAlign w:val="baseline"/>
                      <w:lang w:val="en-US" w:bidi="en-US"/>
                    </w:rPr>
                    <w:t>0m</w:t>
                  </w:r>
                  <w:r>
                    <w:rPr>
                      <w:rFonts w:hint="eastAsia" w:ascii="Times New Roman" w:hAnsi="Times New Roman" w:cs="Times New Roman"/>
                      <w:b w:val="0"/>
                      <w:bCs w:val="0"/>
                      <w:color w:val="auto"/>
                      <w:sz w:val="22"/>
                      <w:szCs w:val="22"/>
                      <w:highlight w:val="none"/>
                      <w:vertAlign w:val="superscript"/>
                      <w:lang w:val="en-US" w:eastAsia="zh-CN" w:bidi="en-US"/>
                    </w:rPr>
                    <w:t>2</w:t>
                  </w:r>
                  <w:r>
                    <w:rPr>
                      <w:rFonts w:hint="eastAsia" w:ascii="Times New Roman" w:hAnsi="Times New Roman" w:cs="Times New Roman"/>
                      <w:b w:val="0"/>
                      <w:bCs w:val="0"/>
                      <w:color w:val="auto"/>
                      <w:sz w:val="22"/>
                      <w:szCs w:val="22"/>
                      <w:highlight w:val="none"/>
                      <w:vertAlign w:val="baseline"/>
                      <w:lang w:val="en-US" w:eastAsia="zh-CN" w:bidi="en-US"/>
                    </w:rPr>
                    <w:t>，</w:t>
                  </w:r>
                  <w:r>
                    <w:rPr>
                      <w:rFonts w:hint="default" w:ascii="Times New Roman" w:hAnsi="Times New Roman" w:eastAsia="宋体" w:cs="Times New Roman"/>
                      <w:b w:val="0"/>
                      <w:bCs w:val="0"/>
                      <w:color w:val="auto"/>
                      <w:sz w:val="22"/>
                      <w:szCs w:val="22"/>
                      <w:highlight w:val="none"/>
                      <w:vertAlign w:val="baseline"/>
                      <w:lang w:val="en-US" w:bidi="en-US"/>
                    </w:rPr>
                    <w:t>包括一个开采场地，矿区内灰岩矿体</w:t>
                  </w:r>
                  <w:r>
                    <w:rPr>
                      <w:rFonts w:hint="eastAsia" w:ascii="Times New Roman" w:hAnsi="Times New Roman" w:cs="Times New Roman"/>
                      <w:b w:val="0"/>
                      <w:bCs w:val="0"/>
                      <w:color w:val="auto"/>
                      <w:sz w:val="22"/>
                      <w:szCs w:val="22"/>
                      <w:highlight w:val="none"/>
                      <w:vertAlign w:val="baseline"/>
                      <w:lang w:val="en-US" w:eastAsia="zh-CN" w:bidi="en-US"/>
                    </w:rPr>
                    <w:t>，</w:t>
                  </w:r>
                  <w:r>
                    <w:rPr>
                      <w:rFonts w:hint="default" w:ascii="Times New Roman" w:hAnsi="Times New Roman" w:eastAsia="宋体" w:cs="Times New Roman"/>
                      <w:b w:val="0"/>
                      <w:bCs w:val="0"/>
                      <w:color w:val="auto"/>
                      <w:sz w:val="22"/>
                      <w:szCs w:val="22"/>
                      <w:highlight w:val="none"/>
                      <w:vertAlign w:val="baseline"/>
                      <w:lang w:val="en-US" w:bidi="en-US"/>
                    </w:rPr>
                    <w:t>开采标高为</w:t>
                  </w:r>
                  <w:r>
                    <w:rPr>
                      <w:rFonts w:hint="eastAsia" w:ascii="Times New Roman" w:hAnsi="Times New Roman" w:cs="Times New Roman"/>
                      <w:b w:val="0"/>
                      <w:bCs w:val="0"/>
                      <w:color w:val="auto"/>
                      <w:sz w:val="22"/>
                      <w:szCs w:val="22"/>
                      <w:highlight w:val="none"/>
                      <w:vertAlign w:val="baseline"/>
                      <w:lang w:val="en-US" w:eastAsia="zh-CN" w:bidi="en-US"/>
                    </w:rPr>
                    <w:t>1200</w:t>
                  </w:r>
                  <w:r>
                    <w:rPr>
                      <w:rFonts w:hint="default" w:ascii="Times New Roman" w:hAnsi="Times New Roman" w:eastAsia="宋体" w:cs="Times New Roman"/>
                      <w:b w:val="0"/>
                      <w:bCs w:val="0"/>
                      <w:color w:val="auto"/>
                      <w:sz w:val="22"/>
                      <w:szCs w:val="22"/>
                      <w:highlight w:val="none"/>
                      <w:vertAlign w:val="baseline"/>
                      <w:lang w:val="en-US" w:bidi="en-US"/>
                    </w:rPr>
                    <w:t>m</w:t>
                  </w:r>
                  <w:r>
                    <w:rPr>
                      <w:rFonts w:hint="eastAsia" w:ascii="Times New Roman" w:hAnsi="Times New Roman" w:cs="Times New Roman"/>
                      <w:b w:val="0"/>
                      <w:bCs w:val="0"/>
                      <w:color w:val="auto"/>
                      <w:sz w:val="22"/>
                      <w:szCs w:val="22"/>
                      <w:highlight w:val="none"/>
                      <w:vertAlign w:val="baseline"/>
                      <w:lang w:val="en-US" w:eastAsia="zh-CN" w:bidi="en-US"/>
                    </w:rPr>
                    <w:t>—1030m</w:t>
                  </w:r>
                  <w:r>
                    <w:rPr>
                      <w:rFonts w:hint="default" w:ascii="Times New Roman" w:hAnsi="Times New Roman" w:eastAsia="宋体" w:cs="Times New Roman"/>
                      <w:b w:val="0"/>
                      <w:bCs w:val="0"/>
                      <w:color w:val="auto"/>
                      <w:sz w:val="22"/>
                      <w:szCs w:val="22"/>
                      <w:highlight w:val="none"/>
                      <w:vertAlign w:val="baseline"/>
                      <w:lang w:val="en-US" w:bidi="en-US"/>
                    </w:rPr>
                    <w:t>，年开采矿石</w:t>
                  </w:r>
                  <w:r>
                    <w:rPr>
                      <w:rFonts w:hint="eastAsia" w:ascii="Times New Roman" w:hAnsi="Times New Roman" w:cs="Times New Roman"/>
                      <w:b w:val="0"/>
                      <w:bCs w:val="0"/>
                      <w:color w:val="auto"/>
                      <w:sz w:val="22"/>
                      <w:szCs w:val="22"/>
                      <w:highlight w:val="none"/>
                      <w:vertAlign w:val="baseline"/>
                      <w:lang w:val="en-US" w:eastAsia="zh-CN" w:bidi="en-US"/>
                    </w:rPr>
                    <w:t>30</w:t>
                  </w:r>
                  <w:r>
                    <w:rPr>
                      <w:rFonts w:hint="default" w:ascii="Times New Roman" w:hAnsi="Times New Roman" w:eastAsia="宋体" w:cs="Times New Roman"/>
                      <w:b w:val="0"/>
                      <w:bCs w:val="0"/>
                      <w:color w:val="auto"/>
                      <w:sz w:val="22"/>
                      <w:szCs w:val="22"/>
                      <w:highlight w:val="none"/>
                      <w:vertAlign w:val="baseline"/>
                      <w:lang w:val="en-US" w:bidi="en-US"/>
                    </w:rPr>
                    <w:t>万吨</w:t>
                  </w:r>
                </w:p>
              </w:tc>
              <w:tc>
                <w:tcPr>
                  <w:tcW w:w="866" w:type="pct"/>
                  <w:vAlign w:val="center"/>
                </w:tcPr>
                <w:p w14:paraId="21D55D52">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511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5" w:type="pct"/>
                  <w:vMerge w:val="continue"/>
                  <w:vAlign w:val="center"/>
                </w:tcPr>
                <w:p w14:paraId="4CD6520F">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1349" w:type="dxa"/>
                  <w:vAlign w:val="center"/>
                </w:tcPr>
                <w:p w14:paraId="01C2E8B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1号工业场地</w:t>
                  </w:r>
                </w:p>
              </w:tc>
              <w:tc>
                <w:tcPr>
                  <w:tcW w:w="4337" w:type="dxa"/>
                  <w:gridSpan w:val="2"/>
                  <w:vAlign w:val="center"/>
                </w:tcPr>
                <w:p w14:paraId="310C036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位于矿1拐点西南侧80m，占地面积3643m</w:t>
                  </w:r>
                  <w:r>
                    <w:rPr>
                      <w:rFonts w:hint="eastAsia" w:ascii="Times New Roman" w:hAnsi="Times New Roman" w:cs="Times New Roman"/>
                      <w:b w:val="0"/>
                      <w:bCs w:val="0"/>
                      <w:color w:val="auto"/>
                      <w:sz w:val="22"/>
                      <w:szCs w:val="22"/>
                      <w:highlight w:val="none"/>
                      <w:vertAlign w:val="superscript"/>
                      <w:lang w:val="en-US" w:eastAsia="zh-CN" w:bidi="en-US"/>
                    </w:rPr>
                    <w:t>2</w:t>
                  </w:r>
                  <w:r>
                    <w:rPr>
                      <w:rFonts w:hint="eastAsia" w:ascii="Times New Roman" w:hAnsi="Times New Roman" w:cs="Times New Roman"/>
                      <w:b w:val="0"/>
                      <w:bCs w:val="0"/>
                      <w:color w:val="auto"/>
                      <w:sz w:val="22"/>
                      <w:szCs w:val="22"/>
                      <w:highlight w:val="none"/>
                      <w:vertAlign w:val="baseline"/>
                      <w:lang w:val="en-US" w:eastAsia="zh-CN" w:bidi="en-US"/>
                    </w:rPr>
                    <w:t>，布设有一号破碎设备、一号堆料场、一号成品料仓</w:t>
                  </w:r>
                </w:p>
              </w:tc>
              <w:tc>
                <w:tcPr>
                  <w:tcW w:w="1437" w:type="dxa"/>
                  <w:vAlign w:val="center"/>
                </w:tcPr>
                <w:p w14:paraId="2EEB20C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38F9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05" w:type="pct"/>
                  <w:vMerge w:val="continue"/>
                  <w:vAlign w:val="center"/>
                </w:tcPr>
                <w:p w14:paraId="2847588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1A425D3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2号工业场地</w:t>
                  </w:r>
                </w:p>
              </w:tc>
              <w:tc>
                <w:tcPr>
                  <w:tcW w:w="2614" w:type="pct"/>
                  <w:gridSpan w:val="2"/>
                  <w:vAlign w:val="center"/>
                </w:tcPr>
                <w:p w14:paraId="22F5D79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位于矿1拐点东侧115m，占地面积11691m</w:t>
                  </w:r>
                  <w:r>
                    <w:rPr>
                      <w:rFonts w:hint="eastAsia" w:ascii="Times New Roman" w:hAnsi="Times New Roman" w:cs="Times New Roman"/>
                      <w:b w:val="0"/>
                      <w:bCs w:val="0"/>
                      <w:color w:val="auto"/>
                      <w:sz w:val="22"/>
                      <w:szCs w:val="22"/>
                      <w:highlight w:val="none"/>
                      <w:vertAlign w:val="superscript"/>
                      <w:lang w:val="en-US" w:eastAsia="zh-CN" w:bidi="en-US"/>
                    </w:rPr>
                    <w:t>2</w:t>
                  </w:r>
                  <w:r>
                    <w:rPr>
                      <w:rFonts w:hint="eastAsia" w:ascii="Times New Roman" w:hAnsi="Times New Roman" w:cs="Times New Roman"/>
                      <w:b w:val="0"/>
                      <w:bCs w:val="0"/>
                      <w:color w:val="auto"/>
                      <w:sz w:val="22"/>
                      <w:szCs w:val="22"/>
                      <w:highlight w:val="none"/>
                      <w:vertAlign w:val="baseline"/>
                      <w:lang w:val="en-US" w:eastAsia="zh-CN" w:bidi="en-US"/>
                    </w:rPr>
                    <w:t>，布设有二号破碎设备、二号堆料场、二号成品料仓、办公生活区、修理室、材料房</w:t>
                  </w:r>
                </w:p>
              </w:tc>
              <w:tc>
                <w:tcPr>
                  <w:tcW w:w="866" w:type="pct"/>
                  <w:vAlign w:val="center"/>
                </w:tcPr>
                <w:p w14:paraId="6F1EC9D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368C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restart"/>
                  <w:vAlign w:val="center"/>
                </w:tcPr>
                <w:p w14:paraId="3618059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辅助工程</w:t>
                  </w:r>
                </w:p>
              </w:tc>
              <w:tc>
                <w:tcPr>
                  <w:tcW w:w="813" w:type="pct"/>
                  <w:vAlign w:val="center"/>
                </w:tcPr>
                <w:p w14:paraId="2B8C70B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办公生活区</w:t>
                  </w:r>
                </w:p>
              </w:tc>
              <w:tc>
                <w:tcPr>
                  <w:tcW w:w="2614" w:type="pct"/>
                  <w:gridSpan w:val="2"/>
                  <w:vAlign w:val="center"/>
                </w:tcPr>
                <w:p w14:paraId="37D49D97">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位于2号工业场地内东侧，办公生活建筑占地面积为450m</w:t>
                  </w:r>
                  <w:r>
                    <w:rPr>
                      <w:rFonts w:hint="eastAsia" w:ascii="Times New Roman" w:hAnsi="Times New Roman" w:cs="Times New Roman"/>
                      <w:b w:val="0"/>
                      <w:bCs w:val="0"/>
                      <w:color w:val="auto"/>
                      <w:sz w:val="22"/>
                      <w:szCs w:val="22"/>
                      <w:highlight w:val="none"/>
                      <w:vertAlign w:val="superscript"/>
                      <w:lang w:val="en-US" w:eastAsia="zh-CN" w:bidi="en-US"/>
                    </w:rPr>
                    <w:t>2</w:t>
                  </w:r>
                </w:p>
              </w:tc>
              <w:tc>
                <w:tcPr>
                  <w:tcW w:w="866" w:type="pct"/>
                  <w:vAlign w:val="center"/>
                </w:tcPr>
                <w:p w14:paraId="6C07EE3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21B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773FE99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75764A2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修理室</w:t>
                  </w:r>
                </w:p>
              </w:tc>
              <w:tc>
                <w:tcPr>
                  <w:tcW w:w="2614" w:type="pct"/>
                  <w:gridSpan w:val="2"/>
                  <w:vAlign w:val="center"/>
                </w:tcPr>
                <w:p w14:paraId="496EC35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位于2号工业场地内东南侧，占地面积为282m</w:t>
                  </w:r>
                  <w:r>
                    <w:rPr>
                      <w:rFonts w:hint="eastAsia" w:ascii="Times New Roman" w:hAnsi="Times New Roman" w:cs="Times New Roman"/>
                      <w:b w:val="0"/>
                      <w:bCs w:val="0"/>
                      <w:color w:val="auto"/>
                      <w:sz w:val="22"/>
                      <w:szCs w:val="22"/>
                      <w:highlight w:val="none"/>
                      <w:vertAlign w:val="superscript"/>
                      <w:lang w:val="en-US" w:eastAsia="zh-CN" w:bidi="en-US"/>
                    </w:rPr>
                    <w:t>2</w:t>
                  </w:r>
                </w:p>
              </w:tc>
              <w:tc>
                <w:tcPr>
                  <w:tcW w:w="866" w:type="pct"/>
                  <w:vAlign w:val="center"/>
                </w:tcPr>
                <w:p w14:paraId="6330049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480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14FED04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6D090B5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材料房</w:t>
                  </w:r>
                </w:p>
              </w:tc>
              <w:tc>
                <w:tcPr>
                  <w:tcW w:w="2614" w:type="pct"/>
                  <w:gridSpan w:val="2"/>
                  <w:vAlign w:val="center"/>
                </w:tcPr>
                <w:p w14:paraId="48FBE72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位于2号工业场地内东南侧，占地面积为160m</w:t>
                  </w:r>
                  <w:r>
                    <w:rPr>
                      <w:rFonts w:hint="eastAsia" w:ascii="Times New Roman" w:hAnsi="Times New Roman" w:cs="Times New Roman"/>
                      <w:b w:val="0"/>
                      <w:bCs w:val="0"/>
                      <w:color w:val="auto"/>
                      <w:sz w:val="22"/>
                      <w:szCs w:val="22"/>
                      <w:highlight w:val="none"/>
                      <w:vertAlign w:val="superscript"/>
                      <w:lang w:val="en-US" w:eastAsia="zh-CN" w:bidi="en-US"/>
                    </w:rPr>
                    <w:t>2</w:t>
                  </w:r>
                </w:p>
              </w:tc>
              <w:tc>
                <w:tcPr>
                  <w:tcW w:w="866" w:type="pct"/>
                  <w:vAlign w:val="center"/>
                </w:tcPr>
                <w:p w14:paraId="048D90E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0ED0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33BAEEE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3E73E7E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蓄水池</w:t>
                  </w:r>
                </w:p>
              </w:tc>
              <w:tc>
                <w:tcPr>
                  <w:tcW w:w="2614" w:type="pct"/>
                  <w:gridSpan w:val="2"/>
                  <w:vAlign w:val="center"/>
                </w:tcPr>
                <w:p w14:paraId="22257CC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位于矿区拐点7西南侧45m，占地面积为300m</w:t>
                  </w:r>
                  <w:r>
                    <w:rPr>
                      <w:rFonts w:hint="eastAsia" w:ascii="Times New Roman" w:hAnsi="Times New Roman" w:cs="Times New Roman"/>
                      <w:b w:val="0"/>
                      <w:bCs w:val="0"/>
                      <w:color w:val="auto"/>
                      <w:sz w:val="22"/>
                      <w:szCs w:val="22"/>
                      <w:highlight w:val="none"/>
                      <w:vertAlign w:val="superscript"/>
                      <w:lang w:val="en-US" w:eastAsia="zh-CN" w:bidi="en-US"/>
                    </w:rPr>
                    <w:t>2</w:t>
                  </w:r>
                </w:p>
              </w:tc>
              <w:tc>
                <w:tcPr>
                  <w:tcW w:w="866" w:type="pct"/>
                  <w:vAlign w:val="center"/>
                </w:tcPr>
                <w:p w14:paraId="0DE6F9F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0242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0D95BE37">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6462E21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配电房</w:t>
                  </w:r>
                </w:p>
              </w:tc>
              <w:tc>
                <w:tcPr>
                  <w:tcW w:w="2614" w:type="pct"/>
                  <w:gridSpan w:val="2"/>
                  <w:vAlign w:val="center"/>
                </w:tcPr>
                <w:p w14:paraId="65C88BA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位于1号工业场地内东侧，占地面积为50m</w:t>
                  </w:r>
                  <w:r>
                    <w:rPr>
                      <w:rFonts w:hint="eastAsia" w:ascii="Times New Roman" w:hAnsi="Times New Roman" w:cs="Times New Roman"/>
                      <w:b w:val="0"/>
                      <w:bCs w:val="0"/>
                      <w:color w:val="auto"/>
                      <w:sz w:val="22"/>
                      <w:szCs w:val="22"/>
                      <w:highlight w:val="none"/>
                      <w:vertAlign w:val="superscript"/>
                      <w:lang w:val="en-US" w:eastAsia="zh-CN" w:bidi="en-US"/>
                    </w:rPr>
                    <w:t>2</w:t>
                  </w:r>
                </w:p>
              </w:tc>
              <w:tc>
                <w:tcPr>
                  <w:tcW w:w="866" w:type="pct"/>
                  <w:vAlign w:val="center"/>
                </w:tcPr>
                <w:p w14:paraId="1EEF0DF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210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4A4C156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2F4DE18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矿区道路</w:t>
                  </w:r>
                </w:p>
              </w:tc>
              <w:tc>
                <w:tcPr>
                  <w:tcW w:w="2614" w:type="pct"/>
                  <w:gridSpan w:val="2"/>
                  <w:vAlign w:val="center"/>
                </w:tcPr>
                <w:p w14:paraId="542F87D9">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矿山公路已修建至矿区西北部的1050m标高，矿山需修建1050m至1190m标高的公路。本次新建部分开拓公路，长度2020m</w:t>
                  </w:r>
                </w:p>
              </w:tc>
              <w:tc>
                <w:tcPr>
                  <w:tcW w:w="866" w:type="pct"/>
                  <w:vAlign w:val="center"/>
                </w:tcPr>
                <w:p w14:paraId="7B7CCCE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5ED3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restart"/>
                  <w:vAlign w:val="center"/>
                </w:tcPr>
                <w:p w14:paraId="7E5867A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公用工程</w:t>
                  </w:r>
                </w:p>
              </w:tc>
              <w:tc>
                <w:tcPr>
                  <w:tcW w:w="813" w:type="pct"/>
                  <w:vAlign w:val="center"/>
                </w:tcPr>
                <w:p w14:paraId="17C76F75">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生产供水</w:t>
                  </w:r>
                </w:p>
              </w:tc>
              <w:tc>
                <w:tcPr>
                  <w:tcW w:w="2614" w:type="pct"/>
                  <w:gridSpan w:val="2"/>
                  <w:vAlign w:val="center"/>
                </w:tcPr>
                <w:p w14:paraId="1C80AA5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从项目区西北侧老干沟抽水至本次新建的高位水池，从高位水池引水接入用水工作面使用</w:t>
                  </w:r>
                </w:p>
              </w:tc>
              <w:tc>
                <w:tcPr>
                  <w:tcW w:w="866" w:type="pct"/>
                  <w:vAlign w:val="center"/>
                </w:tcPr>
                <w:p w14:paraId="1F6CE5B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7E08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1D0166F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0A76935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生活用水</w:t>
                  </w:r>
                </w:p>
              </w:tc>
              <w:tc>
                <w:tcPr>
                  <w:tcW w:w="2614" w:type="pct"/>
                  <w:gridSpan w:val="2"/>
                  <w:vAlign w:val="center"/>
                </w:tcPr>
                <w:p w14:paraId="5FCE4F42">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从排子田村接管引入</w:t>
                  </w:r>
                </w:p>
              </w:tc>
              <w:tc>
                <w:tcPr>
                  <w:tcW w:w="866" w:type="pct"/>
                  <w:vAlign w:val="center"/>
                </w:tcPr>
                <w:p w14:paraId="7A921F97">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54CD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5" w:type="pct"/>
                  <w:vMerge w:val="continue"/>
                  <w:vAlign w:val="center"/>
                </w:tcPr>
                <w:p w14:paraId="76041F4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Merge w:val="restart"/>
                  <w:vAlign w:val="center"/>
                </w:tcPr>
                <w:p w14:paraId="07440AF2">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排水</w:t>
                  </w:r>
                </w:p>
              </w:tc>
              <w:tc>
                <w:tcPr>
                  <w:tcW w:w="2614" w:type="pct"/>
                  <w:gridSpan w:val="2"/>
                  <w:vAlign w:val="center"/>
                </w:tcPr>
                <w:p w14:paraId="522B2E9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项目采用雨污分流，</w:t>
                  </w:r>
                  <w:r>
                    <w:rPr>
                      <w:rFonts w:hint="eastAsia" w:ascii="Times New Roman" w:hAnsi="Times New Roman" w:eastAsia="宋体" w:cs="Times New Roman"/>
                      <w:b w:val="0"/>
                      <w:bCs w:val="0"/>
                      <w:color w:val="auto"/>
                      <w:sz w:val="22"/>
                      <w:szCs w:val="22"/>
                      <w:highlight w:val="none"/>
                      <w:vertAlign w:val="baseline"/>
                      <w:lang w:bidi="en-US"/>
                    </w:rPr>
                    <w:t>矿区设置截</w:t>
                  </w:r>
                  <w:r>
                    <w:rPr>
                      <w:rFonts w:hint="eastAsia" w:ascii="Times New Roman" w:hAnsi="Times New Roman" w:cs="Times New Roman"/>
                      <w:b w:val="0"/>
                      <w:bCs w:val="0"/>
                      <w:color w:val="auto"/>
                      <w:sz w:val="22"/>
                      <w:szCs w:val="22"/>
                      <w:highlight w:val="none"/>
                      <w:vertAlign w:val="baseline"/>
                      <w:lang w:val="en-US" w:eastAsia="zh-CN" w:bidi="en-US"/>
                    </w:rPr>
                    <w:t>洪</w:t>
                  </w:r>
                  <w:r>
                    <w:rPr>
                      <w:rFonts w:hint="eastAsia" w:ascii="Times New Roman" w:hAnsi="Times New Roman" w:eastAsia="宋体" w:cs="Times New Roman"/>
                      <w:b w:val="0"/>
                      <w:bCs w:val="0"/>
                      <w:color w:val="auto"/>
                      <w:sz w:val="22"/>
                      <w:szCs w:val="22"/>
                      <w:highlight w:val="none"/>
                      <w:vertAlign w:val="baseline"/>
                      <w:lang w:bidi="en-US"/>
                    </w:rPr>
                    <w:t>沟，</w:t>
                  </w:r>
                  <w:r>
                    <w:rPr>
                      <w:rFonts w:hint="eastAsia" w:ascii="Times New Roman" w:hAnsi="Times New Roman" w:cs="Times New Roman"/>
                      <w:b w:val="0"/>
                      <w:bCs w:val="0"/>
                      <w:color w:val="auto"/>
                      <w:sz w:val="22"/>
                      <w:szCs w:val="22"/>
                      <w:highlight w:val="none"/>
                      <w:vertAlign w:val="baseline"/>
                      <w:lang w:val="en-US" w:eastAsia="zh-CN" w:bidi="en-US"/>
                    </w:rPr>
                    <w:t>约660m，</w:t>
                  </w:r>
                  <w:r>
                    <w:rPr>
                      <w:rFonts w:hint="eastAsia" w:ascii="Times New Roman" w:hAnsi="Times New Roman" w:eastAsia="宋体" w:cs="Times New Roman"/>
                      <w:b w:val="0"/>
                      <w:bCs w:val="0"/>
                      <w:color w:val="auto"/>
                      <w:sz w:val="22"/>
                      <w:szCs w:val="22"/>
                      <w:highlight w:val="none"/>
                      <w:vertAlign w:val="baseline"/>
                      <w:lang w:bidi="en-US"/>
                    </w:rPr>
                    <w:t>截水沟</w:t>
                  </w:r>
                  <w:r>
                    <w:rPr>
                      <w:rFonts w:hint="eastAsia" w:ascii="Times New Roman" w:hAnsi="Times New Roman" w:cs="Times New Roman"/>
                      <w:b w:val="0"/>
                      <w:bCs w:val="0"/>
                      <w:color w:val="auto"/>
                      <w:sz w:val="22"/>
                      <w:szCs w:val="22"/>
                      <w:highlight w:val="none"/>
                      <w:vertAlign w:val="baseline"/>
                      <w:lang w:val="en-US" w:eastAsia="zh-CN" w:bidi="en-US"/>
                    </w:rPr>
                    <w:t>约700m</w:t>
                  </w:r>
                </w:p>
              </w:tc>
              <w:tc>
                <w:tcPr>
                  <w:tcW w:w="866" w:type="pct"/>
                  <w:vMerge w:val="restart"/>
                  <w:vAlign w:val="center"/>
                </w:tcPr>
                <w:p w14:paraId="07032357">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新建</w:t>
                  </w:r>
                </w:p>
              </w:tc>
            </w:tr>
            <w:tr w14:paraId="5D27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5" w:type="pct"/>
                  <w:vMerge w:val="continue"/>
                  <w:vAlign w:val="center"/>
                </w:tcPr>
                <w:p w14:paraId="6A8E39E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813" w:type="pct"/>
                  <w:vMerge w:val="continue"/>
                  <w:vAlign w:val="center"/>
                </w:tcPr>
                <w:p w14:paraId="3B922CD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2614" w:type="pct"/>
                  <w:gridSpan w:val="2"/>
                  <w:vAlign w:val="center"/>
                </w:tcPr>
                <w:p w14:paraId="1A990139">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生活废水：通过化粪池收集处理后，委托周边农户定期清掏做农肥</w:t>
                  </w:r>
                </w:p>
              </w:tc>
              <w:tc>
                <w:tcPr>
                  <w:tcW w:w="866" w:type="pct"/>
                  <w:vMerge w:val="continue"/>
                  <w:vAlign w:val="center"/>
                </w:tcPr>
                <w:p w14:paraId="1869FBE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r>
            <w:tr w14:paraId="055C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5" w:type="pct"/>
                  <w:vMerge w:val="continue"/>
                  <w:vAlign w:val="center"/>
                </w:tcPr>
                <w:p w14:paraId="77905BC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continue"/>
                  <w:vAlign w:val="center"/>
                </w:tcPr>
                <w:p w14:paraId="02FA438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2614" w:type="pct"/>
                  <w:gridSpan w:val="2"/>
                  <w:vAlign w:val="center"/>
                </w:tcPr>
                <w:p w14:paraId="7CADA1F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生产废水：生产时会产生钻孔废水、粉尘抑尘用水等，均全部蒸发，不外排</w:t>
                  </w:r>
                </w:p>
              </w:tc>
              <w:tc>
                <w:tcPr>
                  <w:tcW w:w="866" w:type="pct"/>
                  <w:vMerge w:val="continue"/>
                  <w:vAlign w:val="center"/>
                </w:tcPr>
                <w:p w14:paraId="4AF7A18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r>
            <w:tr w14:paraId="664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19B597B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p>
              </w:tc>
              <w:tc>
                <w:tcPr>
                  <w:tcW w:w="813" w:type="pct"/>
                  <w:vAlign w:val="center"/>
                </w:tcPr>
                <w:p w14:paraId="79AC626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供电</w:t>
                  </w:r>
                </w:p>
              </w:tc>
              <w:tc>
                <w:tcPr>
                  <w:tcW w:w="2614" w:type="pct"/>
                  <w:gridSpan w:val="2"/>
                  <w:vAlign w:val="center"/>
                </w:tcPr>
                <w:p w14:paraId="5578017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矿区内建有配电房，从东川区拖布卡镇引入本项目配电房工矿区用电</w:t>
                  </w:r>
                </w:p>
              </w:tc>
              <w:tc>
                <w:tcPr>
                  <w:tcW w:w="866" w:type="pct"/>
                  <w:vAlign w:val="center"/>
                </w:tcPr>
                <w:p w14:paraId="34B2C55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124A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05" w:type="pct"/>
                  <w:vMerge w:val="restart"/>
                  <w:vAlign w:val="center"/>
                </w:tcPr>
                <w:p w14:paraId="067E3A8F">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环保工程</w:t>
                  </w:r>
                </w:p>
              </w:tc>
              <w:tc>
                <w:tcPr>
                  <w:tcW w:w="813" w:type="pct"/>
                  <w:vMerge w:val="restart"/>
                  <w:vAlign w:val="center"/>
                </w:tcPr>
                <w:p w14:paraId="5D8A6F3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废水</w:t>
                  </w:r>
                </w:p>
              </w:tc>
              <w:tc>
                <w:tcPr>
                  <w:tcW w:w="660" w:type="pct"/>
                  <w:vAlign w:val="center"/>
                </w:tcPr>
                <w:p w14:paraId="09683902">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初期雨水收集池</w:t>
                  </w:r>
                </w:p>
              </w:tc>
              <w:tc>
                <w:tcPr>
                  <w:tcW w:w="1954" w:type="pct"/>
                  <w:vAlign w:val="center"/>
                </w:tcPr>
                <w:p w14:paraId="382B76B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bidi="en-US"/>
                    </w:rPr>
                  </w:pPr>
                  <w:r>
                    <w:rPr>
                      <w:rFonts w:hint="eastAsia" w:ascii="Times New Roman" w:hAnsi="Times New Roman" w:eastAsia="宋体" w:cs="Times New Roman"/>
                      <w:b w:val="0"/>
                      <w:bCs w:val="0"/>
                      <w:color w:val="auto"/>
                      <w:sz w:val="22"/>
                      <w:szCs w:val="22"/>
                      <w:highlight w:val="none"/>
                      <w:vertAlign w:val="baseline"/>
                      <w:lang w:bidi="en-US"/>
                    </w:rPr>
                    <w:t>矿区设置</w:t>
                  </w:r>
                  <w:r>
                    <w:rPr>
                      <w:rFonts w:hint="eastAsia" w:ascii="Times New Roman" w:hAnsi="Times New Roman" w:cs="Times New Roman"/>
                      <w:b w:val="0"/>
                      <w:bCs w:val="0"/>
                      <w:color w:val="auto"/>
                      <w:sz w:val="22"/>
                      <w:szCs w:val="22"/>
                      <w:highlight w:val="none"/>
                      <w:vertAlign w:val="baseline"/>
                      <w:lang w:val="en-US" w:eastAsia="zh-CN" w:bidi="en-US"/>
                    </w:rPr>
                    <w:t>有约700m长的</w:t>
                  </w:r>
                  <w:r>
                    <w:rPr>
                      <w:rFonts w:hint="eastAsia" w:ascii="Times New Roman" w:hAnsi="Times New Roman" w:eastAsia="宋体" w:cs="Times New Roman"/>
                      <w:b w:val="0"/>
                      <w:bCs w:val="0"/>
                      <w:color w:val="auto"/>
                      <w:sz w:val="22"/>
                      <w:szCs w:val="22"/>
                      <w:highlight w:val="none"/>
                      <w:vertAlign w:val="baseline"/>
                      <w:lang w:bidi="en-US"/>
                    </w:rPr>
                    <w:t>截水沟，截水沟</w:t>
                  </w:r>
                  <w:r>
                    <w:rPr>
                      <w:rFonts w:hint="eastAsia" w:ascii="Times New Roman" w:hAnsi="Times New Roman" w:cs="Times New Roman"/>
                      <w:b w:val="0"/>
                      <w:bCs w:val="0"/>
                      <w:color w:val="auto"/>
                      <w:sz w:val="22"/>
                      <w:szCs w:val="22"/>
                      <w:highlight w:val="none"/>
                      <w:vertAlign w:val="baseline"/>
                      <w:lang w:val="en-US" w:eastAsia="zh-CN" w:bidi="en-US"/>
                    </w:rPr>
                    <w:t>尽头设沉淀池，雨水收集于初期雨水收集池处理</w:t>
                  </w:r>
                  <w:r>
                    <w:rPr>
                      <w:rFonts w:hint="eastAsia" w:ascii="Times New Roman" w:hAnsi="Times New Roman" w:cs="Times New Roman"/>
                      <w:b w:val="0"/>
                      <w:bCs w:val="0"/>
                      <w:color w:val="auto"/>
                      <w:sz w:val="22"/>
                      <w:szCs w:val="22"/>
                      <w:highlight w:val="none"/>
                      <w:vertAlign w:val="baseline"/>
                      <w:lang w:eastAsia="zh-CN" w:bidi="en-US"/>
                    </w:rPr>
                    <w:t>，</w:t>
                  </w:r>
                  <w:r>
                    <w:rPr>
                      <w:rFonts w:hint="eastAsia" w:ascii="Times New Roman" w:hAnsi="Times New Roman" w:cs="Times New Roman"/>
                      <w:b w:val="0"/>
                      <w:bCs w:val="0"/>
                      <w:color w:val="auto"/>
                      <w:sz w:val="22"/>
                      <w:szCs w:val="22"/>
                      <w:highlight w:val="none"/>
                      <w:vertAlign w:val="baseline"/>
                      <w:lang w:val="en-US" w:eastAsia="zh-CN" w:bidi="en-US"/>
                    </w:rPr>
                    <w:t>沉淀后回用于厂区的洒水降尘，容积为50m</w:t>
                  </w:r>
                  <w:r>
                    <w:rPr>
                      <w:rFonts w:hint="eastAsia" w:ascii="Times New Roman" w:hAnsi="Times New Roman" w:cs="Times New Roman"/>
                      <w:b w:val="0"/>
                      <w:bCs w:val="0"/>
                      <w:color w:val="auto"/>
                      <w:sz w:val="22"/>
                      <w:szCs w:val="22"/>
                      <w:highlight w:val="none"/>
                      <w:vertAlign w:val="superscript"/>
                      <w:lang w:val="en-US" w:eastAsia="zh-CN" w:bidi="en-US"/>
                    </w:rPr>
                    <w:t>3</w:t>
                  </w:r>
                </w:p>
              </w:tc>
              <w:tc>
                <w:tcPr>
                  <w:tcW w:w="866" w:type="pct"/>
                  <w:vAlign w:val="center"/>
                </w:tcPr>
                <w:p w14:paraId="4207B3F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378E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05" w:type="pct"/>
                  <w:vMerge w:val="continue"/>
                  <w:vAlign w:val="center"/>
                </w:tcPr>
                <w:p w14:paraId="66134823">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813" w:type="pct"/>
                  <w:vMerge w:val="continue"/>
                  <w:vAlign w:val="center"/>
                </w:tcPr>
                <w:p w14:paraId="3332241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660" w:type="pct"/>
                  <w:vAlign w:val="center"/>
                </w:tcPr>
                <w:p w14:paraId="3EE956DF">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隔油池</w:t>
                  </w:r>
                </w:p>
              </w:tc>
              <w:tc>
                <w:tcPr>
                  <w:tcW w:w="1954" w:type="pct"/>
                  <w:vAlign w:val="center"/>
                </w:tcPr>
                <w:p w14:paraId="4F8952E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本项目食堂产生的污废水进入隔油池进行处理，处理后再排入化粪池</w:t>
                  </w:r>
                </w:p>
              </w:tc>
              <w:tc>
                <w:tcPr>
                  <w:tcW w:w="866" w:type="pct"/>
                  <w:vAlign w:val="center"/>
                </w:tcPr>
                <w:p w14:paraId="5F849C4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2F51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5" w:type="pct"/>
                  <w:vMerge w:val="continue"/>
                  <w:vAlign w:val="center"/>
                </w:tcPr>
                <w:p w14:paraId="5BEB649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813" w:type="pct"/>
                  <w:vMerge w:val="continue"/>
                  <w:vAlign w:val="center"/>
                </w:tcPr>
                <w:p w14:paraId="058D7277">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color w:val="auto"/>
                      <w:highlight w:val="none"/>
                    </w:rPr>
                  </w:pPr>
                </w:p>
              </w:tc>
              <w:tc>
                <w:tcPr>
                  <w:tcW w:w="660" w:type="pct"/>
                  <w:vAlign w:val="center"/>
                </w:tcPr>
                <w:p w14:paraId="6E1DBAD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车辆清洗池</w:t>
                  </w:r>
                </w:p>
              </w:tc>
              <w:tc>
                <w:tcPr>
                  <w:tcW w:w="1954" w:type="pct"/>
                  <w:vAlign w:val="center"/>
                </w:tcPr>
                <w:p w14:paraId="3FCFC7E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项目区出口地势地处新建一个2m</w:t>
                  </w:r>
                  <w:r>
                    <w:rPr>
                      <w:rFonts w:hint="eastAsia" w:ascii="Times New Roman" w:hAnsi="Times New Roman" w:cs="Times New Roman"/>
                      <w:b w:val="0"/>
                      <w:bCs w:val="0"/>
                      <w:color w:val="auto"/>
                      <w:sz w:val="22"/>
                      <w:szCs w:val="22"/>
                      <w:highlight w:val="none"/>
                      <w:vertAlign w:val="superscript"/>
                      <w:lang w:val="en-US" w:eastAsia="zh-CN" w:bidi="en-US"/>
                    </w:rPr>
                    <w:t>3</w:t>
                  </w:r>
                  <w:r>
                    <w:rPr>
                      <w:rFonts w:hint="eastAsia" w:ascii="Times New Roman" w:hAnsi="Times New Roman" w:cs="Times New Roman"/>
                      <w:b w:val="0"/>
                      <w:bCs w:val="0"/>
                      <w:color w:val="auto"/>
                      <w:sz w:val="22"/>
                      <w:szCs w:val="22"/>
                      <w:highlight w:val="none"/>
                      <w:vertAlign w:val="baseline"/>
                      <w:lang w:val="en-US" w:eastAsia="zh-CN" w:bidi="en-US"/>
                    </w:rPr>
                    <w:t>的车辆清洗池</w:t>
                  </w:r>
                </w:p>
              </w:tc>
              <w:tc>
                <w:tcPr>
                  <w:tcW w:w="866" w:type="pct"/>
                  <w:vAlign w:val="center"/>
                </w:tcPr>
                <w:p w14:paraId="5D7E406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1B6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pct"/>
                  <w:vMerge w:val="continue"/>
                  <w:vAlign w:val="center"/>
                </w:tcPr>
                <w:p w14:paraId="5FC583E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continue"/>
                  <w:vAlign w:val="center"/>
                </w:tcPr>
                <w:p w14:paraId="0A1828E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660" w:type="pct"/>
                  <w:vAlign w:val="center"/>
                </w:tcPr>
                <w:p w14:paraId="10A0490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化粪池</w:t>
                  </w:r>
                </w:p>
              </w:tc>
              <w:tc>
                <w:tcPr>
                  <w:tcW w:w="1954" w:type="pct"/>
                  <w:vAlign w:val="center"/>
                </w:tcPr>
                <w:p w14:paraId="4D7C427A">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收集、处理生活污水及厕所的污粪水，容积10m</w:t>
                  </w:r>
                  <w:r>
                    <w:rPr>
                      <w:rFonts w:hint="eastAsia" w:ascii="Times New Roman" w:hAnsi="Times New Roman" w:cs="Times New Roman"/>
                      <w:b w:val="0"/>
                      <w:bCs w:val="0"/>
                      <w:color w:val="auto"/>
                      <w:sz w:val="22"/>
                      <w:szCs w:val="22"/>
                      <w:highlight w:val="none"/>
                      <w:vertAlign w:val="superscript"/>
                      <w:lang w:val="en-US" w:eastAsia="zh-CN" w:bidi="en-US"/>
                    </w:rPr>
                    <w:t>3</w:t>
                  </w:r>
                </w:p>
              </w:tc>
              <w:tc>
                <w:tcPr>
                  <w:tcW w:w="866" w:type="pct"/>
                  <w:vAlign w:val="center"/>
                </w:tcPr>
                <w:p w14:paraId="3490674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1972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28DA8FF9">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restart"/>
                  <w:vAlign w:val="center"/>
                </w:tcPr>
                <w:p w14:paraId="23AF25AF">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废气</w:t>
                  </w:r>
                </w:p>
              </w:tc>
              <w:tc>
                <w:tcPr>
                  <w:tcW w:w="660" w:type="pct"/>
                  <w:vAlign w:val="center"/>
                </w:tcPr>
                <w:p w14:paraId="759373C3">
                  <w:pPr>
                    <w:pStyle w:val="11"/>
                    <w:bidi w:val="0"/>
                    <w:ind w:firstLine="0" w:firstLineChars="0"/>
                    <w:jc w:val="center"/>
                    <w:outlineLvl w:val="9"/>
                    <w:rPr>
                      <w:rFonts w:hint="eastAsia" w:ascii="Times New Roman" w:hAnsi="Times New Roman" w:eastAsia="宋体" w:cs="Times New Roman"/>
                      <w:b w:val="0"/>
                      <w:bCs w:val="0"/>
                      <w:color w:val="auto"/>
                      <w:sz w:val="22"/>
                      <w:szCs w:val="22"/>
                      <w:highlight w:val="none"/>
                      <w:vertAlign w:val="baseline"/>
                      <w:lang w:bidi="en-US"/>
                    </w:rPr>
                  </w:pPr>
                  <w:r>
                    <w:rPr>
                      <w:rFonts w:hint="default" w:ascii="Times New Roman" w:hAnsi="Times New Roman" w:eastAsia="宋体" w:cs="Times New Roman"/>
                      <w:color w:val="auto"/>
                      <w:sz w:val="22"/>
                      <w:szCs w:val="22"/>
                      <w:highlight w:val="none"/>
                      <w:lang w:val="en-US" w:eastAsia="zh-CN"/>
                    </w:rPr>
                    <w:t>喷淋设施</w:t>
                  </w:r>
                </w:p>
              </w:tc>
              <w:tc>
                <w:tcPr>
                  <w:tcW w:w="1954" w:type="pct"/>
                  <w:vAlign w:val="center"/>
                </w:tcPr>
                <w:p w14:paraId="7A3FD5D1">
                  <w:pPr>
                    <w:pStyle w:val="11"/>
                    <w:bidi w:val="0"/>
                    <w:ind w:firstLine="0" w:firstLineChars="0"/>
                    <w:jc w:val="center"/>
                    <w:outlineLvl w:val="9"/>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配套设置洒水喷淋设施，对项目开采区、破碎筛分区、成品堆场、运输道路等处进行洒水降尘</w:t>
                  </w:r>
                </w:p>
              </w:tc>
              <w:tc>
                <w:tcPr>
                  <w:tcW w:w="866" w:type="pct"/>
                  <w:vAlign w:val="center"/>
                </w:tcPr>
                <w:p w14:paraId="58ABC7C5">
                  <w:pPr>
                    <w:pStyle w:val="11"/>
                    <w:bidi w:val="0"/>
                    <w:ind w:firstLine="0" w:firstLineChars="0"/>
                    <w:jc w:val="center"/>
                    <w:outlineLvl w:val="9"/>
                    <w:rPr>
                      <w:rFonts w:hint="default" w:ascii="Times New Roman" w:hAnsi="Times New Roman" w:eastAsia="宋体" w:cs="Times New Roman"/>
                      <w:b w:val="0"/>
                      <w:bCs w:val="0"/>
                      <w:color w:val="auto"/>
                      <w:sz w:val="22"/>
                      <w:szCs w:val="22"/>
                      <w:highlight w:val="none"/>
                      <w:vertAlign w:val="baseline"/>
                      <w:lang w:val="en-US"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5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7A331EB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continue"/>
                  <w:vAlign w:val="center"/>
                </w:tcPr>
                <w:p w14:paraId="180F648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660" w:type="pct"/>
                  <w:vAlign w:val="center"/>
                </w:tcPr>
                <w:p w14:paraId="7547BCB3">
                  <w:pPr>
                    <w:pStyle w:val="11"/>
                    <w:bidi w:val="0"/>
                    <w:ind w:firstLine="0" w:firstLineChars="0"/>
                    <w:jc w:val="center"/>
                    <w:outlineLvl w:val="9"/>
                    <w:rPr>
                      <w:rFonts w:hint="eastAsia" w:ascii="Times New Roman" w:hAnsi="Times New Roman" w:eastAsia="宋体" w:cs="Times New Roman"/>
                      <w:b w:val="0"/>
                      <w:bCs w:val="0"/>
                      <w:color w:val="auto"/>
                      <w:sz w:val="22"/>
                      <w:szCs w:val="22"/>
                      <w:highlight w:val="none"/>
                      <w:vertAlign w:val="baseline"/>
                      <w:lang w:bidi="en-US"/>
                    </w:rPr>
                  </w:pPr>
                  <w:r>
                    <w:rPr>
                      <w:rFonts w:hint="default" w:ascii="Times New Roman" w:hAnsi="Times New Roman" w:eastAsia="宋体" w:cs="Times New Roman"/>
                      <w:color w:val="auto"/>
                      <w:sz w:val="22"/>
                      <w:szCs w:val="22"/>
                      <w:highlight w:val="none"/>
                      <w:lang w:val="en-US" w:eastAsia="zh-CN"/>
                    </w:rPr>
                    <w:t>破碎筛分站除尘设施</w:t>
                  </w:r>
                </w:p>
              </w:tc>
              <w:tc>
                <w:tcPr>
                  <w:tcW w:w="1954" w:type="pct"/>
                  <w:vAlign w:val="center"/>
                </w:tcPr>
                <w:p w14:paraId="0DB6A96F">
                  <w:pPr>
                    <w:pStyle w:val="11"/>
                    <w:bidi w:val="0"/>
                    <w:ind w:firstLine="0" w:firstLineChars="0"/>
                    <w:jc w:val="center"/>
                    <w:outlineLvl w:val="9"/>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生产加工区破碎</w:t>
                  </w:r>
                  <w:r>
                    <w:rPr>
                      <w:rFonts w:hint="eastAsia" w:cs="Times New Roman"/>
                      <w:color w:val="auto"/>
                      <w:sz w:val="22"/>
                      <w:szCs w:val="22"/>
                      <w:highlight w:val="none"/>
                      <w:lang w:val="en-US" w:eastAsia="zh-CN"/>
                    </w:rPr>
                    <w:t>、</w:t>
                  </w:r>
                  <w:r>
                    <w:rPr>
                      <w:rFonts w:hint="default" w:ascii="Times New Roman" w:hAnsi="Times New Roman" w:eastAsia="宋体" w:cs="Times New Roman"/>
                      <w:color w:val="auto"/>
                      <w:sz w:val="22"/>
                      <w:szCs w:val="22"/>
                      <w:highlight w:val="none"/>
                      <w:lang w:val="en-US" w:eastAsia="zh-CN"/>
                    </w:rPr>
                    <w:t>筛分站</w:t>
                  </w:r>
                  <w:r>
                    <w:rPr>
                      <w:rFonts w:hint="eastAsia" w:cs="Times New Roman"/>
                      <w:color w:val="auto"/>
                      <w:sz w:val="22"/>
                      <w:szCs w:val="22"/>
                      <w:highlight w:val="none"/>
                      <w:lang w:val="en-US" w:eastAsia="zh-CN"/>
                    </w:rPr>
                    <w:t>分别设置集气罩</w:t>
                  </w:r>
                  <w:r>
                    <w:rPr>
                      <w:rFonts w:hint="default" w:ascii="Times New Roman" w:hAnsi="Times New Roman" w:eastAsia="宋体" w:cs="Times New Roman"/>
                      <w:color w:val="auto"/>
                      <w:sz w:val="22"/>
                      <w:szCs w:val="22"/>
                      <w:highlight w:val="none"/>
                      <w:lang w:val="en-US" w:eastAsia="zh-CN"/>
                    </w:rPr>
                    <w:t>，并设置</w:t>
                  </w:r>
                  <w:r>
                    <w:rPr>
                      <w:rFonts w:hint="eastAsia" w:cs="Times New Roman"/>
                      <w:color w:val="auto"/>
                      <w:sz w:val="22"/>
                      <w:szCs w:val="22"/>
                      <w:highlight w:val="none"/>
                      <w:lang w:val="en-US" w:eastAsia="zh-CN"/>
                    </w:rPr>
                    <w:t>2</w:t>
                  </w:r>
                  <w:r>
                    <w:rPr>
                      <w:rFonts w:hint="default" w:ascii="Times New Roman" w:hAnsi="Times New Roman" w:eastAsia="宋体" w:cs="Times New Roman"/>
                      <w:color w:val="auto"/>
                      <w:sz w:val="22"/>
                      <w:szCs w:val="22"/>
                      <w:highlight w:val="none"/>
                      <w:lang w:val="en-US" w:eastAsia="zh-CN"/>
                    </w:rPr>
                    <w:t>套布袋除尘器</w:t>
                  </w:r>
                  <w:r>
                    <w:rPr>
                      <w:rFonts w:hint="eastAsia" w:cs="Times New Roman"/>
                      <w:color w:val="auto"/>
                      <w:sz w:val="22"/>
                      <w:szCs w:val="22"/>
                      <w:highlight w:val="none"/>
                      <w:lang w:val="en-US" w:eastAsia="zh-CN"/>
                    </w:rPr>
                    <w:t>及2条排气筒</w:t>
                  </w:r>
                  <w:r>
                    <w:rPr>
                      <w:rFonts w:hint="default" w:ascii="Times New Roman" w:hAnsi="Times New Roman" w:eastAsia="宋体" w:cs="Times New Roman"/>
                      <w:color w:val="auto"/>
                      <w:sz w:val="22"/>
                      <w:szCs w:val="22"/>
                      <w:highlight w:val="none"/>
                      <w:lang w:val="en-US" w:eastAsia="zh-CN"/>
                    </w:rPr>
                    <w:t>，破碎筛分产生的粉尘进行负压收集后进入布袋除尘器处理，最终通过</w:t>
                  </w:r>
                  <w:r>
                    <w:rPr>
                      <w:rFonts w:hint="eastAsia" w:cs="Times New Roman"/>
                      <w:color w:val="auto"/>
                      <w:sz w:val="22"/>
                      <w:szCs w:val="22"/>
                      <w:highlight w:val="none"/>
                      <w:lang w:val="en-US" w:eastAsia="zh-CN"/>
                    </w:rPr>
                    <w:t>15m高的</w:t>
                  </w:r>
                  <w:r>
                    <w:rPr>
                      <w:rFonts w:hint="default" w:ascii="Times New Roman" w:hAnsi="Times New Roman" w:eastAsia="宋体" w:cs="Times New Roman"/>
                      <w:color w:val="auto"/>
                      <w:sz w:val="22"/>
                      <w:szCs w:val="22"/>
                      <w:highlight w:val="none"/>
                      <w:lang w:val="en-US" w:eastAsia="zh-CN"/>
                    </w:rPr>
                    <w:t>排气筒外排</w:t>
                  </w:r>
                </w:p>
              </w:tc>
              <w:tc>
                <w:tcPr>
                  <w:tcW w:w="866" w:type="pct"/>
                  <w:vAlign w:val="center"/>
                </w:tcPr>
                <w:p w14:paraId="4A9DB84D">
                  <w:pPr>
                    <w:pStyle w:val="11"/>
                    <w:bidi w:val="0"/>
                    <w:ind w:firstLine="0" w:firstLineChars="0"/>
                    <w:jc w:val="center"/>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cs="Times New Roman"/>
                      <w:b w:val="0"/>
                      <w:bCs w:val="0"/>
                      <w:color w:val="auto"/>
                      <w:sz w:val="22"/>
                      <w:szCs w:val="22"/>
                      <w:highlight w:val="none"/>
                      <w:vertAlign w:val="baseline"/>
                      <w:lang w:val="en-US" w:eastAsia="zh-CN" w:bidi="en-US"/>
                    </w:rPr>
                    <w:t>一号场地现有1套</w:t>
                  </w:r>
                  <w:r>
                    <w:rPr>
                      <w:rFonts w:hint="default" w:ascii="Times New Roman" w:hAnsi="Times New Roman" w:eastAsia="宋体" w:cs="Times New Roman"/>
                      <w:color w:val="auto"/>
                      <w:sz w:val="22"/>
                      <w:szCs w:val="22"/>
                      <w:highlight w:val="none"/>
                      <w:lang w:val="en-US" w:eastAsia="zh-CN"/>
                    </w:rPr>
                    <w:t>布袋除尘器，</w:t>
                  </w:r>
                  <w:r>
                    <w:rPr>
                      <w:rFonts w:hint="eastAsia" w:cs="Times New Roman"/>
                      <w:color w:val="auto"/>
                      <w:sz w:val="22"/>
                      <w:szCs w:val="22"/>
                      <w:highlight w:val="none"/>
                      <w:lang w:val="en-US" w:eastAsia="zh-CN"/>
                    </w:rPr>
                    <w:t>需新增1套</w:t>
                  </w:r>
                  <w:r>
                    <w:rPr>
                      <w:rFonts w:hint="default" w:ascii="Times New Roman" w:hAnsi="Times New Roman" w:eastAsia="宋体" w:cs="Times New Roman"/>
                      <w:color w:val="auto"/>
                      <w:sz w:val="22"/>
                      <w:szCs w:val="22"/>
                      <w:highlight w:val="none"/>
                      <w:lang w:val="en-US" w:eastAsia="zh-CN"/>
                    </w:rPr>
                    <w:t>布袋除尘器</w:t>
                  </w:r>
                </w:p>
              </w:tc>
            </w:tr>
            <w:tr w14:paraId="28DF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2B26BD8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Align w:val="center"/>
                </w:tcPr>
                <w:p w14:paraId="5AE4C41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噪声</w:t>
                  </w:r>
                </w:p>
              </w:tc>
              <w:tc>
                <w:tcPr>
                  <w:tcW w:w="2614" w:type="pct"/>
                  <w:gridSpan w:val="2"/>
                  <w:vAlign w:val="center"/>
                </w:tcPr>
                <w:p w14:paraId="3DB754BE">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bidi="en-US"/>
                    </w:rPr>
                    <w:t>隔声、减震</w:t>
                  </w:r>
                </w:p>
              </w:tc>
              <w:tc>
                <w:tcPr>
                  <w:tcW w:w="866" w:type="pct"/>
                  <w:vAlign w:val="center"/>
                </w:tcPr>
                <w:p w14:paraId="4F1B5B6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720C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5" w:type="pct"/>
                  <w:vMerge w:val="continue"/>
                  <w:vAlign w:val="center"/>
                </w:tcPr>
                <w:p w14:paraId="5505BCF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restart"/>
                  <w:vAlign w:val="center"/>
                </w:tcPr>
                <w:p w14:paraId="174B5AC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固废</w:t>
                  </w:r>
                </w:p>
              </w:tc>
              <w:tc>
                <w:tcPr>
                  <w:tcW w:w="660" w:type="pct"/>
                  <w:vAlign w:val="center"/>
                </w:tcPr>
                <w:p w14:paraId="335C3400">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生活垃圾</w:t>
                  </w:r>
                </w:p>
              </w:tc>
              <w:tc>
                <w:tcPr>
                  <w:tcW w:w="1954" w:type="pct"/>
                  <w:vAlign w:val="center"/>
                </w:tcPr>
                <w:p w14:paraId="0A3EAAE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生活区设垃圾桶，经垃圾桶统一收集后运至环卫部门指定地点</w:t>
                  </w:r>
                </w:p>
              </w:tc>
              <w:tc>
                <w:tcPr>
                  <w:tcW w:w="866" w:type="pct"/>
                  <w:vAlign w:val="center"/>
                </w:tcPr>
                <w:p w14:paraId="64219741">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r w14:paraId="69F8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760018AD">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continue"/>
                  <w:vAlign w:val="center"/>
                </w:tcPr>
                <w:p w14:paraId="7E60B8FB">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660" w:type="pct"/>
                  <w:vAlign w:val="center"/>
                </w:tcPr>
                <w:p w14:paraId="3E43577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厕所</w:t>
                  </w:r>
                </w:p>
              </w:tc>
              <w:tc>
                <w:tcPr>
                  <w:tcW w:w="1954" w:type="pct"/>
                  <w:vAlign w:val="center"/>
                </w:tcPr>
                <w:p w14:paraId="65AE72D6">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项目区设有水冲厕，污粪水进入化粪池污粪水委托周边农户清掏用作农肥</w:t>
                  </w:r>
                </w:p>
              </w:tc>
              <w:tc>
                <w:tcPr>
                  <w:tcW w:w="866" w:type="pct"/>
                  <w:vAlign w:val="center"/>
                </w:tcPr>
                <w:p w14:paraId="77F19584">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探矿权期建设完成，本次利用</w:t>
                  </w:r>
                </w:p>
              </w:tc>
            </w:tr>
            <w:tr w14:paraId="431A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vAlign w:val="center"/>
                </w:tcPr>
                <w:p w14:paraId="0B861B2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813" w:type="pct"/>
                  <w:vMerge w:val="continue"/>
                  <w:vAlign w:val="center"/>
                </w:tcPr>
                <w:p w14:paraId="56BA8958">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eastAsia" w:ascii="Times New Roman" w:hAnsi="Times New Roman" w:cs="Times New Roman"/>
                      <w:b w:val="0"/>
                      <w:bCs w:val="0"/>
                      <w:color w:val="auto"/>
                      <w:sz w:val="22"/>
                      <w:szCs w:val="22"/>
                      <w:highlight w:val="none"/>
                      <w:vertAlign w:val="baseline"/>
                      <w:lang w:val="en-US" w:eastAsia="zh-CN" w:bidi="en-US"/>
                    </w:rPr>
                  </w:pPr>
                </w:p>
              </w:tc>
              <w:tc>
                <w:tcPr>
                  <w:tcW w:w="660" w:type="pct"/>
                  <w:vAlign w:val="center"/>
                </w:tcPr>
                <w:p w14:paraId="0DCDC765">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危废暂存间</w:t>
                  </w:r>
                </w:p>
              </w:tc>
              <w:tc>
                <w:tcPr>
                  <w:tcW w:w="1954" w:type="pct"/>
                  <w:vAlign w:val="center"/>
                </w:tcPr>
                <w:p w14:paraId="10E025B5">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暂存回收的废机油</w:t>
                  </w:r>
                </w:p>
              </w:tc>
              <w:tc>
                <w:tcPr>
                  <w:tcW w:w="866" w:type="pct"/>
                  <w:vAlign w:val="center"/>
                </w:tcPr>
                <w:p w14:paraId="7B79199C">
                  <w:pPr>
                    <w:pStyle w:val="15"/>
                    <w:keepNext w:val="0"/>
                    <w:keepLines w:val="0"/>
                    <w:pageBreakBefore w:val="0"/>
                    <w:widowControl w:val="0"/>
                    <w:kinsoku/>
                    <w:wordWrap/>
                    <w:overflowPunct/>
                    <w:topLinePunct w:val="0"/>
                    <w:autoSpaceDE/>
                    <w:autoSpaceDN/>
                    <w:bidi w:val="0"/>
                    <w:adjustRightInd/>
                    <w:snapToGrid/>
                    <w:spacing w:line="320" w:lineRule="atLeast"/>
                    <w:ind w:firstLine="0" w:firstLineChars="0"/>
                    <w:jc w:val="center"/>
                    <w:textAlignment w:val="auto"/>
                    <w:rPr>
                      <w:rFonts w:hint="default" w:ascii="Times New Roman" w:hAnsi="Times New Roman"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新增</w:t>
                  </w:r>
                </w:p>
              </w:tc>
            </w:tr>
          </w:tbl>
          <w:p w14:paraId="0FA208BC">
            <w:pPr>
              <w:tabs>
                <w:tab w:val="left" w:pos="2395"/>
              </w:tabs>
              <w:ind w:left="130" w:leftChars="50" w:right="130" w:rightChars="50" w:firstLine="522"/>
              <w:rPr>
                <w:rFonts w:hint="eastAsia" w:ascii="Times New Roman" w:hAnsi="Times New Roman"/>
                <w:b/>
                <w:bCs/>
                <w:color w:val="auto"/>
                <w:highlight w:val="none"/>
              </w:rPr>
            </w:pPr>
            <w:r>
              <w:rPr>
                <w:rFonts w:hint="eastAsia" w:ascii="Times New Roman" w:hAnsi="Times New Roman"/>
                <w:b/>
                <w:bCs/>
                <w:color w:val="auto"/>
                <w:highlight w:val="none"/>
                <w:lang w:val="en-US" w:eastAsia="zh-CN"/>
              </w:rPr>
              <w:t>2.1.1</w:t>
            </w:r>
            <w:r>
              <w:rPr>
                <w:rFonts w:hint="eastAsia" w:ascii="Times New Roman" w:hAnsi="Times New Roman"/>
                <w:b/>
                <w:bCs/>
                <w:color w:val="auto"/>
                <w:highlight w:val="none"/>
              </w:rPr>
              <w:t>供电</w:t>
            </w:r>
          </w:p>
          <w:p w14:paraId="08B44743">
            <w:pPr>
              <w:pStyle w:val="15"/>
              <w:keepNext w:val="0"/>
              <w:keepLines w:val="0"/>
              <w:pageBreakBefore w:val="0"/>
              <w:widowControl w:val="0"/>
              <w:kinsoku/>
              <w:wordWrap/>
              <w:overflowPunct w:val="0"/>
              <w:topLinePunct w:val="0"/>
              <w:autoSpaceDE w:val="0"/>
              <w:autoSpaceDN w:val="0"/>
              <w:bidi w:val="0"/>
              <w:adjustRightInd/>
              <w:snapToGrid/>
              <w:spacing w:line="480" w:lineRule="exact"/>
              <w:jc w:val="lef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矿山供电从东川区拖布卡镇引入，采用10kV高压线路供电，矿山主要耗电设备为破碎机、照明用电、抽水泵，年耗电量36万度，矿山总装机容量720kW，矿山变压器容量315kVA，可满足矿山生产、生活用电要求。</w:t>
            </w:r>
          </w:p>
          <w:p w14:paraId="65A00250">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bidi="en-US"/>
              </w:rPr>
            </w:pPr>
            <w:r>
              <w:rPr>
                <w:rFonts w:hint="eastAsia" w:ascii="Times New Roman" w:hAnsi="Times New Roman"/>
                <w:b/>
                <w:bCs/>
                <w:color w:val="auto"/>
                <w:sz w:val="26"/>
                <w:szCs w:val="26"/>
                <w:highlight w:val="none"/>
                <w:lang w:val="en-US" w:eastAsia="zh-CN" w:bidi="en-US"/>
              </w:rPr>
              <w:t>2</w:t>
            </w:r>
            <w:r>
              <w:rPr>
                <w:rFonts w:hint="eastAsia" w:ascii="Times New Roman" w:hAnsi="Times New Roman"/>
                <w:b/>
                <w:bCs/>
                <w:color w:val="auto"/>
                <w:sz w:val="26"/>
                <w:szCs w:val="26"/>
                <w:highlight w:val="none"/>
                <w:lang w:bidi="en-US"/>
              </w:rPr>
              <w:t>.2.2</w:t>
            </w:r>
            <w:r>
              <w:rPr>
                <w:rFonts w:hint="eastAsia" w:ascii="Times New Roman" w:hAnsi="Times New Roman"/>
                <w:b/>
                <w:bCs/>
                <w:color w:val="auto"/>
                <w:sz w:val="26"/>
                <w:szCs w:val="26"/>
                <w:highlight w:val="none"/>
                <w:lang w:val="en-US" w:eastAsia="zh-CN" w:bidi="en-US"/>
              </w:rPr>
              <w:t>给排</w:t>
            </w:r>
            <w:r>
              <w:rPr>
                <w:rFonts w:hint="eastAsia" w:ascii="Times New Roman" w:hAnsi="Times New Roman"/>
                <w:b/>
                <w:bCs/>
                <w:color w:val="auto"/>
                <w:sz w:val="26"/>
                <w:szCs w:val="26"/>
                <w:highlight w:val="none"/>
                <w:lang w:bidi="en-US"/>
              </w:rPr>
              <w:t>水</w:t>
            </w:r>
          </w:p>
          <w:p w14:paraId="57F51008">
            <w:pPr>
              <w:pStyle w:val="15"/>
              <w:keepNext w:val="0"/>
              <w:keepLines w:val="0"/>
              <w:pageBreakBefore w:val="0"/>
              <w:widowControl w:val="0"/>
              <w:kinsoku w:val="0"/>
              <w:wordWrap/>
              <w:overflowPunct w:val="0"/>
              <w:topLinePunct w:val="0"/>
              <w:autoSpaceDE w:val="0"/>
              <w:autoSpaceDN w:val="0"/>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1、供水方式</w:t>
            </w:r>
          </w:p>
          <w:p w14:paraId="7A28CCD4">
            <w:pPr>
              <w:pStyle w:val="15"/>
              <w:keepNext w:val="0"/>
              <w:keepLines w:val="0"/>
              <w:pageBreakBefore w:val="0"/>
              <w:widowControl w:val="0"/>
              <w:kinsoku w:val="0"/>
              <w:wordWrap/>
              <w:overflowPunct w:val="0"/>
              <w:topLinePunct w:val="0"/>
              <w:autoSpaceDE w:val="0"/>
              <w:autoSpaceDN w:val="0"/>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矿山南部建设生产水池，水池容积为300m</w:t>
            </w:r>
            <w:r>
              <w:rPr>
                <w:rFonts w:hint="eastAsia" w:ascii="Times New Roman" w:hAnsi="Times New Roman"/>
                <w:b w:val="0"/>
                <w:bCs w:val="0"/>
                <w:color w:val="auto"/>
                <w:sz w:val="26"/>
                <w:szCs w:val="26"/>
                <w:highlight w:val="none"/>
                <w:vertAlign w:val="superscript"/>
                <w:lang w:bidi="en-US"/>
              </w:rPr>
              <w:t>3</w:t>
            </w:r>
            <w:r>
              <w:rPr>
                <w:rFonts w:hint="eastAsia" w:ascii="Times New Roman" w:hAnsi="Times New Roman"/>
                <w:b w:val="0"/>
                <w:bCs w:val="0"/>
                <w:color w:val="auto"/>
                <w:sz w:val="26"/>
                <w:szCs w:val="26"/>
                <w:highlight w:val="none"/>
                <w:lang w:bidi="en-US"/>
              </w:rPr>
              <w:t>，可满足矿山生产需要。</w:t>
            </w:r>
          </w:p>
          <w:p w14:paraId="5EBBFCCB">
            <w:pPr>
              <w:pStyle w:val="15"/>
              <w:keepNext w:val="0"/>
              <w:keepLines w:val="0"/>
              <w:pageBreakBefore w:val="0"/>
              <w:widowControl w:val="0"/>
              <w:kinsoku w:val="0"/>
              <w:wordWrap/>
              <w:overflowPunct w:val="0"/>
              <w:topLinePunct w:val="0"/>
              <w:autoSpaceDE w:val="0"/>
              <w:autoSpaceDN w:val="0"/>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矿区地表水缺乏，矿山用水主要是除尘用水及生活用水，</w:t>
            </w:r>
            <w:r>
              <w:rPr>
                <w:rFonts w:hint="eastAsia" w:ascii="Times New Roman" w:hAnsi="Times New Roman"/>
                <w:b w:val="0"/>
                <w:bCs w:val="0"/>
                <w:color w:val="auto"/>
                <w:sz w:val="26"/>
                <w:szCs w:val="26"/>
                <w:highlight w:val="none"/>
                <w:lang w:val="en-US" w:eastAsia="zh-CN" w:bidi="en-US"/>
              </w:rPr>
              <w:t>生产</w:t>
            </w:r>
            <w:r>
              <w:rPr>
                <w:rFonts w:hint="eastAsia" w:ascii="Times New Roman" w:hAnsi="Times New Roman"/>
                <w:b w:val="0"/>
                <w:bCs w:val="0"/>
                <w:color w:val="auto"/>
                <w:sz w:val="26"/>
                <w:szCs w:val="26"/>
                <w:highlight w:val="none"/>
                <w:lang w:bidi="en-US"/>
              </w:rPr>
              <w:t>供水</w:t>
            </w:r>
            <w:r>
              <w:rPr>
                <w:rFonts w:hint="eastAsia" w:ascii="Times New Roman" w:hAnsi="Times New Roman"/>
                <w:b w:val="0"/>
                <w:bCs w:val="0"/>
                <w:color w:val="auto"/>
                <w:sz w:val="26"/>
                <w:szCs w:val="26"/>
                <w:highlight w:val="none"/>
                <w:lang w:val="en-US" w:eastAsia="zh-CN" w:bidi="en-US"/>
              </w:rPr>
              <w:t>优先</w:t>
            </w:r>
            <w:r>
              <w:rPr>
                <w:rFonts w:hint="eastAsia" w:ascii="Times New Roman" w:hAnsi="Times New Roman"/>
                <w:b w:val="0"/>
                <w:bCs w:val="0"/>
                <w:color w:val="auto"/>
                <w:sz w:val="26"/>
                <w:szCs w:val="26"/>
                <w:highlight w:val="none"/>
                <w:lang w:bidi="en-US"/>
              </w:rPr>
              <w:t>从老干沟上游引</w:t>
            </w:r>
            <w:r>
              <w:rPr>
                <w:rFonts w:hint="eastAsia" w:ascii="Times New Roman" w:hAnsi="Times New Roman"/>
                <w:b w:val="0"/>
                <w:bCs w:val="0"/>
                <w:color w:val="auto"/>
                <w:sz w:val="26"/>
                <w:szCs w:val="26"/>
                <w:highlight w:val="none"/>
                <w:lang w:val="en-US" w:eastAsia="zh-CN" w:bidi="en-US"/>
              </w:rPr>
              <w:t>水到高位水池供水</w:t>
            </w:r>
            <w:r>
              <w:rPr>
                <w:rFonts w:hint="eastAsia" w:ascii="Times New Roman" w:hAnsi="Times New Roman"/>
                <w:b w:val="0"/>
                <w:bCs w:val="0"/>
                <w:color w:val="auto"/>
                <w:sz w:val="26"/>
                <w:szCs w:val="26"/>
                <w:highlight w:val="none"/>
                <w:lang w:bidi="en-US"/>
              </w:rPr>
              <w:t>，旱季供水</w:t>
            </w:r>
            <w:r>
              <w:rPr>
                <w:rFonts w:hint="eastAsia" w:ascii="Times New Roman" w:hAnsi="Times New Roman"/>
                <w:b w:val="0"/>
                <w:bCs w:val="0"/>
                <w:color w:val="auto"/>
                <w:sz w:val="26"/>
                <w:szCs w:val="26"/>
                <w:highlight w:val="none"/>
                <w:lang w:val="en-US" w:eastAsia="zh-CN" w:bidi="en-US"/>
              </w:rPr>
              <w:t>不足时</w:t>
            </w:r>
            <w:r>
              <w:rPr>
                <w:rFonts w:hint="eastAsia" w:ascii="Times New Roman" w:hAnsi="Times New Roman"/>
                <w:b w:val="0"/>
                <w:bCs w:val="0"/>
                <w:color w:val="auto"/>
                <w:sz w:val="26"/>
                <w:szCs w:val="26"/>
                <w:highlight w:val="none"/>
                <w:lang w:bidi="en-US"/>
              </w:rPr>
              <w:t>可从矿区南东侧约2km处排子田村小组引用，能够满足生产用水</w:t>
            </w:r>
            <w:r>
              <w:rPr>
                <w:rFonts w:hint="eastAsia" w:ascii="Times New Roman" w:hAnsi="Times New Roman"/>
                <w:b w:val="0"/>
                <w:bCs w:val="0"/>
                <w:color w:val="auto"/>
                <w:sz w:val="26"/>
                <w:szCs w:val="26"/>
                <w:highlight w:val="none"/>
                <w:lang w:eastAsia="zh-CN" w:bidi="en-US"/>
              </w:rPr>
              <w:t>，</w:t>
            </w:r>
            <w:r>
              <w:rPr>
                <w:rFonts w:hint="eastAsia" w:ascii="Times New Roman" w:hAnsi="Times New Roman"/>
                <w:b w:val="0"/>
                <w:bCs w:val="0"/>
                <w:color w:val="auto"/>
                <w:sz w:val="26"/>
                <w:szCs w:val="26"/>
                <w:highlight w:val="none"/>
                <w:lang w:bidi="en-US"/>
              </w:rPr>
              <w:t>生产用水时先用抽水泵D155-30*4抽至高位水池，再用水管接到作业面使用</w:t>
            </w:r>
            <w:r>
              <w:rPr>
                <w:rFonts w:hint="eastAsia" w:ascii="Times New Roman" w:hAnsi="Times New Roman"/>
                <w:b w:val="0"/>
                <w:bCs w:val="0"/>
                <w:color w:val="auto"/>
                <w:sz w:val="26"/>
                <w:szCs w:val="26"/>
                <w:highlight w:val="none"/>
                <w:lang w:eastAsia="zh-CN" w:bidi="en-US"/>
              </w:rPr>
              <w:t>，</w:t>
            </w:r>
            <w:r>
              <w:rPr>
                <w:rFonts w:hint="eastAsia" w:ascii="Times New Roman" w:hAnsi="Times New Roman"/>
                <w:b w:val="0"/>
                <w:bCs w:val="0"/>
                <w:color w:val="auto"/>
                <w:sz w:val="26"/>
                <w:szCs w:val="26"/>
                <w:highlight w:val="none"/>
                <w:lang w:val="en-US" w:eastAsia="zh-CN" w:bidi="en-US"/>
              </w:rPr>
              <w:t>初期雨水作为回用水回用到工业用水处；</w:t>
            </w:r>
            <w:r>
              <w:rPr>
                <w:rFonts w:hint="eastAsia" w:ascii="Times New Roman" w:hAnsi="Times New Roman"/>
                <w:b w:val="0"/>
                <w:bCs w:val="0"/>
                <w:color w:val="auto"/>
                <w:sz w:val="26"/>
                <w:szCs w:val="26"/>
                <w:highlight w:val="none"/>
                <w:lang w:bidi="en-US"/>
              </w:rPr>
              <w:t>生活用水从附近的排子田村庄引入。</w:t>
            </w:r>
          </w:p>
          <w:p w14:paraId="656D8857">
            <w:pPr>
              <w:widowControl/>
              <w:ind w:firstLine="390" w:firstLineChars="150"/>
              <w:rPr>
                <w:rFonts w:hint="eastAsia"/>
                <w:b w:val="0"/>
                <w:bCs w:val="0"/>
                <w:color w:val="auto"/>
                <w:sz w:val="26"/>
                <w:szCs w:val="26"/>
                <w:highlight w:val="none"/>
                <w:lang w:val="en-US" w:eastAsia="zh-CN" w:bidi="en-US"/>
              </w:rPr>
            </w:pPr>
            <w:r>
              <w:rPr>
                <w:rFonts w:hint="eastAsia"/>
                <w:b w:val="0"/>
                <w:bCs w:val="0"/>
                <w:color w:val="auto"/>
                <w:sz w:val="26"/>
                <w:szCs w:val="26"/>
                <w:highlight w:val="none"/>
                <w:lang w:val="en-US" w:eastAsia="zh-CN" w:bidi="en-US"/>
              </w:rPr>
              <w:t>2、采场排水</w:t>
            </w:r>
          </w:p>
          <w:p w14:paraId="1323B88E">
            <w:pPr>
              <w:widowControl/>
              <w:ind w:firstLine="390" w:firstLineChars="15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采场外</w:t>
            </w:r>
            <w:r>
              <w:rPr>
                <w:rFonts w:hint="eastAsia"/>
                <w:color w:val="auto"/>
                <w:highlight w:val="none"/>
                <w:lang w:val="en-US" w:eastAsia="zh-CN"/>
              </w:rPr>
              <w:t>的</w:t>
            </w:r>
            <w:r>
              <w:rPr>
                <w:rFonts w:hint="eastAsia"/>
                <w:color w:val="auto"/>
                <w:highlight w:val="none"/>
              </w:rPr>
              <w:t>排水：矿区总体汇水面积不大，利用矿区南部及西部</w:t>
            </w:r>
            <w:r>
              <w:rPr>
                <w:rFonts w:hint="eastAsia"/>
                <w:color w:val="auto"/>
                <w:highlight w:val="none"/>
                <w:lang w:val="en-US" w:eastAsia="zh-CN"/>
              </w:rPr>
              <w:t>的</w:t>
            </w:r>
            <w:r>
              <w:rPr>
                <w:rFonts w:hint="eastAsia"/>
                <w:color w:val="auto"/>
                <w:highlight w:val="none"/>
              </w:rPr>
              <w:t>场外公路内侧排水沟，</w:t>
            </w:r>
            <w:r>
              <w:rPr>
                <w:color w:val="auto"/>
                <w:highlight w:val="none"/>
              </w:rPr>
              <w:t>把</w:t>
            </w:r>
            <w:r>
              <w:rPr>
                <w:rFonts w:hint="eastAsia"/>
                <w:color w:val="auto"/>
                <w:highlight w:val="none"/>
                <w:lang w:val="en-US" w:eastAsia="zh-CN"/>
              </w:rPr>
              <w:t>标高为</w:t>
            </w:r>
            <w:r>
              <w:rPr>
                <w:rFonts w:hint="eastAsia"/>
                <w:color w:val="auto"/>
                <w:highlight w:val="none"/>
              </w:rPr>
              <w:t>1200m以上场外的雨水</w:t>
            </w:r>
            <w:r>
              <w:rPr>
                <w:color w:val="auto"/>
                <w:highlight w:val="none"/>
              </w:rPr>
              <w:t>排走。</w:t>
            </w:r>
            <w:r>
              <w:rPr>
                <w:rFonts w:hint="eastAsia"/>
                <w:color w:val="auto"/>
                <w:highlight w:val="none"/>
              </w:rPr>
              <w:t>水沟净底宽0.4m，净上宽0.6m，沟深0.5m。</w:t>
            </w:r>
          </w:p>
          <w:p w14:paraId="4F08B6B7">
            <w:pPr>
              <w:widowControl/>
              <w:ind w:firstLine="390" w:firstLineChars="15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采场内排水：为防止大气降雨冲刷、侵蚀台阶，造成崩塌、滑坡等灾害，为保证各采矿水平不积水，采场内的大气降水可通过台阶设置3%向坡顶线方向的坡度自流排出场外，以防止采场充水及下渗，保护边坡的稳定。台阶内侧排水沟修建在每个清扫平台内侧，上口宽0.3m，底宽0.3m，深0.3m。由于采场最长约540m，本次设计台阶排水沟采用两端排水。台阶及台阶内水沟需经常清碎石，让其雨水自然排泄畅通。</w:t>
            </w:r>
          </w:p>
          <w:p w14:paraId="38625DAD">
            <w:pPr>
              <w:ind w:firstLine="560"/>
              <w:rPr>
                <w:rFonts w:hint="eastAsia"/>
                <w:color w:val="auto"/>
                <w:highlight w:val="none"/>
                <w:lang w:val="zh-TW"/>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为保证外运道路路面不受地表</w:t>
            </w:r>
            <w:r>
              <w:rPr>
                <w:rFonts w:hint="eastAsia"/>
                <w:color w:val="auto"/>
                <w:highlight w:val="none"/>
                <w:lang w:val="en-US" w:eastAsia="zh-CN"/>
              </w:rPr>
              <w:t>径</w:t>
            </w:r>
            <w:r>
              <w:rPr>
                <w:rFonts w:hint="eastAsia"/>
                <w:color w:val="auto"/>
                <w:highlight w:val="none"/>
              </w:rPr>
              <w:t>流影响，应在场外道路内侧修筑临时的排水沟，排水沟断面为顶宽0.6m，底宽0.4m，深0.5m，排水沟汇集道路附近地表水后，将雨水排至采场以外。</w:t>
            </w:r>
          </w:p>
          <w:p w14:paraId="40AE9B87">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bidi="en-US"/>
              </w:rPr>
            </w:pPr>
            <w:r>
              <w:rPr>
                <w:rFonts w:hint="eastAsia" w:ascii="Times New Roman" w:hAnsi="Times New Roman"/>
                <w:b/>
                <w:bCs/>
                <w:color w:val="auto"/>
                <w:sz w:val="26"/>
                <w:szCs w:val="26"/>
                <w:highlight w:val="none"/>
                <w:lang w:val="en-US" w:eastAsia="zh-CN" w:bidi="en-US"/>
              </w:rPr>
              <w:t>2</w:t>
            </w:r>
            <w:r>
              <w:rPr>
                <w:rFonts w:hint="eastAsia" w:ascii="Times New Roman" w:hAnsi="Times New Roman"/>
                <w:b/>
                <w:bCs/>
                <w:color w:val="auto"/>
                <w:sz w:val="26"/>
                <w:szCs w:val="26"/>
                <w:highlight w:val="none"/>
                <w:lang w:bidi="en-US"/>
              </w:rPr>
              <w:t>.2.3供气</w:t>
            </w:r>
          </w:p>
          <w:p w14:paraId="0E7A341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矿山供气采用1台移动式空压机（DVY－9/7）供气，风量9m</w:t>
            </w:r>
            <w:r>
              <w:rPr>
                <w:rFonts w:hint="eastAsia" w:ascii="Times New Roman" w:hAnsi="Times New Roman"/>
                <w:b w:val="0"/>
                <w:bCs w:val="0"/>
                <w:color w:val="auto"/>
                <w:sz w:val="26"/>
                <w:szCs w:val="26"/>
                <w:highlight w:val="none"/>
                <w:vertAlign w:val="superscript"/>
                <w:lang w:bidi="en-US"/>
              </w:rPr>
              <w:t>3</w:t>
            </w:r>
            <w:r>
              <w:rPr>
                <w:rFonts w:hint="eastAsia" w:ascii="Times New Roman" w:hAnsi="Times New Roman"/>
                <w:b w:val="0"/>
                <w:bCs w:val="0"/>
                <w:color w:val="auto"/>
                <w:sz w:val="26"/>
                <w:szCs w:val="26"/>
                <w:highlight w:val="none"/>
                <w:lang w:bidi="en-US"/>
              </w:rPr>
              <w:t>/min，供气气压0.7Mpa，与KQD-80型潜孔钻机配套使用。</w:t>
            </w:r>
          </w:p>
          <w:p w14:paraId="5C728A6B">
            <w:pPr>
              <w:tabs>
                <w:tab w:val="left" w:pos="2395"/>
              </w:tabs>
              <w:ind w:left="130" w:leftChars="50" w:right="130" w:rightChars="50" w:firstLine="522"/>
              <w:rPr>
                <w:rFonts w:hint="eastAsia"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2.3土建</w:t>
            </w:r>
          </w:p>
          <w:p w14:paraId="142C23F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矿山为新建矿山，矿山工业场地、生活区、职工宿舍位于矿区东北部，构建筑物建设按9度地震带设防。</w:t>
            </w:r>
          </w:p>
          <w:p w14:paraId="1442A1F7">
            <w:pPr>
              <w:tabs>
                <w:tab w:val="left" w:pos="2395"/>
              </w:tabs>
              <w:ind w:left="130" w:leftChars="50" w:right="130" w:rightChars="50" w:firstLine="522"/>
              <w:rPr>
                <w:rFonts w:hint="eastAsia"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2.4爆破器材库</w:t>
            </w:r>
          </w:p>
          <w:p w14:paraId="4FA7414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bidi="en-US"/>
              </w:rPr>
            </w:pPr>
            <w:r>
              <w:rPr>
                <w:rFonts w:hint="eastAsia" w:ascii="Times New Roman" w:hAnsi="Times New Roman"/>
                <w:b w:val="0"/>
                <w:bCs w:val="0"/>
                <w:color w:val="auto"/>
                <w:sz w:val="26"/>
                <w:szCs w:val="26"/>
                <w:highlight w:val="none"/>
                <w:lang w:bidi="en-US"/>
              </w:rPr>
              <w:t>矿山采用KQD-80潜孔钻机凿岩，采用湿式凿岩，对局部边角地段矿岩采用浅孔设备辅助穿孔爆破。爆破采用2#岩石炸药，磁电雷管起爆，矿山爆破均外委当地民爆公司负责</w:t>
            </w:r>
            <w:r>
              <w:rPr>
                <w:rFonts w:hint="eastAsia" w:ascii="Times New Roman" w:hAnsi="Times New Roman"/>
                <w:b w:val="0"/>
                <w:bCs w:val="0"/>
                <w:color w:val="auto"/>
                <w:sz w:val="26"/>
                <w:szCs w:val="26"/>
                <w:highlight w:val="none"/>
                <w:lang w:eastAsia="zh-CN" w:bidi="en-US"/>
              </w:rPr>
              <w:t>，</w:t>
            </w:r>
            <w:r>
              <w:rPr>
                <w:rFonts w:hint="eastAsia" w:ascii="Times New Roman" w:hAnsi="Times New Roman"/>
                <w:b w:val="0"/>
                <w:bCs w:val="0"/>
                <w:color w:val="auto"/>
                <w:sz w:val="26"/>
                <w:szCs w:val="26"/>
                <w:highlight w:val="none"/>
                <w:lang w:bidi="en-US"/>
              </w:rPr>
              <w:t>本</w:t>
            </w:r>
            <w:r>
              <w:rPr>
                <w:rFonts w:hint="eastAsia" w:ascii="Times New Roman" w:hAnsi="Times New Roman"/>
                <w:b w:val="0"/>
                <w:bCs w:val="0"/>
                <w:color w:val="auto"/>
                <w:sz w:val="26"/>
                <w:szCs w:val="26"/>
                <w:highlight w:val="none"/>
                <w:lang w:val="en-US" w:eastAsia="zh-CN" w:bidi="en-US"/>
              </w:rPr>
              <w:t>项目</w:t>
            </w:r>
            <w:r>
              <w:rPr>
                <w:rFonts w:hint="eastAsia" w:ascii="Times New Roman" w:hAnsi="Times New Roman"/>
                <w:b w:val="0"/>
                <w:bCs w:val="0"/>
                <w:color w:val="auto"/>
                <w:sz w:val="26"/>
                <w:szCs w:val="26"/>
                <w:highlight w:val="none"/>
                <w:lang w:bidi="en-US"/>
              </w:rPr>
              <w:t>不含爆破器材库设计。</w:t>
            </w:r>
          </w:p>
          <w:p w14:paraId="7B883510">
            <w:pPr>
              <w:tabs>
                <w:tab w:val="left" w:pos="2395"/>
              </w:tabs>
              <w:spacing w:line="360" w:lineRule="auto"/>
              <w:ind w:left="0" w:leftChars="0" w:right="130" w:rightChars="50" w:firstLine="0" w:firstLineChars="0"/>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3、产品方案</w:t>
            </w:r>
            <w:r>
              <w:rPr>
                <w:rFonts w:hint="eastAsia"/>
                <w:b/>
                <w:bCs/>
                <w:color w:val="auto"/>
                <w:sz w:val="28"/>
                <w:szCs w:val="28"/>
                <w:highlight w:val="none"/>
                <w:lang w:val="en-US" w:eastAsia="zh-CN"/>
              </w:rPr>
              <w:t>及原辅料</w:t>
            </w:r>
          </w:p>
          <w:p w14:paraId="1552D1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val="0"/>
                <w:bCs w:val="0"/>
                <w:color w:val="auto"/>
                <w:sz w:val="26"/>
                <w:szCs w:val="26"/>
                <w:highlight w:val="none"/>
                <w:lang w:val="en-US" w:eastAsia="zh-CN" w:bidi="en-US"/>
              </w:rPr>
            </w:pPr>
            <w:r>
              <w:rPr>
                <w:rFonts w:hint="eastAsia" w:ascii="宋体" w:hAnsi="宋体" w:eastAsia="宋体" w:cs="宋体"/>
                <w:b w:val="0"/>
                <w:bCs w:val="0"/>
                <w:color w:val="auto"/>
                <w:sz w:val="26"/>
                <w:szCs w:val="26"/>
                <w:highlight w:val="none"/>
                <w:lang w:bidi="en-US"/>
              </w:rPr>
              <w:t>①</w:t>
            </w:r>
            <w:r>
              <w:rPr>
                <w:rFonts w:hint="eastAsia" w:ascii="Times New Roman" w:hAnsi="Times New Roman" w:eastAsia="宋体"/>
                <w:b w:val="0"/>
                <w:bCs w:val="0"/>
                <w:color w:val="auto"/>
                <w:sz w:val="26"/>
                <w:szCs w:val="26"/>
                <w:highlight w:val="none"/>
                <w:lang w:val="en-US" w:eastAsia="zh-CN" w:bidi="en-US"/>
              </w:rPr>
              <w:t>产品方案：</w:t>
            </w:r>
          </w:p>
          <w:p w14:paraId="35B5AA7C">
            <w:pPr>
              <w:snapToGrid/>
              <w:ind w:firstLine="0" w:firstLineChars="0"/>
              <w:jc w:val="center"/>
              <w:rPr>
                <w:rFonts w:hint="default" w:ascii="Times New Roman" w:hAnsi="Times New Roman" w:eastAsia="宋体"/>
                <w:b w:val="0"/>
                <w:bCs w:val="0"/>
                <w:color w:val="auto"/>
                <w:sz w:val="26"/>
                <w:szCs w:val="26"/>
                <w:highlight w:val="none"/>
                <w:lang w:val="en-US" w:eastAsia="zh-CN" w:bidi="en-US"/>
              </w:rPr>
            </w:pPr>
            <w:r>
              <w:rPr>
                <w:rFonts w:hint="eastAsia"/>
                <w:b/>
                <w:color w:val="auto"/>
                <w:sz w:val="21"/>
                <w:szCs w:val="21"/>
                <w:highlight w:val="none"/>
              </w:rPr>
              <w:t>表1-</w:t>
            </w:r>
            <w:r>
              <w:rPr>
                <w:rFonts w:hint="eastAsia"/>
                <w:b/>
                <w:color w:val="auto"/>
                <w:sz w:val="21"/>
                <w:szCs w:val="21"/>
                <w:highlight w:val="none"/>
                <w:lang w:val="en-US" w:eastAsia="zh-CN"/>
              </w:rPr>
              <w:t>2</w:t>
            </w:r>
            <w:r>
              <w:rPr>
                <w:rFonts w:hint="eastAsia"/>
                <w:b/>
                <w:color w:val="auto"/>
                <w:sz w:val="21"/>
                <w:szCs w:val="21"/>
                <w:highlight w:val="none"/>
              </w:rPr>
              <w:t xml:space="preserve">  </w:t>
            </w:r>
            <w:r>
              <w:rPr>
                <w:rFonts w:hint="eastAsia"/>
                <w:b/>
                <w:color w:val="auto"/>
                <w:sz w:val="21"/>
                <w:szCs w:val="21"/>
                <w:highlight w:val="none"/>
                <w:lang w:val="en-US" w:eastAsia="zh-CN"/>
              </w:rPr>
              <w:t>项目产品方案一览表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582"/>
              <w:gridCol w:w="1404"/>
              <w:gridCol w:w="1323"/>
              <w:gridCol w:w="3137"/>
            </w:tblGrid>
            <w:tr w14:paraId="6B38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6C79F7C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序号</w:t>
                  </w:r>
                </w:p>
              </w:tc>
              <w:tc>
                <w:tcPr>
                  <w:tcW w:w="1582" w:type="dxa"/>
                  <w:vAlign w:val="center"/>
                </w:tcPr>
                <w:p w14:paraId="34F4A8BB">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产品名称</w:t>
                  </w:r>
                </w:p>
              </w:tc>
              <w:tc>
                <w:tcPr>
                  <w:tcW w:w="1404" w:type="dxa"/>
                  <w:vAlign w:val="center"/>
                </w:tcPr>
                <w:p w14:paraId="21741F88">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产量</w:t>
                  </w:r>
                </w:p>
              </w:tc>
              <w:tc>
                <w:tcPr>
                  <w:tcW w:w="1323" w:type="dxa"/>
                  <w:vAlign w:val="center"/>
                </w:tcPr>
                <w:p w14:paraId="23B65E65">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粒径</w:t>
                  </w:r>
                </w:p>
              </w:tc>
              <w:tc>
                <w:tcPr>
                  <w:tcW w:w="3137" w:type="dxa"/>
                  <w:vAlign w:val="center"/>
                </w:tcPr>
                <w:p w14:paraId="08313E69">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备注</w:t>
                  </w:r>
                </w:p>
              </w:tc>
            </w:tr>
            <w:tr w14:paraId="63F7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99F28B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1</w:t>
                  </w:r>
                </w:p>
              </w:tc>
              <w:tc>
                <w:tcPr>
                  <w:tcW w:w="1582" w:type="dxa"/>
                  <w:vAlign w:val="center"/>
                </w:tcPr>
                <w:p w14:paraId="61FBD0A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块石</w:t>
                  </w:r>
                </w:p>
              </w:tc>
              <w:tc>
                <w:tcPr>
                  <w:tcW w:w="1404" w:type="dxa"/>
                  <w:vAlign w:val="center"/>
                </w:tcPr>
                <w:p w14:paraId="3102303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2万t/a</w:t>
                  </w:r>
                </w:p>
              </w:tc>
              <w:tc>
                <w:tcPr>
                  <w:tcW w:w="1323" w:type="dxa"/>
                  <w:vAlign w:val="center"/>
                </w:tcPr>
                <w:p w14:paraId="215BAD4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3-5cm</w:t>
                  </w:r>
                </w:p>
              </w:tc>
              <w:tc>
                <w:tcPr>
                  <w:tcW w:w="3137" w:type="dxa"/>
                  <w:vAlign w:val="center"/>
                </w:tcPr>
                <w:p w14:paraId="6DFF2D6A">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无需破碎</w:t>
                  </w:r>
                </w:p>
              </w:tc>
            </w:tr>
            <w:tr w14:paraId="5AFC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0103B38">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2</w:t>
                  </w:r>
                </w:p>
              </w:tc>
              <w:tc>
                <w:tcPr>
                  <w:tcW w:w="1582" w:type="dxa"/>
                  <w:vAlign w:val="center"/>
                </w:tcPr>
                <w:p w14:paraId="29CDB5CA">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碎石</w:t>
                  </w:r>
                </w:p>
              </w:tc>
              <w:tc>
                <w:tcPr>
                  <w:tcW w:w="1404" w:type="dxa"/>
                  <w:vAlign w:val="center"/>
                </w:tcPr>
                <w:p w14:paraId="292A4385">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24万t/a</w:t>
                  </w:r>
                </w:p>
              </w:tc>
              <w:tc>
                <w:tcPr>
                  <w:tcW w:w="1323" w:type="dxa"/>
                  <w:vAlign w:val="center"/>
                </w:tcPr>
                <w:p w14:paraId="2703FAC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0.5-3cm</w:t>
                  </w:r>
                </w:p>
              </w:tc>
              <w:tc>
                <w:tcPr>
                  <w:tcW w:w="3137" w:type="dxa"/>
                  <w:vAlign w:val="center"/>
                </w:tcPr>
                <w:p w14:paraId="7CDEE58A">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2套破碎设备，每套破碎设备年破碎12万t</w:t>
                  </w:r>
                </w:p>
              </w:tc>
            </w:tr>
            <w:tr w14:paraId="0096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4ABF0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3</w:t>
                  </w:r>
                </w:p>
              </w:tc>
              <w:tc>
                <w:tcPr>
                  <w:tcW w:w="1582" w:type="dxa"/>
                  <w:vAlign w:val="center"/>
                </w:tcPr>
                <w:p w14:paraId="7E81E37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机砂</w:t>
                  </w:r>
                </w:p>
              </w:tc>
              <w:tc>
                <w:tcPr>
                  <w:tcW w:w="1404" w:type="dxa"/>
                  <w:vAlign w:val="center"/>
                </w:tcPr>
                <w:p w14:paraId="6293D5A6">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4万t/a</w:t>
                  </w:r>
                </w:p>
              </w:tc>
              <w:tc>
                <w:tcPr>
                  <w:tcW w:w="1323" w:type="dxa"/>
                  <w:vAlign w:val="center"/>
                </w:tcPr>
                <w:p w14:paraId="274E785E">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&lt;0.5cm</w:t>
                  </w:r>
                </w:p>
              </w:tc>
              <w:tc>
                <w:tcPr>
                  <w:tcW w:w="3137" w:type="dxa"/>
                  <w:vAlign w:val="center"/>
                </w:tcPr>
                <w:p w14:paraId="45B66E0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cs="Times New Roman"/>
                      <w:b w:val="0"/>
                      <w:bCs w:val="0"/>
                      <w:color w:val="auto"/>
                      <w:sz w:val="22"/>
                      <w:szCs w:val="22"/>
                      <w:highlight w:val="none"/>
                      <w:vertAlign w:val="baseline"/>
                      <w:lang w:val="en-US" w:eastAsia="zh-CN" w:bidi="en-US"/>
                    </w:rPr>
                    <w:t>2套破碎设备，每套破碎设备年破碎2万t</w:t>
                  </w:r>
                </w:p>
              </w:tc>
            </w:tr>
          </w:tbl>
          <w:p w14:paraId="57B5322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val="0"/>
                <w:bCs w:val="0"/>
                <w:color w:val="auto"/>
                <w:sz w:val="26"/>
                <w:szCs w:val="26"/>
                <w:highlight w:val="none"/>
                <w:lang w:val="en-US" w:eastAsia="zh-CN" w:bidi="en-US"/>
              </w:rPr>
            </w:pPr>
            <w:r>
              <w:rPr>
                <w:rFonts w:hint="eastAsia" w:ascii="宋体" w:hAnsi="宋体" w:eastAsia="宋体" w:cs="宋体"/>
                <w:b w:val="0"/>
                <w:bCs w:val="0"/>
                <w:color w:val="auto"/>
                <w:sz w:val="26"/>
                <w:szCs w:val="26"/>
                <w:highlight w:val="none"/>
                <w:lang w:val="en-US" w:eastAsia="zh-CN" w:bidi="en-US"/>
              </w:rPr>
              <w:t>②</w:t>
            </w:r>
            <w:r>
              <w:rPr>
                <w:rFonts w:hint="eastAsia" w:ascii="Times New Roman" w:hAnsi="Times New Roman" w:eastAsia="宋体"/>
                <w:b w:val="0"/>
                <w:bCs w:val="0"/>
                <w:color w:val="auto"/>
                <w:sz w:val="26"/>
                <w:szCs w:val="26"/>
                <w:highlight w:val="none"/>
                <w:lang w:val="en-US" w:eastAsia="zh-CN" w:bidi="en-US"/>
              </w:rPr>
              <w:t>原辅料：</w:t>
            </w:r>
          </w:p>
          <w:p w14:paraId="2EBBA0EC">
            <w:pPr>
              <w:snapToGrid/>
              <w:ind w:firstLine="0" w:firstLineChars="0"/>
              <w:jc w:val="center"/>
              <w:rPr>
                <w:rFonts w:hint="default" w:ascii="Times New Roman" w:hAnsi="Times New Roman" w:eastAsia="宋体"/>
                <w:b w:val="0"/>
                <w:bCs w:val="0"/>
                <w:color w:val="auto"/>
                <w:sz w:val="26"/>
                <w:szCs w:val="26"/>
                <w:highlight w:val="none"/>
                <w:lang w:val="en-US" w:eastAsia="zh-CN" w:bidi="en-US"/>
              </w:rPr>
            </w:pPr>
            <w:r>
              <w:rPr>
                <w:rFonts w:hint="eastAsia"/>
                <w:b/>
                <w:color w:val="auto"/>
                <w:sz w:val="21"/>
                <w:szCs w:val="21"/>
                <w:highlight w:val="none"/>
              </w:rPr>
              <w:t>表1-</w:t>
            </w:r>
            <w:r>
              <w:rPr>
                <w:rFonts w:hint="eastAsia"/>
                <w:b/>
                <w:color w:val="auto"/>
                <w:sz w:val="21"/>
                <w:szCs w:val="21"/>
                <w:highlight w:val="none"/>
                <w:lang w:val="en-US" w:eastAsia="zh-CN"/>
              </w:rPr>
              <w:t>3</w:t>
            </w:r>
            <w:r>
              <w:rPr>
                <w:rFonts w:hint="eastAsia"/>
                <w:b/>
                <w:color w:val="auto"/>
                <w:sz w:val="21"/>
                <w:szCs w:val="21"/>
                <w:highlight w:val="none"/>
              </w:rPr>
              <w:t xml:space="preserve">  </w:t>
            </w:r>
            <w:r>
              <w:rPr>
                <w:rFonts w:hint="eastAsia"/>
                <w:b/>
                <w:color w:val="auto"/>
                <w:sz w:val="21"/>
                <w:szCs w:val="21"/>
                <w:highlight w:val="none"/>
                <w:lang w:val="en-US" w:eastAsia="zh-CN"/>
              </w:rPr>
              <w:t>项目原辅材料一览表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609"/>
              <w:gridCol w:w="1254"/>
              <w:gridCol w:w="1296"/>
              <w:gridCol w:w="3042"/>
            </w:tblGrid>
            <w:tr w14:paraId="09B5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8125D6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序号</w:t>
                  </w:r>
                </w:p>
              </w:tc>
              <w:tc>
                <w:tcPr>
                  <w:tcW w:w="1609" w:type="dxa"/>
                </w:tcPr>
                <w:p w14:paraId="56881213">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辅料名称</w:t>
                  </w:r>
                </w:p>
              </w:tc>
              <w:tc>
                <w:tcPr>
                  <w:tcW w:w="1254" w:type="dxa"/>
                </w:tcPr>
                <w:p w14:paraId="6BEE774C">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单位</w:t>
                  </w:r>
                </w:p>
              </w:tc>
              <w:tc>
                <w:tcPr>
                  <w:tcW w:w="1296" w:type="dxa"/>
                </w:tcPr>
                <w:p w14:paraId="07F3F252">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年消耗量</w:t>
                  </w:r>
                </w:p>
              </w:tc>
              <w:tc>
                <w:tcPr>
                  <w:tcW w:w="3042" w:type="dxa"/>
                </w:tcPr>
                <w:p w14:paraId="574BB68B">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来源</w:t>
                  </w:r>
                </w:p>
              </w:tc>
            </w:tr>
            <w:tr w14:paraId="3BF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FBAD091">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1</w:t>
                  </w:r>
                </w:p>
              </w:tc>
              <w:tc>
                <w:tcPr>
                  <w:tcW w:w="1609" w:type="dxa"/>
                  <w:vAlign w:val="center"/>
                </w:tcPr>
                <w:p w14:paraId="7670A19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水</w:t>
                  </w:r>
                </w:p>
              </w:tc>
              <w:tc>
                <w:tcPr>
                  <w:tcW w:w="1254" w:type="dxa"/>
                  <w:vAlign w:val="center"/>
                </w:tcPr>
                <w:p w14:paraId="498739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m</w:t>
                  </w:r>
                  <w:r>
                    <w:rPr>
                      <w:rFonts w:hint="eastAsia" w:ascii="Times New Roman" w:hAnsi="Times New Roman" w:eastAsia="宋体" w:cs="Times New Roman"/>
                      <w:color w:val="auto"/>
                      <w:kern w:val="0"/>
                      <w:sz w:val="22"/>
                      <w:szCs w:val="22"/>
                      <w:highlight w:val="none"/>
                      <w:vertAlign w:val="superscript"/>
                    </w:rPr>
                    <w:t>3</w:t>
                  </w:r>
                </w:p>
              </w:tc>
              <w:tc>
                <w:tcPr>
                  <w:tcW w:w="1296" w:type="dxa"/>
                  <w:vAlign w:val="center"/>
                </w:tcPr>
                <w:p w14:paraId="420CCE9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36000</w:t>
                  </w:r>
                </w:p>
              </w:tc>
              <w:tc>
                <w:tcPr>
                  <w:tcW w:w="3042" w:type="dxa"/>
                </w:tcPr>
                <w:p w14:paraId="79CE5A9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工业用水：高位水池</w:t>
                  </w:r>
                </w:p>
                <w:p w14:paraId="1C7F8F0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生活用水：排子田村庄引入</w:t>
                  </w:r>
                </w:p>
              </w:tc>
            </w:tr>
            <w:tr w14:paraId="0D18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4B745A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2</w:t>
                  </w:r>
                </w:p>
              </w:tc>
              <w:tc>
                <w:tcPr>
                  <w:tcW w:w="1609" w:type="dxa"/>
                  <w:vAlign w:val="center"/>
                </w:tcPr>
                <w:p w14:paraId="7EAACAF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电</w:t>
                  </w:r>
                </w:p>
              </w:tc>
              <w:tc>
                <w:tcPr>
                  <w:tcW w:w="1254" w:type="dxa"/>
                  <w:vAlign w:val="center"/>
                </w:tcPr>
                <w:p w14:paraId="0E47D4F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kW·h</w:t>
                  </w:r>
                </w:p>
              </w:tc>
              <w:tc>
                <w:tcPr>
                  <w:tcW w:w="1296" w:type="dxa"/>
                  <w:vAlign w:val="center"/>
                </w:tcPr>
                <w:p w14:paraId="37665E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750000</w:t>
                  </w:r>
                </w:p>
              </w:tc>
              <w:tc>
                <w:tcPr>
                  <w:tcW w:w="3042" w:type="dxa"/>
                </w:tcPr>
                <w:p w14:paraId="3BA4CBAC">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东川区拖布卡镇引入</w:t>
                  </w:r>
                </w:p>
              </w:tc>
            </w:tr>
            <w:tr w14:paraId="329F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952CC7B">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3</w:t>
                  </w:r>
                </w:p>
              </w:tc>
              <w:tc>
                <w:tcPr>
                  <w:tcW w:w="1609" w:type="dxa"/>
                  <w:vAlign w:val="center"/>
                </w:tcPr>
                <w:p w14:paraId="2BB08A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机油</w:t>
                  </w:r>
                </w:p>
              </w:tc>
              <w:tc>
                <w:tcPr>
                  <w:tcW w:w="1254" w:type="dxa"/>
                  <w:vAlign w:val="center"/>
                </w:tcPr>
                <w:p w14:paraId="4E2A91D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kg</w:t>
                  </w:r>
                </w:p>
              </w:tc>
              <w:tc>
                <w:tcPr>
                  <w:tcW w:w="1296" w:type="dxa"/>
                </w:tcPr>
                <w:p w14:paraId="3157046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200</w:t>
                  </w:r>
                </w:p>
              </w:tc>
              <w:tc>
                <w:tcPr>
                  <w:tcW w:w="3042" w:type="dxa"/>
                </w:tcPr>
                <w:p w14:paraId="364474DE">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外购</w:t>
                  </w:r>
                </w:p>
              </w:tc>
            </w:tr>
            <w:tr w14:paraId="32FA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29AA0A0">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4</w:t>
                  </w:r>
                </w:p>
              </w:tc>
              <w:tc>
                <w:tcPr>
                  <w:tcW w:w="1609" w:type="dxa"/>
                  <w:vAlign w:val="center"/>
                </w:tcPr>
                <w:p w14:paraId="42BDA6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炸药</w:t>
                  </w:r>
                </w:p>
              </w:tc>
              <w:tc>
                <w:tcPr>
                  <w:tcW w:w="1254" w:type="dxa"/>
                  <w:vAlign w:val="center"/>
                </w:tcPr>
                <w:p w14:paraId="11CE602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kg</w:t>
                  </w:r>
                </w:p>
              </w:tc>
              <w:tc>
                <w:tcPr>
                  <w:tcW w:w="1296" w:type="dxa"/>
                </w:tcPr>
                <w:p w14:paraId="42B5119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color w:val="auto"/>
                      <w:kern w:val="0"/>
                      <w:sz w:val="22"/>
                      <w:szCs w:val="22"/>
                      <w:highlight w:val="none"/>
                    </w:rPr>
                    <w:t>90000</w:t>
                  </w:r>
                </w:p>
              </w:tc>
              <w:tc>
                <w:tcPr>
                  <w:tcW w:w="3042" w:type="dxa"/>
                </w:tcPr>
                <w:p w14:paraId="2191730D">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bidi="en-US"/>
                    </w:rPr>
                    <w:t>不设炸药库，由爆破公司配送</w:t>
                  </w:r>
                </w:p>
              </w:tc>
            </w:tr>
          </w:tbl>
          <w:p w14:paraId="3A1E0040">
            <w:pPr>
              <w:tabs>
                <w:tab w:val="left" w:pos="2395"/>
              </w:tabs>
              <w:spacing w:line="360" w:lineRule="auto"/>
              <w:ind w:left="0" w:leftChars="0" w:right="130" w:rightChars="50" w:firstLine="0" w:firstLineChars="0"/>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4、建设地点</w:t>
            </w:r>
          </w:p>
          <w:p w14:paraId="280BA7F6">
            <w:pPr>
              <w:snapToGrid/>
              <w:ind w:firstLine="560"/>
              <w:jc w:val="left"/>
              <w:rPr>
                <w:rFonts w:hint="eastAsia"/>
                <w:color w:val="auto"/>
                <w:szCs w:val="28"/>
                <w:highlight w:val="none"/>
              </w:rPr>
            </w:pPr>
            <w:r>
              <w:rPr>
                <w:rFonts w:hint="eastAsia"/>
                <w:color w:val="auto"/>
                <w:kern w:val="0"/>
                <w:szCs w:val="28"/>
                <w:highlight w:val="none"/>
                <w:lang w:val="zh-CN"/>
              </w:rPr>
              <w:t>矿区位于云南省昆明市东川区拖布卡镇大荒地村排子田小组境内</w:t>
            </w:r>
            <w:r>
              <w:rPr>
                <w:color w:val="auto"/>
                <w:kern w:val="0"/>
                <w:szCs w:val="28"/>
                <w:highlight w:val="none"/>
                <w:lang w:val="zh-CN"/>
              </w:rPr>
              <w:t>，</w:t>
            </w:r>
            <w:r>
              <w:rPr>
                <w:rFonts w:hint="eastAsia"/>
                <w:color w:val="auto"/>
                <w:kern w:val="0"/>
                <w:szCs w:val="28"/>
                <w:highlight w:val="none"/>
                <w:lang w:val="zh-CN"/>
              </w:rPr>
              <w:t>经东川区自然资源局查询，该矿区位置目前为空白区，不属于国家出资探明地</w:t>
            </w:r>
            <w:r>
              <w:rPr>
                <w:color w:val="auto"/>
                <w:szCs w:val="28"/>
                <w:highlight w:val="none"/>
              </w:rPr>
              <w:t>。</w:t>
            </w:r>
            <w:r>
              <w:rPr>
                <w:rFonts w:hint="eastAsia"/>
                <w:color w:val="auto"/>
                <w:szCs w:val="28"/>
                <w:highlight w:val="none"/>
              </w:rPr>
              <w:t>矿权属拟新立矿权，</w:t>
            </w:r>
            <w:r>
              <w:rPr>
                <w:color w:val="auto"/>
                <w:szCs w:val="28"/>
                <w:highlight w:val="none"/>
              </w:rPr>
              <w:t>由</w:t>
            </w:r>
            <w:r>
              <w:rPr>
                <w:rFonts w:hint="eastAsia"/>
                <w:color w:val="auto"/>
                <w:szCs w:val="28"/>
                <w:highlight w:val="none"/>
              </w:rPr>
              <w:t>8</w:t>
            </w:r>
            <w:r>
              <w:rPr>
                <w:color w:val="auto"/>
                <w:szCs w:val="28"/>
                <w:highlight w:val="none"/>
              </w:rPr>
              <w:t>个拐点坐标圈定，面积为0.</w:t>
            </w:r>
            <w:r>
              <w:rPr>
                <w:rFonts w:hint="eastAsia"/>
                <w:color w:val="auto"/>
                <w:szCs w:val="28"/>
                <w:highlight w:val="none"/>
              </w:rPr>
              <w:t>1365</w:t>
            </w:r>
            <w:r>
              <w:rPr>
                <w:color w:val="auto"/>
                <w:szCs w:val="28"/>
                <w:highlight w:val="none"/>
              </w:rPr>
              <w:t>km</w:t>
            </w:r>
            <w:r>
              <w:rPr>
                <w:color w:val="auto"/>
                <w:szCs w:val="28"/>
                <w:highlight w:val="none"/>
                <w:vertAlign w:val="superscript"/>
              </w:rPr>
              <w:t>2</w:t>
            </w:r>
            <w:r>
              <w:rPr>
                <w:rFonts w:hint="eastAsia"/>
                <w:color w:val="auto"/>
                <w:szCs w:val="28"/>
                <w:highlight w:val="none"/>
              </w:rPr>
              <w:t>，开采标高为</w:t>
            </w:r>
            <w:r>
              <w:rPr>
                <w:rFonts w:hint="eastAsia"/>
                <w:color w:val="auto"/>
                <w:szCs w:val="28"/>
                <w:highlight w:val="none"/>
                <w:lang w:val="en-US" w:eastAsia="zh-CN"/>
              </w:rPr>
              <w:t>1200</w:t>
            </w:r>
            <w:r>
              <w:rPr>
                <w:rFonts w:hint="eastAsia"/>
                <w:color w:val="auto"/>
                <w:szCs w:val="28"/>
                <w:highlight w:val="none"/>
              </w:rPr>
              <w:t>m</w:t>
            </w:r>
            <w:r>
              <w:rPr>
                <w:color w:val="auto"/>
                <w:szCs w:val="28"/>
                <w:highlight w:val="none"/>
              </w:rPr>
              <w:t>～</w:t>
            </w:r>
            <w:r>
              <w:rPr>
                <w:rFonts w:hint="eastAsia"/>
                <w:color w:val="auto"/>
                <w:szCs w:val="28"/>
                <w:highlight w:val="none"/>
              </w:rPr>
              <w:t>1</w:t>
            </w:r>
            <w:r>
              <w:rPr>
                <w:rFonts w:hint="eastAsia"/>
                <w:color w:val="auto"/>
                <w:szCs w:val="28"/>
                <w:highlight w:val="none"/>
                <w:lang w:val="en-US" w:eastAsia="zh-CN"/>
              </w:rPr>
              <w:t>030</w:t>
            </w:r>
            <w:r>
              <w:rPr>
                <w:rFonts w:hint="eastAsia"/>
                <w:color w:val="auto"/>
                <w:szCs w:val="28"/>
                <w:highlight w:val="none"/>
              </w:rPr>
              <w:t>m</w:t>
            </w:r>
            <w:r>
              <w:rPr>
                <w:color w:val="auto"/>
                <w:szCs w:val="28"/>
                <w:highlight w:val="none"/>
              </w:rPr>
              <w:t>。矿区地理坐标</w:t>
            </w:r>
            <w:r>
              <w:rPr>
                <w:rFonts w:hint="eastAsia"/>
                <w:color w:val="auto"/>
                <w:szCs w:val="28"/>
                <w:highlight w:val="none"/>
              </w:rPr>
              <w:t>（西安80）</w:t>
            </w:r>
            <w:r>
              <w:rPr>
                <w:color w:val="auto"/>
                <w:szCs w:val="28"/>
                <w:highlight w:val="none"/>
              </w:rPr>
              <w:t>极值为：东经103°</w:t>
            </w:r>
            <w:r>
              <w:rPr>
                <w:rFonts w:hint="eastAsia"/>
                <w:color w:val="auto"/>
                <w:szCs w:val="28"/>
                <w:highlight w:val="none"/>
              </w:rPr>
              <w:t>04</w:t>
            </w:r>
            <w:r>
              <w:rPr>
                <w:color w:val="auto"/>
                <w:szCs w:val="28"/>
                <w:highlight w:val="none"/>
              </w:rPr>
              <w:t>′</w:t>
            </w:r>
            <w:r>
              <w:rPr>
                <w:rFonts w:hint="eastAsia"/>
                <w:color w:val="auto"/>
                <w:szCs w:val="28"/>
                <w:highlight w:val="none"/>
              </w:rPr>
              <w:t>26</w:t>
            </w:r>
            <w:r>
              <w:rPr>
                <w:color w:val="auto"/>
                <w:szCs w:val="28"/>
                <w:highlight w:val="none"/>
              </w:rPr>
              <w:t>″～103°</w:t>
            </w:r>
            <w:r>
              <w:rPr>
                <w:rFonts w:hint="eastAsia"/>
                <w:color w:val="auto"/>
                <w:szCs w:val="28"/>
                <w:highlight w:val="none"/>
              </w:rPr>
              <w:t>04</w:t>
            </w:r>
            <w:r>
              <w:rPr>
                <w:color w:val="auto"/>
                <w:szCs w:val="28"/>
                <w:highlight w:val="none"/>
              </w:rPr>
              <w:t>′</w:t>
            </w:r>
            <w:r>
              <w:rPr>
                <w:rFonts w:hint="eastAsia"/>
                <w:color w:val="auto"/>
                <w:szCs w:val="28"/>
                <w:highlight w:val="none"/>
              </w:rPr>
              <w:t>46</w:t>
            </w:r>
            <w:r>
              <w:rPr>
                <w:color w:val="auto"/>
                <w:szCs w:val="28"/>
                <w:highlight w:val="none"/>
              </w:rPr>
              <w:t>″，北纬26°</w:t>
            </w:r>
            <w:r>
              <w:rPr>
                <w:rFonts w:hint="eastAsia"/>
                <w:color w:val="auto"/>
                <w:szCs w:val="28"/>
                <w:highlight w:val="none"/>
              </w:rPr>
              <w:t>22</w:t>
            </w:r>
            <w:r>
              <w:rPr>
                <w:color w:val="auto"/>
                <w:szCs w:val="28"/>
                <w:highlight w:val="none"/>
              </w:rPr>
              <w:t>′5</w:t>
            </w:r>
            <w:r>
              <w:rPr>
                <w:rFonts w:hint="eastAsia"/>
                <w:color w:val="auto"/>
                <w:szCs w:val="28"/>
                <w:highlight w:val="none"/>
              </w:rPr>
              <w:t>8</w:t>
            </w:r>
            <w:r>
              <w:rPr>
                <w:color w:val="auto"/>
                <w:szCs w:val="28"/>
                <w:highlight w:val="none"/>
              </w:rPr>
              <w:t>″～26°</w:t>
            </w:r>
            <w:r>
              <w:rPr>
                <w:rFonts w:hint="eastAsia"/>
                <w:color w:val="auto"/>
                <w:szCs w:val="28"/>
                <w:highlight w:val="none"/>
              </w:rPr>
              <w:t>23</w:t>
            </w:r>
            <w:r>
              <w:rPr>
                <w:color w:val="auto"/>
                <w:szCs w:val="28"/>
                <w:highlight w:val="none"/>
              </w:rPr>
              <w:t>′0</w:t>
            </w:r>
            <w:r>
              <w:rPr>
                <w:rFonts w:hint="eastAsia"/>
                <w:color w:val="auto"/>
                <w:szCs w:val="28"/>
                <w:highlight w:val="none"/>
              </w:rPr>
              <w:t>8</w:t>
            </w:r>
            <w:r>
              <w:rPr>
                <w:color w:val="auto"/>
                <w:szCs w:val="28"/>
                <w:highlight w:val="none"/>
              </w:rPr>
              <w:t>″。拐点坐标见表1-</w:t>
            </w:r>
            <w:r>
              <w:rPr>
                <w:rFonts w:hint="eastAsia"/>
                <w:color w:val="auto"/>
                <w:szCs w:val="28"/>
                <w:highlight w:val="none"/>
                <w:lang w:val="en-US" w:eastAsia="zh-CN"/>
              </w:rPr>
              <w:t>4</w:t>
            </w:r>
            <w:r>
              <w:rPr>
                <w:color w:val="auto"/>
                <w:szCs w:val="28"/>
                <w:highlight w:val="none"/>
              </w:rPr>
              <w:t>。</w:t>
            </w:r>
            <w:r>
              <w:rPr>
                <w:rFonts w:hint="eastAsia"/>
                <w:color w:val="auto"/>
                <w:szCs w:val="28"/>
                <w:highlight w:val="none"/>
                <w:lang w:val="en-US" w:eastAsia="zh-CN"/>
              </w:rPr>
              <w:t>采区</w:t>
            </w:r>
            <w:r>
              <w:rPr>
                <w:color w:val="auto"/>
                <w:szCs w:val="28"/>
                <w:highlight w:val="none"/>
              </w:rPr>
              <w:t>关系见图1</w:t>
            </w:r>
            <w:r>
              <w:rPr>
                <w:rFonts w:hint="eastAsia"/>
                <w:color w:val="auto"/>
                <w:szCs w:val="28"/>
                <w:highlight w:val="none"/>
              </w:rPr>
              <w:t>。</w:t>
            </w:r>
          </w:p>
          <w:p w14:paraId="540A4346">
            <w:pPr>
              <w:snapToGrid/>
              <w:ind w:firstLine="0" w:firstLineChars="0"/>
              <w:jc w:val="center"/>
              <w:rPr>
                <w:rFonts w:hint="eastAsia"/>
                <w:b/>
                <w:color w:val="auto"/>
                <w:sz w:val="21"/>
                <w:szCs w:val="21"/>
                <w:highlight w:val="none"/>
              </w:rPr>
            </w:pPr>
            <w:r>
              <w:rPr>
                <w:rFonts w:hint="eastAsia"/>
                <w:b/>
                <w:color w:val="auto"/>
                <w:sz w:val="21"/>
                <w:szCs w:val="21"/>
                <w:highlight w:val="none"/>
              </w:rPr>
              <w:t>表1-</w:t>
            </w:r>
            <w:r>
              <w:rPr>
                <w:rFonts w:hint="eastAsia"/>
                <w:b/>
                <w:color w:val="auto"/>
                <w:sz w:val="21"/>
                <w:szCs w:val="21"/>
                <w:highlight w:val="none"/>
                <w:lang w:val="en-US" w:eastAsia="zh-CN"/>
              </w:rPr>
              <w:t>4</w:t>
            </w:r>
            <w:r>
              <w:rPr>
                <w:rFonts w:hint="eastAsia"/>
                <w:b/>
                <w:color w:val="auto"/>
                <w:sz w:val="21"/>
                <w:szCs w:val="21"/>
                <w:highlight w:val="none"/>
              </w:rPr>
              <w:t xml:space="preserve">  矿区范围拐点坐标表</w:t>
            </w:r>
          </w:p>
          <w:tbl>
            <w:tblPr>
              <w:tblStyle w:val="22"/>
              <w:tblW w:w="9347" w:type="dxa"/>
              <w:jc w:val="center"/>
              <w:tblLayout w:type="autofit"/>
              <w:tblCellMar>
                <w:top w:w="0" w:type="dxa"/>
                <w:left w:w="108" w:type="dxa"/>
                <w:bottom w:w="0" w:type="dxa"/>
                <w:right w:w="108" w:type="dxa"/>
              </w:tblCellMar>
            </w:tblPr>
            <w:tblGrid>
              <w:gridCol w:w="644"/>
              <w:gridCol w:w="1309"/>
              <w:gridCol w:w="1504"/>
              <w:gridCol w:w="1198"/>
              <w:gridCol w:w="1196"/>
              <w:gridCol w:w="1208"/>
              <w:gridCol w:w="1247"/>
            </w:tblGrid>
            <w:tr w14:paraId="7BE60326">
              <w:tblPrEx>
                <w:tblCellMar>
                  <w:top w:w="0" w:type="dxa"/>
                  <w:left w:w="108" w:type="dxa"/>
                  <w:bottom w:w="0" w:type="dxa"/>
                  <w:right w:w="108" w:type="dxa"/>
                </w:tblCellMar>
              </w:tblPrEx>
              <w:trPr>
                <w:trHeight w:val="439" w:hRule="atLeast"/>
                <w:jc w:val="center"/>
              </w:trPr>
              <w:tc>
                <w:tcPr>
                  <w:tcW w:w="710" w:type="dxa"/>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14:paraId="3656211D">
                  <w:pPr>
                    <w:widowControl/>
                    <w:snapToGrid/>
                    <w:spacing w:line="240" w:lineRule="auto"/>
                    <w:ind w:firstLine="0" w:firstLineChars="0"/>
                    <w:jc w:val="center"/>
                    <w:rPr>
                      <w:rFonts w:cs="宋体"/>
                      <w:b/>
                      <w:color w:val="auto"/>
                      <w:kern w:val="0"/>
                      <w:sz w:val="21"/>
                      <w:szCs w:val="21"/>
                      <w:highlight w:val="none"/>
                    </w:rPr>
                  </w:pPr>
                  <w:r>
                    <w:rPr>
                      <w:rFonts w:hint="eastAsia" w:cs="宋体"/>
                      <w:b/>
                      <w:color w:val="auto"/>
                      <w:kern w:val="0"/>
                      <w:sz w:val="21"/>
                      <w:szCs w:val="21"/>
                      <w:highlight w:val="none"/>
                    </w:rPr>
                    <w:t>拐点编号</w:t>
                  </w:r>
                </w:p>
              </w:tc>
              <w:tc>
                <w:tcPr>
                  <w:tcW w:w="3178" w:type="dxa"/>
                  <w:gridSpan w:val="2"/>
                  <w:tcBorders>
                    <w:top w:val="single" w:color="auto" w:sz="8" w:space="0"/>
                    <w:left w:val="nil"/>
                    <w:bottom w:val="single" w:color="auto" w:sz="4" w:space="0"/>
                    <w:right w:val="single" w:color="000000" w:sz="8" w:space="0"/>
                  </w:tcBorders>
                  <w:shd w:val="clear" w:color="auto" w:fill="auto"/>
                  <w:noWrap w:val="0"/>
                  <w:vAlign w:val="center"/>
                </w:tcPr>
                <w:p w14:paraId="469AC5C7">
                  <w:pPr>
                    <w:widowControl/>
                    <w:snapToGrid/>
                    <w:spacing w:line="240" w:lineRule="auto"/>
                    <w:ind w:firstLine="0" w:firstLineChars="0"/>
                    <w:jc w:val="center"/>
                    <w:rPr>
                      <w:rFonts w:cs="宋体"/>
                      <w:b/>
                      <w:color w:val="auto"/>
                      <w:kern w:val="0"/>
                      <w:sz w:val="21"/>
                      <w:szCs w:val="21"/>
                      <w:highlight w:val="none"/>
                    </w:rPr>
                  </w:pPr>
                  <w:r>
                    <w:rPr>
                      <w:rFonts w:hint="eastAsia" w:cs="宋体"/>
                      <w:b/>
                      <w:color w:val="auto"/>
                      <w:kern w:val="0"/>
                      <w:sz w:val="21"/>
                      <w:szCs w:val="21"/>
                      <w:highlight w:val="none"/>
                    </w:rPr>
                    <w:t>地理坐标（西安80）</w:t>
                  </w:r>
                </w:p>
              </w:tc>
              <w:tc>
                <w:tcPr>
                  <w:tcW w:w="2694" w:type="dxa"/>
                  <w:gridSpan w:val="2"/>
                  <w:tcBorders>
                    <w:top w:val="single" w:color="auto" w:sz="8" w:space="0"/>
                    <w:left w:val="nil"/>
                    <w:bottom w:val="single" w:color="auto" w:sz="8" w:space="0"/>
                    <w:right w:val="single" w:color="000000" w:sz="8" w:space="0"/>
                  </w:tcBorders>
                  <w:shd w:val="clear" w:color="auto" w:fill="auto"/>
                  <w:noWrap w:val="0"/>
                  <w:vAlign w:val="center"/>
                </w:tcPr>
                <w:p w14:paraId="59B5CA1B">
                  <w:pPr>
                    <w:widowControl/>
                    <w:snapToGrid/>
                    <w:spacing w:line="240" w:lineRule="auto"/>
                    <w:ind w:firstLine="0" w:firstLineChars="0"/>
                    <w:jc w:val="center"/>
                    <w:rPr>
                      <w:rFonts w:cs="宋体"/>
                      <w:b/>
                      <w:color w:val="auto"/>
                      <w:kern w:val="0"/>
                      <w:sz w:val="21"/>
                      <w:szCs w:val="21"/>
                      <w:highlight w:val="none"/>
                    </w:rPr>
                  </w:pPr>
                  <w:r>
                    <w:rPr>
                      <w:rFonts w:hint="eastAsia"/>
                      <w:b/>
                      <w:color w:val="auto"/>
                      <w:kern w:val="0"/>
                      <w:sz w:val="21"/>
                      <w:szCs w:val="21"/>
                      <w:highlight w:val="none"/>
                    </w:rPr>
                    <w:t>直角</w:t>
                  </w:r>
                  <w:r>
                    <w:rPr>
                      <w:rFonts w:hint="eastAsia" w:cs="宋体"/>
                      <w:b/>
                      <w:color w:val="auto"/>
                      <w:kern w:val="0"/>
                      <w:sz w:val="21"/>
                      <w:szCs w:val="21"/>
                      <w:highlight w:val="none"/>
                    </w:rPr>
                    <w:t>坐标（西安</w:t>
                  </w:r>
                  <w:r>
                    <w:rPr>
                      <w:b/>
                      <w:color w:val="auto"/>
                      <w:kern w:val="0"/>
                      <w:sz w:val="21"/>
                      <w:szCs w:val="21"/>
                      <w:highlight w:val="none"/>
                    </w:rPr>
                    <w:t>80</w:t>
                  </w:r>
                  <w:r>
                    <w:rPr>
                      <w:rFonts w:hint="eastAsia" w:cs="宋体"/>
                      <w:b/>
                      <w:color w:val="auto"/>
                      <w:kern w:val="0"/>
                      <w:sz w:val="21"/>
                      <w:szCs w:val="21"/>
                      <w:highlight w:val="none"/>
                    </w:rPr>
                    <w:t>）</w:t>
                  </w:r>
                </w:p>
              </w:tc>
              <w:tc>
                <w:tcPr>
                  <w:tcW w:w="2765" w:type="dxa"/>
                  <w:gridSpan w:val="2"/>
                  <w:tcBorders>
                    <w:top w:val="single" w:color="auto" w:sz="8" w:space="0"/>
                    <w:left w:val="nil"/>
                    <w:bottom w:val="single" w:color="auto" w:sz="8" w:space="0"/>
                    <w:right w:val="single" w:color="000000" w:sz="8" w:space="0"/>
                  </w:tcBorders>
                  <w:shd w:val="clear" w:color="auto" w:fill="auto"/>
                  <w:noWrap w:val="0"/>
                  <w:vAlign w:val="center"/>
                </w:tcPr>
                <w:p w14:paraId="118515DC">
                  <w:pPr>
                    <w:widowControl/>
                    <w:snapToGrid/>
                    <w:spacing w:line="240" w:lineRule="auto"/>
                    <w:ind w:firstLine="0" w:firstLineChars="0"/>
                    <w:jc w:val="center"/>
                    <w:rPr>
                      <w:rFonts w:cs="宋体"/>
                      <w:b/>
                      <w:color w:val="auto"/>
                      <w:kern w:val="0"/>
                      <w:sz w:val="21"/>
                      <w:szCs w:val="21"/>
                      <w:highlight w:val="none"/>
                    </w:rPr>
                  </w:pPr>
                  <w:r>
                    <w:rPr>
                      <w:rFonts w:hint="eastAsia" w:cs="宋体"/>
                      <w:b/>
                      <w:color w:val="auto"/>
                      <w:kern w:val="0"/>
                      <w:sz w:val="21"/>
                      <w:szCs w:val="21"/>
                      <w:highlight w:val="none"/>
                    </w:rPr>
                    <w:t>国家</w:t>
                  </w:r>
                  <w:r>
                    <w:rPr>
                      <w:b/>
                      <w:color w:val="auto"/>
                      <w:kern w:val="0"/>
                      <w:sz w:val="21"/>
                      <w:szCs w:val="21"/>
                      <w:highlight w:val="none"/>
                    </w:rPr>
                    <w:t>2000</w:t>
                  </w:r>
                  <w:r>
                    <w:rPr>
                      <w:rFonts w:hint="eastAsia" w:cs="宋体"/>
                      <w:b/>
                      <w:color w:val="auto"/>
                      <w:kern w:val="0"/>
                      <w:sz w:val="21"/>
                      <w:szCs w:val="21"/>
                      <w:highlight w:val="none"/>
                    </w:rPr>
                    <w:t>大地坐标</w:t>
                  </w:r>
                </w:p>
              </w:tc>
            </w:tr>
            <w:tr w14:paraId="3E42AD86">
              <w:tblPrEx>
                <w:tblCellMar>
                  <w:top w:w="0" w:type="dxa"/>
                  <w:left w:w="108" w:type="dxa"/>
                  <w:bottom w:w="0" w:type="dxa"/>
                  <w:right w:w="108" w:type="dxa"/>
                </w:tblCellMar>
              </w:tblPrEx>
              <w:trPr>
                <w:trHeight w:val="285" w:hRule="atLeast"/>
                <w:jc w:val="center"/>
              </w:trPr>
              <w:tc>
                <w:tcPr>
                  <w:tcW w:w="710"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14:paraId="746B5ECF">
                  <w:pPr>
                    <w:widowControl/>
                    <w:snapToGrid/>
                    <w:spacing w:line="240" w:lineRule="auto"/>
                    <w:ind w:firstLine="0" w:firstLineChars="0"/>
                    <w:jc w:val="left"/>
                    <w:rPr>
                      <w:rFonts w:cs="宋体"/>
                      <w:b/>
                      <w:color w:val="auto"/>
                      <w:kern w:val="0"/>
                      <w:sz w:val="21"/>
                      <w:szCs w:val="21"/>
                      <w:highlight w:val="none"/>
                    </w:rPr>
                  </w:pPr>
                </w:p>
              </w:tc>
              <w:tc>
                <w:tcPr>
                  <w:tcW w:w="1477" w:type="dxa"/>
                  <w:tcBorders>
                    <w:top w:val="single" w:color="auto" w:sz="4" w:space="0"/>
                    <w:left w:val="nil"/>
                    <w:bottom w:val="single" w:color="auto" w:sz="8" w:space="0"/>
                    <w:right w:val="single" w:color="auto" w:sz="8" w:space="0"/>
                  </w:tcBorders>
                  <w:shd w:val="clear" w:color="auto" w:fill="auto"/>
                  <w:noWrap w:val="0"/>
                  <w:vAlign w:val="center"/>
                </w:tcPr>
                <w:p w14:paraId="65F20B96">
                  <w:pPr>
                    <w:widowControl/>
                    <w:snapToGrid/>
                    <w:spacing w:line="240" w:lineRule="auto"/>
                    <w:ind w:firstLine="0" w:firstLineChars="0"/>
                    <w:jc w:val="center"/>
                    <w:rPr>
                      <w:rFonts w:cs="宋体"/>
                      <w:b/>
                      <w:color w:val="auto"/>
                      <w:kern w:val="0"/>
                      <w:sz w:val="21"/>
                      <w:szCs w:val="21"/>
                      <w:highlight w:val="none"/>
                    </w:rPr>
                  </w:pPr>
                  <w:r>
                    <w:rPr>
                      <w:rFonts w:hint="eastAsia" w:cs="宋体"/>
                      <w:b/>
                      <w:color w:val="auto"/>
                      <w:kern w:val="0"/>
                      <w:sz w:val="21"/>
                      <w:szCs w:val="21"/>
                      <w:highlight w:val="none"/>
                    </w:rPr>
                    <w:t>北纬</w:t>
                  </w:r>
                </w:p>
              </w:tc>
              <w:tc>
                <w:tcPr>
                  <w:tcW w:w="1701" w:type="dxa"/>
                  <w:tcBorders>
                    <w:top w:val="single" w:color="auto" w:sz="4" w:space="0"/>
                    <w:left w:val="nil"/>
                    <w:bottom w:val="single" w:color="auto" w:sz="8" w:space="0"/>
                    <w:right w:val="single" w:color="auto" w:sz="8" w:space="0"/>
                  </w:tcBorders>
                  <w:shd w:val="clear" w:color="auto" w:fill="auto"/>
                  <w:noWrap w:val="0"/>
                  <w:vAlign w:val="center"/>
                </w:tcPr>
                <w:p w14:paraId="5E1BFF3D">
                  <w:pPr>
                    <w:widowControl/>
                    <w:snapToGrid/>
                    <w:spacing w:line="240" w:lineRule="auto"/>
                    <w:ind w:firstLine="0" w:firstLineChars="0"/>
                    <w:jc w:val="center"/>
                    <w:rPr>
                      <w:rFonts w:cs="宋体"/>
                      <w:b/>
                      <w:color w:val="auto"/>
                      <w:kern w:val="0"/>
                      <w:sz w:val="21"/>
                      <w:szCs w:val="21"/>
                      <w:highlight w:val="none"/>
                    </w:rPr>
                  </w:pPr>
                  <w:r>
                    <w:rPr>
                      <w:rFonts w:hint="eastAsia" w:cs="宋体"/>
                      <w:b/>
                      <w:color w:val="auto"/>
                      <w:kern w:val="0"/>
                      <w:sz w:val="21"/>
                      <w:szCs w:val="21"/>
                      <w:highlight w:val="none"/>
                    </w:rPr>
                    <w:t>东经</w:t>
                  </w:r>
                </w:p>
              </w:tc>
              <w:tc>
                <w:tcPr>
                  <w:tcW w:w="1348" w:type="dxa"/>
                  <w:tcBorders>
                    <w:top w:val="nil"/>
                    <w:left w:val="nil"/>
                    <w:bottom w:val="single" w:color="auto" w:sz="8" w:space="0"/>
                    <w:right w:val="single" w:color="auto" w:sz="8" w:space="0"/>
                  </w:tcBorders>
                  <w:shd w:val="clear" w:color="auto" w:fill="auto"/>
                  <w:noWrap w:val="0"/>
                  <w:vAlign w:val="center"/>
                </w:tcPr>
                <w:p w14:paraId="389182ED">
                  <w:pPr>
                    <w:widowControl/>
                    <w:snapToGrid/>
                    <w:spacing w:line="240" w:lineRule="auto"/>
                    <w:ind w:firstLine="0" w:firstLineChars="0"/>
                    <w:jc w:val="center"/>
                    <w:rPr>
                      <w:b/>
                      <w:color w:val="auto"/>
                      <w:kern w:val="0"/>
                      <w:sz w:val="21"/>
                      <w:szCs w:val="21"/>
                      <w:highlight w:val="none"/>
                    </w:rPr>
                  </w:pPr>
                  <w:r>
                    <w:rPr>
                      <w:b/>
                      <w:color w:val="auto"/>
                      <w:kern w:val="0"/>
                      <w:sz w:val="21"/>
                      <w:szCs w:val="21"/>
                      <w:highlight w:val="none"/>
                    </w:rPr>
                    <w:t>X</w:t>
                  </w:r>
                </w:p>
              </w:tc>
              <w:tc>
                <w:tcPr>
                  <w:tcW w:w="1346" w:type="dxa"/>
                  <w:tcBorders>
                    <w:top w:val="nil"/>
                    <w:left w:val="nil"/>
                    <w:bottom w:val="single" w:color="auto" w:sz="8" w:space="0"/>
                    <w:right w:val="single" w:color="auto" w:sz="8" w:space="0"/>
                  </w:tcBorders>
                  <w:shd w:val="clear" w:color="auto" w:fill="auto"/>
                  <w:noWrap w:val="0"/>
                  <w:vAlign w:val="center"/>
                </w:tcPr>
                <w:p w14:paraId="0C18DA32">
                  <w:pPr>
                    <w:widowControl/>
                    <w:snapToGrid/>
                    <w:spacing w:line="240" w:lineRule="auto"/>
                    <w:ind w:firstLine="0" w:firstLineChars="0"/>
                    <w:jc w:val="center"/>
                    <w:rPr>
                      <w:b/>
                      <w:color w:val="auto"/>
                      <w:kern w:val="0"/>
                      <w:sz w:val="21"/>
                      <w:szCs w:val="21"/>
                      <w:highlight w:val="none"/>
                    </w:rPr>
                  </w:pPr>
                  <w:r>
                    <w:rPr>
                      <w:b/>
                      <w:color w:val="auto"/>
                      <w:kern w:val="0"/>
                      <w:sz w:val="21"/>
                      <w:szCs w:val="21"/>
                      <w:highlight w:val="none"/>
                    </w:rPr>
                    <w:t>Y</w:t>
                  </w:r>
                </w:p>
              </w:tc>
              <w:tc>
                <w:tcPr>
                  <w:tcW w:w="1360" w:type="dxa"/>
                  <w:tcBorders>
                    <w:top w:val="nil"/>
                    <w:left w:val="nil"/>
                    <w:bottom w:val="single" w:color="auto" w:sz="8" w:space="0"/>
                    <w:right w:val="single" w:color="auto" w:sz="8" w:space="0"/>
                  </w:tcBorders>
                  <w:shd w:val="clear" w:color="auto" w:fill="auto"/>
                  <w:noWrap w:val="0"/>
                  <w:vAlign w:val="center"/>
                </w:tcPr>
                <w:p w14:paraId="1A0EF7CA">
                  <w:pPr>
                    <w:widowControl/>
                    <w:snapToGrid/>
                    <w:spacing w:line="240" w:lineRule="auto"/>
                    <w:ind w:firstLine="0" w:firstLineChars="0"/>
                    <w:jc w:val="center"/>
                    <w:rPr>
                      <w:b/>
                      <w:color w:val="auto"/>
                      <w:kern w:val="0"/>
                      <w:sz w:val="21"/>
                      <w:szCs w:val="21"/>
                      <w:highlight w:val="none"/>
                    </w:rPr>
                  </w:pPr>
                  <w:r>
                    <w:rPr>
                      <w:b/>
                      <w:color w:val="auto"/>
                      <w:kern w:val="0"/>
                      <w:sz w:val="21"/>
                      <w:szCs w:val="21"/>
                      <w:highlight w:val="none"/>
                    </w:rPr>
                    <w:t>X</w:t>
                  </w:r>
                </w:p>
              </w:tc>
              <w:tc>
                <w:tcPr>
                  <w:tcW w:w="1405" w:type="dxa"/>
                  <w:tcBorders>
                    <w:top w:val="nil"/>
                    <w:left w:val="nil"/>
                    <w:bottom w:val="single" w:color="auto" w:sz="8" w:space="0"/>
                    <w:right w:val="single" w:color="auto" w:sz="8" w:space="0"/>
                  </w:tcBorders>
                  <w:shd w:val="clear" w:color="auto" w:fill="auto"/>
                  <w:noWrap w:val="0"/>
                  <w:vAlign w:val="center"/>
                </w:tcPr>
                <w:p w14:paraId="08117F29">
                  <w:pPr>
                    <w:widowControl/>
                    <w:snapToGrid/>
                    <w:ind w:firstLine="0" w:firstLineChars="0"/>
                    <w:jc w:val="center"/>
                    <w:rPr>
                      <w:b/>
                      <w:color w:val="auto"/>
                      <w:kern w:val="0"/>
                      <w:sz w:val="21"/>
                      <w:szCs w:val="21"/>
                      <w:highlight w:val="none"/>
                    </w:rPr>
                  </w:pPr>
                  <w:r>
                    <w:rPr>
                      <w:b/>
                      <w:color w:val="auto"/>
                      <w:kern w:val="0"/>
                      <w:sz w:val="21"/>
                      <w:szCs w:val="21"/>
                      <w:highlight w:val="none"/>
                    </w:rPr>
                    <w:t>Y</w:t>
                  </w:r>
                </w:p>
              </w:tc>
            </w:tr>
            <w:tr w14:paraId="5AE04A4E">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4C011A47">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1</w:t>
                  </w:r>
                </w:p>
              </w:tc>
              <w:tc>
                <w:tcPr>
                  <w:tcW w:w="1477" w:type="dxa"/>
                  <w:tcBorders>
                    <w:top w:val="nil"/>
                    <w:left w:val="nil"/>
                    <w:bottom w:val="single" w:color="auto" w:sz="8" w:space="0"/>
                    <w:right w:val="single" w:color="auto" w:sz="8" w:space="0"/>
                  </w:tcBorders>
                  <w:shd w:val="clear" w:color="auto" w:fill="auto"/>
                  <w:noWrap/>
                  <w:vAlign w:val="center"/>
                </w:tcPr>
                <w:p w14:paraId="21B0E138">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26°23′08″</w:t>
                  </w:r>
                </w:p>
              </w:tc>
              <w:tc>
                <w:tcPr>
                  <w:tcW w:w="1701" w:type="dxa"/>
                  <w:tcBorders>
                    <w:top w:val="nil"/>
                    <w:left w:val="nil"/>
                    <w:bottom w:val="single" w:color="auto" w:sz="8" w:space="0"/>
                    <w:right w:val="single" w:color="auto" w:sz="8" w:space="0"/>
                  </w:tcBorders>
                  <w:shd w:val="clear" w:color="auto" w:fill="auto"/>
                  <w:noWrap/>
                  <w:vAlign w:val="center"/>
                </w:tcPr>
                <w:p w14:paraId="1580CD2C">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103°04′46″</w:t>
                  </w:r>
                </w:p>
              </w:tc>
              <w:tc>
                <w:tcPr>
                  <w:tcW w:w="1348" w:type="dxa"/>
                  <w:tcBorders>
                    <w:top w:val="nil"/>
                    <w:left w:val="nil"/>
                    <w:bottom w:val="single" w:color="auto" w:sz="8" w:space="0"/>
                    <w:right w:val="single" w:color="auto" w:sz="8" w:space="0"/>
                  </w:tcBorders>
                  <w:shd w:val="clear" w:color="auto" w:fill="auto"/>
                  <w:noWrap/>
                  <w:vAlign w:val="center"/>
                </w:tcPr>
                <w:p w14:paraId="35947ECA">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2920002.99</w:t>
                  </w:r>
                </w:p>
              </w:tc>
              <w:tc>
                <w:tcPr>
                  <w:tcW w:w="1346" w:type="dxa"/>
                  <w:tcBorders>
                    <w:top w:val="nil"/>
                    <w:left w:val="nil"/>
                    <w:bottom w:val="single" w:color="auto" w:sz="8" w:space="0"/>
                    <w:right w:val="single" w:color="auto" w:sz="8" w:space="0"/>
                  </w:tcBorders>
                  <w:shd w:val="clear" w:color="auto" w:fill="auto"/>
                  <w:noWrap/>
                  <w:vAlign w:val="center"/>
                </w:tcPr>
                <w:p w14:paraId="62568BC2">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34607720.23</w:t>
                  </w:r>
                </w:p>
              </w:tc>
              <w:tc>
                <w:tcPr>
                  <w:tcW w:w="1360" w:type="dxa"/>
                  <w:tcBorders>
                    <w:top w:val="nil"/>
                    <w:left w:val="nil"/>
                    <w:bottom w:val="single" w:color="auto" w:sz="8" w:space="0"/>
                    <w:right w:val="single" w:color="auto" w:sz="8" w:space="0"/>
                  </w:tcBorders>
                  <w:shd w:val="clear" w:color="auto" w:fill="auto"/>
                  <w:noWrap/>
                  <w:vAlign w:val="top"/>
                </w:tcPr>
                <w:p w14:paraId="46A45D8D">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2920010.85</w:t>
                  </w:r>
                </w:p>
              </w:tc>
              <w:tc>
                <w:tcPr>
                  <w:tcW w:w="1405" w:type="dxa"/>
                  <w:tcBorders>
                    <w:top w:val="nil"/>
                    <w:left w:val="nil"/>
                    <w:bottom w:val="single" w:color="auto" w:sz="8" w:space="0"/>
                    <w:right w:val="single" w:color="auto" w:sz="8" w:space="0"/>
                  </w:tcBorders>
                  <w:shd w:val="clear" w:color="auto" w:fill="auto"/>
                  <w:noWrap/>
                  <w:vAlign w:val="top"/>
                </w:tcPr>
                <w:p w14:paraId="54770D43">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34607831.47</w:t>
                  </w:r>
                </w:p>
              </w:tc>
            </w:tr>
            <w:tr w14:paraId="6727FC0A">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25055B6D">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2</w:t>
                  </w:r>
                </w:p>
              </w:tc>
              <w:tc>
                <w:tcPr>
                  <w:tcW w:w="1477" w:type="dxa"/>
                  <w:tcBorders>
                    <w:top w:val="nil"/>
                    <w:left w:val="nil"/>
                    <w:bottom w:val="single" w:color="auto" w:sz="8" w:space="0"/>
                    <w:right w:val="single" w:color="auto" w:sz="8" w:space="0"/>
                  </w:tcBorders>
                  <w:shd w:val="clear" w:color="auto" w:fill="auto"/>
                  <w:noWrap/>
                  <w:vAlign w:val="center"/>
                </w:tcPr>
                <w:p w14:paraId="42C9F603">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26°23′07″</w:t>
                  </w:r>
                </w:p>
              </w:tc>
              <w:tc>
                <w:tcPr>
                  <w:tcW w:w="1701" w:type="dxa"/>
                  <w:tcBorders>
                    <w:top w:val="nil"/>
                    <w:left w:val="nil"/>
                    <w:bottom w:val="single" w:color="auto" w:sz="8" w:space="0"/>
                    <w:right w:val="single" w:color="auto" w:sz="8" w:space="0"/>
                  </w:tcBorders>
                  <w:shd w:val="clear" w:color="auto" w:fill="auto"/>
                  <w:noWrap/>
                  <w:vAlign w:val="center"/>
                </w:tcPr>
                <w:p w14:paraId="5BC72B47">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103°04′29″</w:t>
                  </w:r>
                </w:p>
              </w:tc>
              <w:tc>
                <w:tcPr>
                  <w:tcW w:w="1348" w:type="dxa"/>
                  <w:tcBorders>
                    <w:top w:val="nil"/>
                    <w:left w:val="nil"/>
                    <w:bottom w:val="single" w:color="auto" w:sz="8" w:space="0"/>
                    <w:right w:val="single" w:color="auto" w:sz="8" w:space="0"/>
                  </w:tcBorders>
                  <w:shd w:val="clear" w:color="auto" w:fill="auto"/>
                  <w:noWrap/>
                  <w:vAlign w:val="center"/>
                </w:tcPr>
                <w:p w14:paraId="21D15C37">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2919971.25</w:t>
                  </w:r>
                </w:p>
              </w:tc>
              <w:tc>
                <w:tcPr>
                  <w:tcW w:w="1346" w:type="dxa"/>
                  <w:tcBorders>
                    <w:top w:val="nil"/>
                    <w:left w:val="nil"/>
                    <w:bottom w:val="single" w:color="auto" w:sz="8" w:space="0"/>
                    <w:right w:val="single" w:color="auto" w:sz="8" w:space="0"/>
                  </w:tcBorders>
                  <w:shd w:val="clear" w:color="auto" w:fill="auto"/>
                  <w:noWrap/>
                  <w:vAlign w:val="center"/>
                </w:tcPr>
                <w:p w14:paraId="5F8887D4">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34607249.27</w:t>
                  </w:r>
                </w:p>
              </w:tc>
              <w:tc>
                <w:tcPr>
                  <w:tcW w:w="1360" w:type="dxa"/>
                  <w:tcBorders>
                    <w:top w:val="nil"/>
                    <w:left w:val="nil"/>
                    <w:bottom w:val="single" w:color="auto" w:sz="8" w:space="0"/>
                    <w:right w:val="single" w:color="auto" w:sz="8" w:space="0"/>
                  </w:tcBorders>
                  <w:shd w:val="clear" w:color="auto" w:fill="auto"/>
                  <w:noWrap/>
                  <w:vAlign w:val="top"/>
                </w:tcPr>
                <w:p w14:paraId="5B103687">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2919979.11</w:t>
                  </w:r>
                </w:p>
              </w:tc>
              <w:tc>
                <w:tcPr>
                  <w:tcW w:w="1405" w:type="dxa"/>
                  <w:tcBorders>
                    <w:top w:val="nil"/>
                    <w:left w:val="nil"/>
                    <w:bottom w:val="single" w:color="auto" w:sz="8" w:space="0"/>
                    <w:right w:val="single" w:color="auto" w:sz="8" w:space="0"/>
                  </w:tcBorders>
                  <w:shd w:val="clear" w:color="auto" w:fill="auto"/>
                  <w:noWrap/>
                  <w:vAlign w:val="top"/>
                </w:tcPr>
                <w:p w14:paraId="26AC113B">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34607360.51</w:t>
                  </w:r>
                </w:p>
              </w:tc>
            </w:tr>
            <w:tr w14:paraId="05B62AE2">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6E2964ED">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3</w:t>
                  </w:r>
                </w:p>
              </w:tc>
              <w:tc>
                <w:tcPr>
                  <w:tcW w:w="1477" w:type="dxa"/>
                  <w:tcBorders>
                    <w:top w:val="nil"/>
                    <w:left w:val="nil"/>
                    <w:bottom w:val="single" w:color="auto" w:sz="8" w:space="0"/>
                    <w:right w:val="single" w:color="auto" w:sz="8" w:space="0"/>
                  </w:tcBorders>
                  <w:shd w:val="clear" w:color="auto" w:fill="auto"/>
                  <w:noWrap/>
                  <w:vAlign w:val="center"/>
                </w:tcPr>
                <w:p w14:paraId="3A7EB270">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26°23′00″</w:t>
                  </w:r>
                </w:p>
              </w:tc>
              <w:tc>
                <w:tcPr>
                  <w:tcW w:w="1701" w:type="dxa"/>
                  <w:tcBorders>
                    <w:top w:val="nil"/>
                    <w:left w:val="nil"/>
                    <w:bottom w:val="single" w:color="auto" w:sz="8" w:space="0"/>
                    <w:right w:val="single" w:color="auto" w:sz="8" w:space="0"/>
                  </w:tcBorders>
                  <w:shd w:val="clear" w:color="auto" w:fill="auto"/>
                  <w:noWrap/>
                  <w:vAlign w:val="center"/>
                </w:tcPr>
                <w:p w14:paraId="6464BB90">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103°04′26″</w:t>
                  </w:r>
                </w:p>
              </w:tc>
              <w:tc>
                <w:tcPr>
                  <w:tcW w:w="1348" w:type="dxa"/>
                  <w:tcBorders>
                    <w:top w:val="nil"/>
                    <w:left w:val="nil"/>
                    <w:bottom w:val="single" w:color="auto" w:sz="8" w:space="0"/>
                    <w:right w:val="single" w:color="auto" w:sz="8" w:space="0"/>
                  </w:tcBorders>
                  <w:shd w:val="clear" w:color="auto" w:fill="auto"/>
                  <w:noWrap/>
                  <w:vAlign w:val="center"/>
                </w:tcPr>
                <w:p w14:paraId="64F667FA">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2919772.24</w:t>
                  </w:r>
                </w:p>
              </w:tc>
              <w:tc>
                <w:tcPr>
                  <w:tcW w:w="1346" w:type="dxa"/>
                  <w:tcBorders>
                    <w:top w:val="nil"/>
                    <w:left w:val="nil"/>
                    <w:bottom w:val="single" w:color="auto" w:sz="8" w:space="0"/>
                    <w:right w:val="single" w:color="auto" w:sz="8" w:space="0"/>
                  </w:tcBorders>
                  <w:shd w:val="clear" w:color="auto" w:fill="auto"/>
                  <w:noWrap/>
                  <w:vAlign w:val="center"/>
                </w:tcPr>
                <w:p w14:paraId="25BF7D03">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34607168.10</w:t>
                  </w:r>
                </w:p>
              </w:tc>
              <w:tc>
                <w:tcPr>
                  <w:tcW w:w="1360" w:type="dxa"/>
                  <w:tcBorders>
                    <w:top w:val="nil"/>
                    <w:left w:val="nil"/>
                    <w:bottom w:val="single" w:color="auto" w:sz="8" w:space="0"/>
                    <w:right w:val="single" w:color="auto" w:sz="8" w:space="0"/>
                  </w:tcBorders>
                  <w:shd w:val="clear" w:color="auto" w:fill="auto"/>
                  <w:noWrap/>
                  <w:vAlign w:val="top"/>
                </w:tcPr>
                <w:p w14:paraId="24933C2E">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2919780.09</w:t>
                  </w:r>
                </w:p>
              </w:tc>
              <w:tc>
                <w:tcPr>
                  <w:tcW w:w="1405" w:type="dxa"/>
                  <w:tcBorders>
                    <w:top w:val="nil"/>
                    <w:left w:val="nil"/>
                    <w:bottom w:val="single" w:color="auto" w:sz="8" w:space="0"/>
                    <w:right w:val="single" w:color="auto" w:sz="8" w:space="0"/>
                  </w:tcBorders>
                  <w:shd w:val="clear" w:color="auto" w:fill="auto"/>
                  <w:noWrap/>
                  <w:vAlign w:val="top"/>
                </w:tcPr>
                <w:p w14:paraId="278F70BC">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34607279.33</w:t>
                  </w:r>
                </w:p>
              </w:tc>
            </w:tr>
            <w:tr w14:paraId="3B3B983C">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1BB7D978">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4</w:t>
                  </w:r>
                </w:p>
              </w:tc>
              <w:tc>
                <w:tcPr>
                  <w:tcW w:w="1477" w:type="dxa"/>
                  <w:tcBorders>
                    <w:top w:val="nil"/>
                    <w:left w:val="nil"/>
                    <w:bottom w:val="single" w:color="auto" w:sz="8" w:space="0"/>
                    <w:right w:val="single" w:color="auto" w:sz="8" w:space="0"/>
                  </w:tcBorders>
                  <w:shd w:val="clear" w:color="auto" w:fill="auto"/>
                  <w:noWrap/>
                  <w:vAlign w:val="center"/>
                </w:tcPr>
                <w:p w14:paraId="1B92088B">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26°22′59″</w:t>
                  </w:r>
                </w:p>
              </w:tc>
              <w:tc>
                <w:tcPr>
                  <w:tcW w:w="1701" w:type="dxa"/>
                  <w:tcBorders>
                    <w:top w:val="nil"/>
                    <w:left w:val="nil"/>
                    <w:bottom w:val="single" w:color="auto" w:sz="8" w:space="0"/>
                    <w:right w:val="single" w:color="auto" w:sz="8" w:space="0"/>
                  </w:tcBorders>
                  <w:shd w:val="clear" w:color="auto" w:fill="auto"/>
                  <w:noWrap/>
                  <w:vAlign w:val="center"/>
                </w:tcPr>
                <w:p w14:paraId="7DD4874B">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103°04′30″</w:t>
                  </w:r>
                </w:p>
              </w:tc>
              <w:tc>
                <w:tcPr>
                  <w:tcW w:w="1348" w:type="dxa"/>
                  <w:tcBorders>
                    <w:top w:val="nil"/>
                    <w:left w:val="nil"/>
                    <w:bottom w:val="single" w:color="auto" w:sz="8" w:space="0"/>
                    <w:right w:val="single" w:color="auto" w:sz="8" w:space="0"/>
                  </w:tcBorders>
                  <w:shd w:val="clear" w:color="auto" w:fill="auto"/>
                  <w:noWrap/>
                  <w:vAlign w:val="center"/>
                </w:tcPr>
                <w:p w14:paraId="29627111">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2919736.17</w:t>
                  </w:r>
                </w:p>
              </w:tc>
              <w:tc>
                <w:tcPr>
                  <w:tcW w:w="1346" w:type="dxa"/>
                  <w:tcBorders>
                    <w:top w:val="nil"/>
                    <w:left w:val="nil"/>
                    <w:bottom w:val="single" w:color="auto" w:sz="8" w:space="0"/>
                    <w:right w:val="single" w:color="auto" w:sz="8" w:space="0"/>
                  </w:tcBorders>
                  <w:shd w:val="clear" w:color="auto" w:fill="auto"/>
                  <w:noWrap/>
                  <w:vAlign w:val="center"/>
                </w:tcPr>
                <w:p w14:paraId="610247BB">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34607268.14</w:t>
                  </w:r>
                </w:p>
              </w:tc>
              <w:tc>
                <w:tcPr>
                  <w:tcW w:w="1360" w:type="dxa"/>
                  <w:tcBorders>
                    <w:top w:val="nil"/>
                    <w:left w:val="nil"/>
                    <w:bottom w:val="single" w:color="auto" w:sz="8" w:space="0"/>
                    <w:right w:val="single" w:color="auto" w:sz="8" w:space="0"/>
                  </w:tcBorders>
                  <w:shd w:val="clear" w:color="auto" w:fill="auto"/>
                  <w:noWrap/>
                  <w:vAlign w:val="top"/>
                </w:tcPr>
                <w:p w14:paraId="319D8EC7">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2919744.02</w:t>
                  </w:r>
                </w:p>
              </w:tc>
              <w:tc>
                <w:tcPr>
                  <w:tcW w:w="1405" w:type="dxa"/>
                  <w:tcBorders>
                    <w:top w:val="nil"/>
                    <w:left w:val="nil"/>
                    <w:bottom w:val="single" w:color="auto" w:sz="8" w:space="0"/>
                    <w:right w:val="single" w:color="auto" w:sz="8" w:space="0"/>
                  </w:tcBorders>
                  <w:shd w:val="clear" w:color="auto" w:fill="auto"/>
                  <w:noWrap/>
                  <w:vAlign w:val="top"/>
                </w:tcPr>
                <w:p w14:paraId="4DA7C5A0">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34607379.37</w:t>
                  </w:r>
                </w:p>
              </w:tc>
            </w:tr>
            <w:tr w14:paraId="2E0D8C3B">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167F69C1">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5</w:t>
                  </w:r>
                </w:p>
              </w:tc>
              <w:tc>
                <w:tcPr>
                  <w:tcW w:w="1477" w:type="dxa"/>
                  <w:tcBorders>
                    <w:top w:val="nil"/>
                    <w:left w:val="nil"/>
                    <w:bottom w:val="single" w:color="auto" w:sz="8" w:space="0"/>
                    <w:right w:val="single" w:color="auto" w:sz="8" w:space="0"/>
                  </w:tcBorders>
                  <w:shd w:val="clear" w:color="auto" w:fill="auto"/>
                  <w:noWrap/>
                  <w:vAlign w:val="center"/>
                </w:tcPr>
                <w:p w14:paraId="46D16205">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26°22′58″</w:t>
                  </w:r>
                </w:p>
              </w:tc>
              <w:tc>
                <w:tcPr>
                  <w:tcW w:w="1701" w:type="dxa"/>
                  <w:tcBorders>
                    <w:top w:val="nil"/>
                    <w:left w:val="nil"/>
                    <w:bottom w:val="single" w:color="auto" w:sz="8" w:space="0"/>
                    <w:right w:val="single" w:color="auto" w:sz="8" w:space="0"/>
                  </w:tcBorders>
                  <w:shd w:val="clear" w:color="auto" w:fill="auto"/>
                  <w:noWrap/>
                  <w:vAlign w:val="center"/>
                </w:tcPr>
                <w:p w14:paraId="2A8C7A0F">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103°04′33″</w:t>
                  </w:r>
                </w:p>
              </w:tc>
              <w:tc>
                <w:tcPr>
                  <w:tcW w:w="1348" w:type="dxa"/>
                  <w:tcBorders>
                    <w:top w:val="nil"/>
                    <w:left w:val="nil"/>
                    <w:bottom w:val="single" w:color="auto" w:sz="8" w:space="0"/>
                    <w:right w:val="single" w:color="auto" w:sz="8" w:space="0"/>
                  </w:tcBorders>
                  <w:shd w:val="clear" w:color="auto" w:fill="auto"/>
                  <w:noWrap/>
                  <w:vAlign w:val="center"/>
                </w:tcPr>
                <w:p w14:paraId="0F11CA49">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2919694.21</w:t>
                  </w:r>
                </w:p>
              </w:tc>
              <w:tc>
                <w:tcPr>
                  <w:tcW w:w="1346" w:type="dxa"/>
                  <w:tcBorders>
                    <w:top w:val="nil"/>
                    <w:left w:val="nil"/>
                    <w:bottom w:val="single" w:color="auto" w:sz="8" w:space="0"/>
                    <w:right w:val="single" w:color="auto" w:sz="8" w:space="0"/>
                  </w:tcBorders>
                  <w:shd w:val="clear" w:color="auto" w:fill="auto"/>
                  <w:noWrap/>
                  <w:vAlign w:val="center"/>
                </w:tcPr>
                <w:p w14:paraId="54E17A5E">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34607368.08</w:t>
                  </w:r>
                </w:p>
              </w:tc>
              <w:tc>
                <w:tcPr>
                  <w:tcW w:w="1360" w:type="dxa"/>
                  <w:tcBorders>
                    <w:top w:val="nil"/>
                    <w:left w:val="nil"/>
                    <w:bottom w:val="single" w:color="auto" w:sz="8" w:space="0"/>
                    <w:right w:val="single" w:color="auto" w:sz="8" w:space="0"/>
                  </w:tcBorders>
                  <w:shd w:val="clear" w:color="auto" w:fill="auto"/>
                  <w:noWrap/>
                  <w:vAlign w:val="top"/>
                </w:tcPr>
                <w:p w14:paraId="03D4D33D">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2919702.07</w:t>
                  </w:r>
                </w:p>
              </w:tc>
              <w:tc>
                <w:tcPr>
                  <w:tcW w:w="1405" w:type="dxa"/>
                  <w:tcBorders>
                    <w:top w:val="nil"/>
                    <w:left w:val="nil"/>
                    <w:bottom w:val="single" w:color="auto" w:sz="8" w:space="0"/>
                    <w:right w:val="single" w:color="auto" w:sz="8" w:space="0"/>
                  </w:tcBorders>
                  <w:shd w:val="clear" w:color="auto" w:fill="auto"/>
                  <w:noWrap/>
                  <w:vAlign w:val="top"/>
                </w:tcPr>
                <w:p w14:paraId="2FB72AA4">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34607479.31</w:t>
                  </w:r>
                </w:p>
              </w:tc>
            </w:tr>
            <w:tr w14:paraId="0EC6AADB">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03E3583A">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6</w:t>
                  </w:r>
                </w:p>
              </w:tc>
              <w:tc>
                <w:tcPr>
                  <w:tcW w:w="1477" w:type="dxa"/>
                  <w:tcBorders>
                    <w:top w:val="nil"/>
                    <w:left w:val="nil"/>
                    <w:bottom w:val="single" w:color="auto" w:sz="8" w:space="0"/>
                    <w:right w:val="single" w:color="auto" w:sz="8" w:space="0"/>
                  </w:tcBorders>
                  <w:shd w:val="clear" w:color="auto" w:fill="auto"/>
                  <w:noWrap/>
                  <w:vAlign w:val="center"/>
                </w:tcPr>
                <w:p w14:paraId="4822E81C">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26°22′58″</w:t>
                  </w:r>
                </w:p>
              </w:tc>
              <w:tc>
                <w:tcPr>
                  <w:tcW w:w="1701" w:type="dxa"/>
                  <w:tcBorders>
                    <w:top w:val="nil"/>
                    <w:left w:val="nil"/>
                    <w:bottom w:val="single" w:color="auto" w:sz="8" w:space="0"/>
                    <w:right w:val="single" w:color="auto" w:sz="8" w:space="0"/>
                  </w:tcBorders>
                  <w:shd w:val="clear" w:color="auto" w:fill="auto"/>
                  <w:noWrap/>
                  <w:vAlign w:val="center"/>
                </w:tcPr>
                <w:p w14:paraId="073D564D">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103°04′37″</w:t>
                  </w:r>
                </w:p>
              </w:tc>
              <w:tc>
                <w:tcPr>
                  <w:tcW w:w="1348" w:type="dxa"/>
                  <w:tcBorders>
                    <w:top w:val="nil"/>
                    <w:left w:val="nil"/>
                    <w:bottom w:val="single" w:color="auto" w:sz="8" w:space="0"/>
                    <w:right w:val="single" w:color="auto" w:sz="8" w:space="0"/>
                  </w:tcBorders>
                  <w:shd w:val="clear" w:color="auto" w:fill="auto"/>
                  <w:noWrap/>
                  <w:vAlign w:val="center"/>
                </w:tcPr>
                <w:p w14:paraId="147AACE2">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2919703.45</w:t>
                  </w:r>
                </w:p>
              </w:tc>
              <w:tc>
                <w:tcPr>
                  <w:tcW w:w="1346" w:type="dxa"/>
                  <w:tcBorders>
                    <w:top w:val="nil"/>
                    <w:left w:val="nil"/>
                    <w:bottom w:val="single" w:color="auto" w:sz="8" w:space="0"/>
                    <w:right w:val="single" w:color="auto" w:sz="8" w:space="0"/>
                  </w:tcBorders>
                  <w:shd w:val="clear" w:color="auto" w:fill="auto"/>
                  <w:noWrap/>
                  <w:vAlign w:val="center"/>
                </w:tcPr>
                <w:p w14:paraId="4C75EC2E">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34607468.08</w:t>
                  </w:r>
                </w:p>
              </w:tc>
              <w:tc>
                <w:tcPr>
                  <w:tcW w:w="1360" w:type="dxa"/>
                  <w:tcBorders>
                    <w:top w:val="nil"/>
                    <w:left w:val="nil"/>
                    <w:bottom w:val="single" w:color="auto" w:sz="8" w:space="0"/>
                    <w:right w:val="single" w:color="auto" w:sz="8" w:space="0"/>
                  </w:tcBorders>
                  <w:shd w:val="clear" w:color="auto" w:fill="auto"/>
                  <w:noWrap/>
                  <w:vAlign w:val="top"/>
                </w:tcPr>
                <w:p w14:paraId="7AADD9AD">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2919711.31</w:t>
                  </w:r>
                </w:p>
              </w:tc>
              <w:tc>
                <w:tcPr>
                  <w:tcW w:w="1405" w:type="dxa"/>
                  <w:tcBorders>
                    <w:top w:val="nil"/>
                    <w:left w:val="nil"/>
                    <w:bottom w:val="single" w:color="auto" w:sz="8" w:space="0"/>
                    <w:right w:val="single" w:color="auto" w:sz="8" w:space="0"/>
                  </w:tcBorders>
                  <w:shd w:val="clear" w:color="auto" w:fill="auto"/>
                  <w:noWrap/>
                  <w:vAlign w:val="top"/>
                </w:tcPr>
                <w:p w14:paraId="60B4EC4D">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34607579.31</w:t>
                  </w:r>
                </w:p>
              </w:tc>
            </w:tr>
            <w:tr w14:paraId="7E6A3221">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213B3E56">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7</w:t>
                  </w:r>
                </w:p>
              </w:tc>
              <w:tc>
                <w:tcPr>
                  <w:tcW w:w="1477" w:type="dxa"/>
                  <w:tcBorders>
                    <w:top w:val="nil"/>
                    <w:left w:val="nil"/>
                    <w:bottom w:val="single" w:color="auto" w:sz="8" w:space="0"/>
                    <w:right w:val="single" w:color="auto" w:sz="8" w:space="0"/>
                  </w:tcBorders>
                  <w:shd w:val="clear" w:color="auto" w:fill="auto"/>
                  <w:noWrap/>
                  <w:vAlign w:val="center"/>
                </w:tcPr>
                <w:p w14:paraId="6ED7813A">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26°22′58″</w:t>
                  </w:r>
                </w:p>
              </w:tc>
              <w:tc>
                <w:tcPr>
                  <w:tcW w:w="1701" w:type="dxa"/>
                  <w:tcBorders>
                    <w:top w:val="nil"/>
                    <w:left w:val="nil"/>
                    <w:bottom w:val="single" w:color="auto" w:sz="8" w:space="0"/>
                    <w:right w:val="single" w:color="auto" w:sz="8" w:space="0"/>
                  </w:tcBorders>
                  <w:shd w:val="clear" w:color="auto" w:fill="auto"/>
                  <w:noWrap/>
                  <w:vAlign w:val="center"/>
                </w:tcPr>
                <w:p w14:paraId="154CA2CF">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103°04′40″</w:t>
                  </w:r>
                </w:p>
              </w:tc>
              <w:tc>
                <w:tcPr>
                  <w:tcW w:w="1348" w:type="dxa"/>
                  <w:tcBorders>
                    <w:top w:val="nil"/>
                    <w:left w:val="nil"/>
                    <w:bottom w:val="single" w:color="auto" w:sz="8" w:space="0"/>
                    <w:right w:val="single" w:color="auto" w:sz="8" w:space="0"/>
                  </w:tcBorders>
                  <w:shd w:val="clear" w:color="auto" w:fill="auto"/>
                  <w:noWrap/>
                  <w:vAlign w:val="center"/>
                </w:tcPr>
                <w:p w14:paraId="4AD746F0">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2919690.00</w:t>
                  </w:r>
                </w:p>
              </w:tc>
              <w:tc>
                <w:tcPr>
                  <w:tcW w:w="1346" w:type="dxa"/>
                  <w:tcBorders>
                    <w:top w:val="nil"/>
                    <w:left w:val="nil"/>
                    <w:bottom w:val="single" w:color="auto" w:sz="8" w:space="0"/>
                    <w:right w:val="single" w:color="auto" w:sz="8" w:space="0"/>
                  </w:tcBorders>
                  <w:shd w:val="clear" w:color="auto" w:fill="auto"/>
                  <w:noWrap/>
                  <w:vAlign w:val="center"/>
                </w:tcPr>
                <w:p w14:paraId="5090A055">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34607568.08</w:t>
                  </w:r>
                </w:p>
              </w:tc>
              <w:tc>
                <w:tcPr>
                  <w:tcW w:w="1360" w:type="dxa"/>
                  <w:tcBorders>
                    <w:top w:val="nil"/>
                    <w:left w:val="nil"/>
                    <w:bottom w:val="single" w:color="auto" w:sz="8" w:space="0"/>
                    <w:right w:val="single" w:color="auto" w:sz="8" w:space="0"/>
                  </w:tcBorders>
                  <w:shd w:val="clear" w:color="auto" w:fill="auto"/>
                  <w:noWrap/>
                  <w:vAlign w:val="top"/>
                </w:tcPr>
                <w:p w14:paraId="5FF00BC4">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2919697.86</w:t>
                  </w:r>
                </w:p>
              </w:tc>
              <w:tc>
                <w:tcPr>
                  <w:tcW w:w="1405" w:type="dxa"/>
                  <w:tcBorders>
                    <w:top w:val="nil"/>
                    <w:left w:val="nil"/>
                    <w:bottom w:val="single" w:color="auto" w:sz="8" w:space="0"/>
                    <w:right w:val="single" w:color="auto" w:sz="8" w:space="0"/>
                  </w:tcBorders>
                  <w:shd w:val="clear" w:color="auto" w:fill="auto"/>
                  <w:noWrap/>
                  <w:vAlign w:val="top"/>
                </w:tcPr>
                <w:p w14:paraId="591A9851">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34607679.31</w:t>
                  </w:r>
                </w:p>
              </w:tc>
            </w:tr>
            <w:tr w14:paraId="39377E30">
              <w:tblPrEx>
                <w:tblCellMar>
                  <w:top w:w="0" w:type="dxa"/>
                  <w:left w:w="108" w:type="dxa"/>
                  <w:bottom w:w="0" w:type="dxa"/>
                  <w:right w:w="108" w:type="dxa"/>
                </w:tblCellMar>
              </w:tblPrEx>
              <w:trPr>
                <w:trHeight w:val="402" w:hRule="atLeast"/>
                <w:jc w:val="center"/>
              </w:trPr>
              <w:tc>
                <w:tcPr>
                  <w:tcW w:w="710" w:type="dxa"/>
                  <w:tcBorders>
                    <w:top w:val="nil"/>
                    <w:left w:val="single" w:color="auto" w:sz="8" w:space="0"/>
                    <w:bottom w:val="single" w:color="auto" w:sz="8" w:space="0"/>
                    <w:right w:val="single" w:color="auto" w:sz="8" w:space="0"/>
                  </w:tcBorders>
                  <w:shd w:val="clear" w:color="auto" w:fill="auto"/>
                  <w:noWrap w:val="0"/>
                  <w:vAlign w:val="center"/>
                </w:tcPr>
                <w:p w14:paraId="12520D37">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w:t>
                  </w:r>
                  <w:r>
                    <w:rPr>
                      <w:color w:val="auto"/>
                      <w:kern w:val="0"/>
                      <w:sz w:val="21"/>
                      <w:szCs w:val="21"/>
                      <w:highlight w:val="none"/>
                    </w:rPr>
                    <w:t>8</w:t>
                  </w:r>
                </w:p>
              </w:tc>
              <w:tc>
                <w:tcPr>
                  <w:tcW w:w="1477" w:type="dxa"/>
                  <w:tcBorders>
                    <w:top w:val="nil"/>
                    <w:left w:val="nil"/>
                    <w:bottom w:val="single" w:color="auto" w:sz="8" w:space="0"/>
                    <w:right w:val="single" w:color="auto" w:sz="8" w:space="0"/>
                  </w:tcBorders>
                  <w:shd w:val="clear" w:color="auto" w:fill="auto"/>
                  <w:noWrap/>
                  <w:vAlign w:val="center"/>
                </w:tcPr>
                <w:p w14:paraId="7C5AAD77">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26°22′58″</w:t>
                  </w:r>
                </w:p>
              </w:tc>
              <w:tc>
                <w:tcPr>
                  <w:tcW w:w="1701" w:type="dxa"/>
                  <w:tcBorders>
                    <w:top w:val="nil"/>
                    <w:left w:val="nil"/>
                    <w:bottom w:val="single" w:color="auto" w:sz="8" w:space="0"/>
                    <w:right w:val="single" w:color="auto" w:sz="8" w:space="0"/>
                  </w:tcBorders>
                  <w:shd w:val="clear" w:color="auto" w:fill="auto"/>
                  <w:noWrap/>
                  <w:vAlign w:val="center"/>
                </w:tcPr>
                <w:p w14:paraId="125DC801">
                  <w:pPr>
                    <w:widowControl/>
                    <w:snapToGrid/>
                    <w:spacing w:line="240" w:lineRule="auto"/>
                    <w:ind w:firstLine="0" w:firstLineChars="0"/>
                    <w:jc w:val="center"/>
                    <w:rPr>
                      <w:color w:val="auto"/>
                      <w:kern w:val="0"/>
                      <w:sz w:val="21"/>
                      <w:szCs w:val="21"/>
                      <w:highlight w:val="none"/>
                    </w:rPr>
                  </w:pPr>
                  <w:r>
                    <w:rPr>
                      <w:color w:val="auto"/>
                      <w:kern w:val="0"/>
                      <w:sz w:val="21"/>
                      <w:szCs w:val="21"/>
                      <w:highlight w:val="none"/>
                    </w:rPr>
                    <w:t>103°04′44″</w:t>
                  </w:r>
                </w:p>
              </w:tc>
              <w:tc>
                <w:tcPr>
                  <w:tcW w:w="1348" w:type="dxa"/>
                  <w:tcBorders>
                    <w:top w:val="nil"/>
                    <w:left w:val="nil"/>
                    <w:bottom w:val="single" w:color="auto" w:sz="8" w:space="0"/>
                    <w:right w:val="single" w:color="auto" w:sz="8" w:space="0"/>
                  </w:tcBorders>
                  <w:shd w:val="clear" w:color="auto" w:fill="auto"/>
                  <w:noWrap/>
                  <w:vAlign w:val="center"/>
                </w:tcPr>
                <w:p w14:paraId="19B65EA2">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2919684.40</w:t>
                  </w:r>
                </w:p>
              </w:tc>
              <w:tc>
                <w:tcPr>
                  <w:tcW w:w="1346" w:type="dxa"/>
                  <w:tcBorders>
                    <w:top w:val="nil"/>
                    <w:left w:val="nil"/>
                    <w:bottom w:val="single" w:color="auto" w:sz="8" w:space="0"/>
                    <w:right w:val="single" w:color="auto" w:sz="8" w:space="0"/>
                  </w:tcBorders>
                  <w:shd w:val="clear" w:color="auto" w:fill="auto"/>
                  <w:noWrap/>
                  <w:vAlign w:val="center"/>
                </w:tcPr>
                <w:p w14:paraId="4E75B6AD">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34607668.08</w:t>
                  </w:r>
                </w:p>
              </w:tc>
              <w:tc>
                <w:tcPr>
                  <w:tcW w:w="1360" w:type="dxa"/>
                  <w:tcBorders>
                    <w:top w:val="nil"/>
                    <w:left w:val="nil"/>
                    <w:bottom w:val="single" w:color="auto" w:sz="8" w:space="0"/>
                    <w:right w:val="single" w:color="auto" w:sz="8" w:space="0"/>
                  </w:tcBorders>
                  <w:shd w:val="clear" w:color="auto" w:fill="auto"/>
                  <w:noWrap/>
                  <w:vAlign w:val="top"/>
                </w:tcPr>
                <w:p w14:paraId="037DE667">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2919692.26</w:t>
                  </w:r>
                </w:p>
              </w:tc>
              <w:tc>
                <w:tcPr>
                  <w:tcW w:w="1405" w:type="dxa"/>
                  <w:tcBorders>
                    <w:top w:val="nil"/>
                    <w:left w:val="nil"/>
                    <w:bottom w:val="single" w:color="auto" w:sz="8" w:space="0"/>
                    <w:right w:val="single" w:color="auto" w:sz="8" w:space="0"/>
                  </w:tcBorders>
                  <w:shd w:val="clear" w:color="auto" w:fill="auto"/>
                  <w:noWrap/>
                  <w:vAlign w:val="top"/>
                </w:tcPr>
                <w:p w14:paraId="73C00C00">
                  <w:pPr>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34607779.31</w:t>
                  </w:r>
                </w:p>
              </w:tc>
            </w:tr>
            <w:tr w14:paraId="65440E01">
              <w:tblPrEx>
                <w:tblCellMar>
                  <w:top w:w="0" w:type="dxa"/>
                  <w:left w:w="108" w:type="dxa"/>
                  <w:bottom w:w="0" w:type="dxa"/>
                  <w:right w:w="108" w:type="dxa"/>
                </w:tblCellMar>
              </w:tblPrEx>
              <w:trPr>
                <w:trHeight w:val="402" w:hRule="atLeast"/>
                <w:jc w:val="center"/>
              </w:trPr>
              <w:tc>
                <w:tcPr>
                  <w:tcW w:w="9347" w:type="dxa"/>
                  <w:gridSpan w:val="7"/>
                  <w:tcBorders>
                    <w:top w:val="single" w:color="auto" w:sz="8" w:space="0"/>
                    <w:left w:val="single" w:color="auto" w:sz="8" w:space="0"/>
                    <w:bottom w:val="single" w:color="auto" w:sz="8" w:space="0"/>
                    <w:right w:val="single" w:color="000000" w:sz="8" w:space="0"/>
                  </w:tcBorders>
                  <w:shd w:val="clear" w:color="auto" w:fill="auto"/>
                  <w:noWrap/>
                  <w:vAlign w:val="center"/>
                </w:tcPr>
                <w:p w14:paraId="5194E800">
                  <w:pPr>
                    <w:widowControl/>
                    <w:snapToGrid/>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矿区面积：0.1365km</w:t>
                  </w:r>
                  <w:r>
                    <w:rPr>
                      <w:rFonts w:hint="eastAsia" w:cs="宋体"/>
                      <w:color w:val="auto"/>
                      <w:kern w:val="0"/>
                      <w:sz w:val="21"/>
                      <w:szCs w:val="21"/>
                      <w:highlight w:val="none"/>
                      <w:vertAlign w:val="superscript"/>
                    </w:rPr>
                    <w:t>2</w:t>
                  </w:r>
                  <w:r>
                    <w:rPr>
                      <w:rFonts w:hint="eastAsia" w:cs="宋体"/>
                      <w:color w:val="auto"/>
                      <w:kern w:val="0"/>
                      <w:sz w:val="21"/>
                      <w:szCs w:val="21"/>
                      <w:highlight w:val="none"/>
                    </w:rPr>
                    <w:t xml:space="preserve">    开采标高：1200m-1030m</w:t>
                  </w:r>
                </w:p>
              </w:tc>
            </w:tr>
          </w:tbl>
          <w:p w14:paraId="1BE553C5">
            <w:pPr>
              <w:ind w:firstLine="560"/>
              <w:rPr>
                <w:rFonts w:hint="eastAsia"/>
                <w:color w:val="auto"/>
                <w:highlight w:val="none"/>
              </w:rPr>
            </w:pPr>
            <w:r>
              <w:rPr>
                <w:rFonts w:hint="eastAsia"/>
                <w:color w:val="auto"/>
                <w:highlight w:val="none"/>
              </w:rPr>
              <w:t>拟设</w:t>
            </w:r>
            <w:r>
              <w:rPr>
                <w:color w:val="auto"/>
                <w:highlight w:val="none"/>
              </w:rPr>
              <w:t>矿区</w:t>
            </w:r>
            <w:r>
              <w:rPr>
                <w:rFonts w:hint="eastAsia"/>
                <w:color w:val="auto"/>
                <w:highlight w:val="none"/>
              </w:rPr>
              <w:t>东侧为通往东川区的龙东格公路</w:t>
            </w:r>
            <w:r>
              <w:rPr>
                <w:color w:val="auto"/>
                <w:highlight w:val="none"/>
              </w:rPr>
              <w:t>，距离</w:t>
            </w:r>
            <w:r>
              <w:rPr>
                <w:rFonts w:hint="eastAsia"/>
                <w:color w:val="auto"/>
                <w:highlight w:val="none"/>
              </w:rPr>
              <w:t>矿区边界直线距离为</w:t>
            </w:r>
            <w:r>
              <w:rPr>
                <w:rFonts w:hint="eastAsia"/>
                <w:color w:val="auto"/>
                <w:highlight w:val="none"/>
                <w:lang w:val="en-US" w:eastAsia="zh-CN"/>
              </w:rPr>
              <w:t>540</w:t>
            </w:r>
            <w:r>
              <w:rPr>
                <w:rFonts w:hint="eastAsia"/>
                <w:color w:val="auto"/>
                <w:highlight w:val="none"/>
              </w:rPr>
              <w:t>m；矿区东南侧的排字田村距离矿区边界</w:t>
            </w:r>
            <w:r>
              <w:rPr>
                <w:rFonts w:hint="eastAsia"/>
                <w:color w:val="auto"/>
                <w:highlight w:val="none"/>
                <w:lang w:val="en-US" w:eastAsia="zh-CN"/>
              </w:rPr>
              <w:t>650</w:t>
            </w:r>
            <w:r>
              <w:rPr>
                <w:rFonts w:hint="eastAsia"/>
                <w:color w:val="auto"/>
                <w:highlight w:val="none"/>
              </w:rPr>
              <w:t>m，矿区西南侧的董家梁子村（1980m标高）</w:t>
            </w:r>
            <w:r>
              <w:rPr>
                <w:color w:val="auto"/>
                <w:highlight w:val="none"/>
              </w:rPr>
              <w:t>距离</w:t>
            </w:r>
            <w:r>
              <w:rPr>
                <w:rFonts w:hint="eastAsia"/>
                <w:color w:val="auto"/>
                <w:highlight w:val="none"/>
              </w:rPr>
              <w:t>矿区边界直线距离为1</w:t>
            </w:r>
            <w:r>
              <w:rPr>
                <w:rFonts w:hint="eastAsia"/>
                <w:color w:val="auto"/>
                <w:highlight w:val="none"/>
                <w:lang w:val="en-US" w:eastAsia="zh-CN"/>
              </w:rPr>
              <w:t>800</w:t>
            </w:r>
            <w:r>
              <w:rPr>
                <w:rFonts w:hint="eastAsia"/>
                <w:color w:val="auto"/>
                <w:highlight w:val="none"/>
              </w:rPr>
              <w:t>m，矿区北侧的下马噶村（1470m标高）</w:t>
            </w:r>
            <w:r>
              <w:rPr>
                <w:color w:val="auto"/>
                <w:highlight w:val="none"/>
              </w:rPr>
              <w:t>距离</w:t>
            </w:r>
            <w:r>
              <w:rPr>
                <w:rFonts w:hint="eastAsia"/>
                <w:color w:val="auto"/>
                <w:highlight w:val="none"/>
              </w:rPr>
              <w:t>矿区边界直线距离为</w:t>
            </w:r>
            <w:r>
              <w:rPr>
                <w:rFonts w:hint="eastAsia"/>
                <w:color w:val="auto"/>
                <w:highlight w:val="none"/>
                <w:lang w:val="en-US" w:eastAsia="zh-CN"/>
              </w:rPr>
              <w:t>800</w:t>
            </w:r>
            <w:r>
              <w:rPr>
                <w:rFonts w:hint="eastAsia"/>
                <w:color w:val="auto"/>
                <w:highlight w:val="none"/>
              </w:rPr>
              <w:t>m；矿区</w:t>
            </w:r>
            <w:r>
              <w:rPr>
                <w:rFonts w:hint="eastAsia"/>
                <w:color w:val="auto"/>
                <w:highlight w:val="none"/>
                <w:lang w:val="en-US" w:eastAsia="zh-CN"/>
              </w:rPr>
              <w:t>外</w:t>
            </w:r>
            <w:r>
              <w:rPr>
                <w:rFonts w:hint="eastAsia"/>
                <w:color w:val="auto"/>
                <w:highlight w:val="none"/>
              </w:rPr>
              <w:t>周边500m范围内无高压输电线、铁塔等供电设施。</w:t>
            </w:r>
          </w:p>
          <w:p w14:paraId="615E388B">
            <w:pPr>
              <w:tabs>
                <w:tab w:val="left" w:pos="2395"/>
              </w:tabs>
              <w:spacing w:line="360" w:lineRule="auto"/>
              <w:ind w:left="0" w:leftChars="0" w:right="130" w:rightChars="50" w:firstLine="0" w:firstLineChars="0"/>
              <w:rPr>
                <w:rFonts w:hint="default" w:ascii="Times New Roman" w:hAnsi="Times New Roman"/>
                <w:b/>
                <w:bCs/>
                <w:color w:val="auto"/>
                <w:sz w:val="28"/>
                <w:szCs w:val="28"/>
                <w:highlight w:val="none"/>
                <w:lang w:val="en-US" w:eastAsia="zh-CN"/>
              </w:rPr>
            </w:pPr>
            <w:r>
              <w:rPr>
                <w:rFonts w:hint="eastAsia"/>
                <w:b/>
                <w:bCs/>
                <w:color w:val="auto"/>
                <w:sz w:val="28"/>
                <w:szCs w:val="28"/>
                <w:highlight w:val="none"/>
                <w:lang w:val="en-US" w:eastAsia="zh-CN"/>
              </w:rPr>
              <w:t>5</w:t>
            </w:r>
            <w:r>
              <w:rPr>
                <w:rFonts w:hint="eastAsia" w:ascii="Times New Roman" w:hAnsi="Times New Roman"/>
                <w:b/>
                <w:bCs/>
                <w:color w:val="auto"/>
                <w:sz w:val="28"/>
                <w:szCs w:val="28"/>
                <w:highlight w:val="none"/>
                <w:lang w:val="en-US" w:eastAsia="zh-CN"/>
              </w:rPr>
              <w:t>、</w:t>
            </w:r>
            <w:r>
              <w:rPr>
                <w:rFonts w:hint="eastAsia"/>
                <w:b/>
                <w:bCs/>
                <w:color w:val="auto"/>
                <w:sz w:val="28"/>
                <w:szCs w:val="28"/>
                <w:highlight w:val="none"/>
                <w:lang w:val="en-US" w:eastAsia="zh-CN"/>
              </w:rPr>
              <w:t>矿山资源条件</w:t>
            </w:r>
          </w:p>
          <w:p w14:paraId="3E4FDA5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据矿方提供的《云南省昆明市东川区排子田普通建筑材料用石灰岩矿勘查报告》（2020年）及《云南省昆明市东川区排子田普通建筑材料用石灰岩矿矿产资源开发利用方案》可知：</w:t>
            </w:r>
          </w:p>
          <w:p w14:paraId="6378DA6E">
            <w:pPr>
              <w:pStyle w:val="41"/>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outlineLvl w:val="9"/>
              <w:rPr>
                <w:rFonts w:ascii="Times New Roman" w:hAnsi="Times New Roman" w:cs="Times New Roman"/>
                <w:b/>
                <w:bCs/>
                <w:color w:val="auto"/>
                <w:sz w:val="26"/>
                <w:szCs w:val="26"/>
                <w:highlight w:val="none"/>
              </w:rPr>
            </w:pPr>
            <w:r>
              <w:rPr>
                <w:rFonts w:hint="eastAsia" w:ascii="Times New Roman" w:hAnsi="Times New Roman" w:cs="Times New Roman"/>
                <w:b/>
                <w:bCs/>
                <w:color w:val="auto"/>
                <w:sz w:val="26"/>
                <w:szCs w:val="26"/>
                <w:highlight w:val="none"/>
                <w:lang w:val="en-US" w:eastAsia="zh-CN" w:bidi="en-US"/>
              </w:rPr>
              <w:t>5.1</w:t>
            </w:r>
            <w:bookmarkStart w:id="4" w:name="_Toc50468657"/>
            <w:r>
              <w:rPr>
                <w:rFonts w:ascii="Times New Roman" w:hAnsi="Times New Roman" w:cs="Times New Roman"/>
                <w:b/>
                <w:bCs/>
                <w:color w:val="auto"/>
                <w:sz w:val="26"/>
                <w:szCs w:val="26"/>
                <w:highlight w:val="none"/>
              </w:rPr>
              <w:t>区域地层</w:t>
            </w:r>
            <w:bookmarkEnd w:id="4"/>
          </w:p>
          <w:p w14:paraId="5A85615E">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outlineLvl w:val="9"/>
              <w:rPr>
                <w:rFonts w:ascii="Times New Roman" w:hAnsi="Times New Roman" w:cs="Times New Roman"/>
                <w:b w:val="0"/>
                <w:color w:val="auto"/>
                <w:sz w:val="26"/>
                <w:szCs w:val="26"/>
                <w:highlight w:val="none"/>
                <w:lang w:val="en-GB"/>
              </w:rPr>
            </w:pPr>
            <w:r>
              <w:rPr>
                <w:rFonts w:ascii="Times New Roman" w:hAnsi="Times New Roman" w:cs="Times New Roman"/>
                <w:b w:val="0"/>
                <w:color w:val="auto"/>
                <w:sz w:val="26"/>
                <w:szCs w:val="26"/>
                <w:highlight w:val="none"/>
              </w:rPr>
              <w:t>矿区大地构造位置属扬子准地台（</w:t>
            </w:r>
            <w:r>
              <w:rPr>
                <w:rFonts w:hint="eastAsia" w:ascii="Times New Roman" w:hAnsi="Times New Roman" w:cs="Times New Roman"/>
                <w:b w:val="0"/>
                <w:color w:val="auto"/>
                <w:sz w:val="26"/>
                <w:szCs w:val="26"/>
                <w:highlight w:val="none"/>
              </w:rPr>
              <w:t>Ⅰ</w:t>
            </w:r>
            <w:r>
              <w:rPr>
                <w:rFonts w:ascii="Times New Roman" w:hAnsi="Times New Roman" w:cs="Times New Roman"/>
                <w:b w:val="0"/>
                <w:color w:val="auto"/>
                <w:sz w:val="26"/>
                <w:szCs w:val="26"/>
                <w:highlight w:val="none"/>
              </w:rPr>
              <w:t>）滇东台褶带（</w:t>
            </w:r>
            <w:r>
              <w:rPr>
                <w:rFonts w:hint="eastAsia" w:ascii="Times New Roman" w:hAnsi="Times New Roman" w:cs="Times New Roman"/>
                <w:b w:val="0"/>
                <w:color w:val="auto"/>
                <w:sz w:val="26"/>
                <w:szCs w:val="26"/>
                <w:highlight w:val="none"/>
              </w:rPr>
              <w:t>Ⅰ</w:t>
            </w:r>
            <w:r>
              <w:rPr>
                <w:rFonts w:ascii="Times New Roman" w:hAnsi="Times New Roman" w:cs="Times New Roman"/>
                <w:b w:val="0"/>
                <w:color w:val="auto"/>
                <w:sz w:val="26"/>
                <w:szCs w:val="26"/>
                <w:highlight w:val="none"/>
                <w:vertAlign w:val="subscript"/>
              </w:rPr>
              <w:t>3</w:t>
            </w:r>
            <w:r>
              <w:rPr>
                <w:rFonts w:ascii="Times New Roman" w:hAnsi="Times New Roman" w:cs="Times New Roman"/>
                <w:b w:val="0"/>
                <w:color w:val="auto"/>
                <w:sz w:val="26"/>
                <w:szCs w:val="26"/>
                <w:highlight w:val="none"/>
              </w:rPr>
              <w:t>）会泽台褶束（</w:t>
            </w:r>
            <w:r>
              <w:rPr>
                <w:rFonts w:hint="eastAsia" w:ascii="Times New Roman" w:hAnsi="Times New Roman" w:cs="Times New Roman"/>
                <w:b w:val="0"/>
                <w:color w:val="auto"/>
                <w:sz w:val="26"/>
                <w:szCs w:val="26"/>
                <w:highlight w:val="none"/>
              </w:rPr>
              <w:t>Ⅰ</w:t>
            </w:r>
            <w:r>
              <w:rPr>
                <w:rFonts w:ascii="Times New Roman" w:hAnsi="Times New Roman" w:cs="Times New Roman"/>
                <w:b w:val="0"/>
                <w:color w:val="auto"/>
                <w:sz w:val="26"/>
                <w:szCs w:val="26"/>
                <w:highlight w:val="none"/>
                <w:vertAlign w:val="subscript"/>
              </w:rPr>
              <w:t>3</w:t>
            </w:r>
            <w:r>
              <w:rPr>
                <w:rFonts w:hint="eastAsia" w:ascii="Times New Roman" w:hAnsi="Times New Roman" w:cs="Times New Roman"/>
                <w:b w:val="0"/>
                <w:color w:val="auto"/>
                <w:sz w:val="26"/>
                <w:szCs w:val="26"/>
                <w:highlight w:val="none"/>
                <w:vertAlign w:val="superscript"/>
              </w:rPr>
              <w:t>3</w:t>
            </w:r>
            <w:r>
              <w:rPr>
                <w:rFonts w:ascii="Times New Roman" w:hAnsi="Times New Roman" w:cs="Times New Roman"/>
                <w:b w:val="0"/>
                <w:color w:val="auto"/>
                <w:sz w:val="26"/>
                <w:szCs w:val="26"/>
                <w:highlight w:val="none"/>
              </w:rPr>
              <w:t>）之</w:t>
            </w:r>
            <w:r>
              <w:rPr>
                <w:rFonts w:hint="eastAsia" w:ascii="Times New Roman" w:hAnsi="Times New Roman" w:cs="Times New Roman"/>
                <w:b w:val="0"/>
                <w:color w:val="auto"/>
                <w:sz w:val="26"/>
                <w:szCs w:val="26"/>
                <w:highlight w:val="none"/>
              </w:rPr>
              <w:t>中西</w:t>
            </w:r>
            <w:r>
              <w:rPr>
                <w:rFonts w:ascii="Times New Roman" w:hAnsi="Times New Roman" w:cs="Times New Roman"/>
                <w:b w:val="0"/>
                <w:color w:val="auto"/>
                <w:sz w:val="26"/>
                <w:szCs w:val="26"/>
                <w:highlight w:val="none"/>
              </w:rPr>
              <w:t>部，属</w:t>
            </w:r>
            <w:r>
              <w:rPr>
                <w:rFonts w:hint="eastAsia" w:ascii="Times New Roman" w:hAnsi="Times New Roman" w:cs="Times New Roman"/>
                <w:b w:val="0"/>
                <w:color w:val="auto"/>
                <w:sz w:val="26"/>
                <w:szCs w:val="26"/>
                <w:highlight w:val="none"/>
              </w:rPr>
              <w:t>三</w:t>
            </w:r>
            <w:r>
              <w:rPr>
                <w:rFonts w:ascii="Times New Roman" w:hAnsi="Times New Roman" w:cs="Times New Roman"/>
                <w:b w:val="0"/>
                <w:color w:val="auto"/>
                <w:sz w:val="26"/>
                <w:szCs w:val="26"/>
                <w:highlight w:val="none"/>
              </w:rPr>
              <w:t>级构造单元，区域构造相对简单。矿区总体构造体系属经向构造体系的小江构造带。</w:t>
            </w:r>
            <w:r>
              <w:rPr>
                <w:rFonts w:ascii="Times New Roman" w:hAnsi="Times New Roman" w:cs="Times New Roman"/>
                <w:b w:val="0"/>
                <w:color w:val="auto"/>
                <w:sz w:val="26"/>
                <w:szCs w:val="26"/>
                <w:highlight w:val="none"/>
                <w:lang w:val="en-GB"/>
              </w:rPr>
              <w:t>区域上为</w:t>
            </w:r>
            <w:r>
              <w:rPr>
                <w:rFonts w:hint="eastAsia" w:ascii="Times New Roman" w:hAnsi="Times New Roman" w:cs="Times New Roman"/>
                <w:b w:val="0"/>
                <w:color w:val="auto"/>
                <w:sz w:val="26"/>
                <w:szCs w:val="26"/>
                <w:highlight w:val="none"/>
                <w:lang w:val="en-GB"/>
              </w:rPr>
              <w:t>元古</w:t>
            </w:r>
            <w:r>
              <w:rPr>
                <w:rFonts w:ascii="Times New Roman" w:hAnsi="Times New Roman" w:cs="Times New Roman"/>
                <w:b w:val="0"/>
                <w:color w:val="auto"/>
                <w:sz w:val="26"/>
                <w:szCs w:val="26"/>
                <w:highlight w:val="none"/>
                <w:lang w:val="en-GB"/>
              </w:rPr>
              <w:t>界地层分布区，总体构造线方向多呈北</w:t>
            </w:r>
            <w:r>
              <w:rPr>
                <w:rFonts w:hint="eastAsia" w:ascii="Times New Roman" w:hAnsi="Times New Roman" w:cs="Times New Roman"/>
                <w:b w:val="0"/>
                <w:color w:val="auto"/>
                <w:sz w:val="26"/>
                <w:szCs w:val="26"/>
                <w:highlight w:val="none"/>
                <w:lang w:val="en-GB"/>
              </w:rPr>
              <w:t>西</w:t>
            </w:r>
            <w:r>
              <w:rPr>
                <w:rFonts w:ascii="Times New Roman" w:hAnsi="Times New Roman" w:cs="Times New Roman"/>
                <w:b w:val="0"/>
                <w:color w:val="auto"/>
                <w:sz w:val="26"/>
                <w:szCs w:val="26"/>
                <w:highlight w:val="none"/>
                <w:lang w:val="en-GB"/>
              </w:rPr>
              <w:t>向展布。</w:t>
            </w:r>
          </w:p>
          <w:p w14:paraId="788678A1">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outlineLvl w:val="9"/>
              <w:rPr>
                <w:rFonts w:hint="eastAsia" w:ascii="Times New Roman" w:hAnsi="Times New Roman" w:cs="Times New Roman"/>
                <w:b w:val="0"/>
                <w:color w:val="auto"/>
                <w:sz w:val="26"/>
                <w:szCs w:val="26"/>
                <w:highlight w:val="none"/>
              </w:rPr>
            </w:pPr>
            <w:r>
              <w:rPr>
                <w:rFonts w:ascii="Times New Roman" w:hAnsi="Times New Roman" w:cs="Times New Roman"/>
                <w:b w:val="0"/>
                <w:color w:val="auto"/>
                <w:sz w:val="26"/>
                <w:szCs w:val="26"/>
                <w:highlight w:val="none"/>
              </w:rPr>
              <w:t>区域地层出露</w:t>
            </w:r>
            <w:r>
              <w:rPr>
                <w:rFonts w:hint="eastAsia" w:ascii="Times New Roman" w:hAnsi="Times New Roman" w:cs="Times New Roman"/>
                <w:b w:val="0"/>
                <w:color w:val="auto"/>
                <w:sz w:val="26"/>
                <w:szCs w:val="26"/>
                <w:highlight w:val="none"/>
              </w:rPr>
              <w:t>由老至新</w:t>
            </w:r>
            <w:r>
              <w:rPr>
                <w:rFonts w:ascii="Times New Roman" w:hAnsi="Times New Roman" w:cs="Times New Roman"/>
                <w:b w:val="0"/>
                <w:color w:val="auto"/>
                <w:sz w:val="26"/>
                <w:szCs w:val="26"/>
                <w:highlight w:val="none"/>
              </w:rPr>
              <w:t>为</w:t>
            </w:r>
            <w:r>
              <w:rPr>
                <w:rFonts w:hint="eastAsia" w:ascii="Times New Roman" w:hAnsi="Times New Roman" w:cs="Times New Roman"/>
                <w:b w:val="0"/>
                <w:color w:val="auto"/>
                <w:sz w:val="26"/>
                <w:szCs w:val="26"/>
                <w:highlight w:val="none"/>
              </w:rPr>
              <w:t>元</w:t>
            </w:r>
            <w:r>
              <w:rPr>
                <w:rFonts w:ascii="Times New Roman" w:hAnsi="Times New Roman" w:cs="Times New Roman"/>
                <w:b w:val="0"/>
                <w:color w:val="auto"/>
                <w:sz w:val="26"/>
                <w:szCs w:val="26"/>
                <w:highlight w:val="none"/>
              </w:rPr>
              <w:t>古界</w:t>
            </w:r>
            <w:r>
              <w:rPr>
                <w:rFonts w:hint="eastAsia" w:ascii="Times New Roman" w:hAnsi="Times New Roman" w:cs="Times New Roman"/>
                <w:b w:val="0"/>
                <w:color w:val="auto"/>
                <w:sz w:val="26"/>
                <w:szCs w:val="26"/>
                <w:highlight w:val="none"/>
              </w:rPr>
              <w:t>昆阳群大龙口组</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、美党</w:t>
            </w:r>
            <w:r>
              <w:rPr>
                <w:rFonts w:ascii="Times New Roman" w:hAnsi="Times New Roman" w:cs="Times New Roman"/>
                <w:b w:val="0"/>
                <w:color w:val="auto"/>
                <w:sz w:val="26"/>
                <w:szCs w:val="26"/>
                <w:highlight w:val="none"/>
              </w:rPr>
              <w:t>组（P</w:t>
            </w:r>
            <w:r>
              <w:rPr>
                <w:rFonts w:hint="eastAsia" w:ascii="Times New Roman" w:hAnsi="Times New Roman" w:cs="Times New Roman"/>
                <w:b w:val="0"/>
                <w:color w:val="auto"/>
                <w:sz w:val="26"/>
                <w:szCs w:val="26"/>
                <w:highlight w:val="none"/>
              </w:rPr>
              <w:t>t</w:t>
            </w:r>
            <w:r>
              <w:rPr>
                <w:rFonts w:ascii="Times New Roman" w:hAnsi="Times New Roman" w:cs="Times New Roman"/>
                <w:b w:val="0"/>
                <w:color w:val="auto"/>
                <w:sz w:val="26"/>
                <w:szCs w:val="26"/>
                <w:highlight w:val="none"/>
              </w:rPr>
              <w:t>m）、</w:t>
            </w:r>
            <w:r>
              <w:rPr>
                <w:rFonts w:hint="eastAsia" w:ascii="Times New Roman" w:hAnsi="Times New Roman" w:cs="Times New Roman"/>
                <w:b w:val="0"/>
                <w:color w:val="auto"/>
                <w:spacing w:val="16"/>
                <w:sz w:val="26"/>
                <w:szCs w:val="26"/>
                <w:highlight w:val="none"/>
              </w:rPr>
              <w:t>因民</w:t>
            </w:r>
            <w:r>
              <w:rPr>
                <w:rFonts w:ascii="Times New Roman" w:hAnsi="Times New Roman" w:cs="Times New Roman"/>
                <w:b w:val="0"/>
                <w:color w:val="auto"/>
                <w:spacing w:val="16"/>
                <w:sz w:val="26"/>
                <w:szCs w:val="26"/>
                <w:highlight w:val="none"/>
              </w:rPr>
              <w:t>组（</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ty）、第四系（Q</w:t>
            </w:r>
            <w:r>
              <w:rPr>
                <w:rFonts w:hint="eastAsia" w:ascii="Times New Roman" w:hAnsi="Times New Roman" w:cs="Times New Roman"/>
                <w:b w:val="0"/>
                <w:color w:val="auto"/>
                <w:sz w:val="26"/>
                <w:szCs w:val="26"/>
                <w:highlight w:val="none"/>
                <w:vertAlign w:val="subscript"/>
              </w:rPr>
              <w:t>4</w:t>
            </w:r>
            <w:r>
              <w:rPr>
                <w:rFonts w:hint="eastAsia" w:ascii="Times New Roman" w:hAnsi="Times New Roman" w:cs="Times New Roman"/>
                <w:b w:val="0"/>
                <w:color w:val="auto"/>
                <w:sz w:val="26"/>
                <w:szCs w:val="26"/>
                <w:highlight w:val="none"/>
              </w:rPr>
              <w:t>）</w:t>
            </w:r>
            <w:r>
              <w:rPr>
                <w:rFonts w:ascii="Times New Roman" w:hAnsi="Times New Roman" w:cs="Times New Roman"/>
                <w:b w:val="0"/>
                <w:color w:val="auto"/>
                <w:sz w:val="26"/>
                <w:szCs w:val="26"/>
                <w:highlight w:val="none"/>
              </w:rPr>
              <w:t>，区域岩浆活动较</w:t>
            </w:r>
            <w:r>
              <w:rPr>
                <w:rFonts w:hint="eastAsia" w:ascii="Times New Roman" w:hAnsi="Times New Roman" w:cs="Times New Roman"/>
                <w:b w:val="0"/>
                <w:color w:val="auto"/>
                <w:sz w:val="26"/>
                <w:szCs w:val="26"/>
                <w:highlight w:val="none"/>
              </w:rPr>
              <w:t>强</w:t>
            </w:r>
            <w:r>
              <w:rPr>
                <w:rFonts w:ascii="Times New Roman" w:hAnsi="Times New Roman" w:cs="Times New Roman"/>
                <w:b w:val="0"/>
                <w:color w:val="auto"/>
                <w:sz w:val="26"/>
                <w:szCs w:val="26"/>
                <w:highlight w:val="none"/>
              </w:rPr>
              <w:t>，区内大面积出露</w:t>
            </w:r>
            <w:r>
              <w:rPr>
                <w:rFonts w:hint="eastAsia" w:ascii="Times New Roman" w:hAnsi="Times New Roman" w:cs="Times New Roman"/>
                <w:b w:val="0"/>
                <w:color w:val="auto"/>
                <w:sz w:val="26"/>
                <w:szCs w:val="26"/>
                <w:highlight w:val="none"/>
              </w:rPr>
              <w:t>昆阳群</w:t>
            </w:r>
            <w:r>
              <w:rPr>
                <w:rFonts w:ascii="Times New Roman" w:hAnsi="Times New Roman" w:cs="Times New Roman"/>
                <w:b w:val="0"/>
                <w:color w:val="auto"/>
                <w:sz w:val="26"/>
                <w:szCs w:val="26"/>
                <w:highlight w:val="none"/>
              </w:rPr>
              <w:t>碳酸盐岩地层，其中为</w:t>
            </w:r>
            <w:r>
              <w:rPr>
                <w:rFonts w:hint="eastAsia" w:ascii="Times New Roman" w:hAnsi="Times New Roman" w:cs="Times New Roman"/>
                <w:b w:val="0"/>
                <w:color w:val="auto"/>
                <w:sz w:val="26"/>
                <w:szCs w:val="26"/>
                <w:highlight w:val="none"/>
              </w:rPr>
              <w:t>元</w:t>
            </w:r>
            <w:r>
              <w:rPr>
                <w:rFonts w:ascii="Times New Roman" w:hAnsi="Times New Roman" w:cs="Times New Roman"/>
                <w:b w:val="0"/>
                <w:color w:val="auto"/>
                <w:sz w:val="26"/>
                <w:szCs w:val="26"/>
                <w:highlight w:val="none"/>
              </w:rPr>
              <w:t>古界</w:t>
            </w:r>
            <w:r>
              <w:rPr>
                <w:rFonts w:hint="eastAsia" w:ascii="Times New Roman" w:hAnsi="Times New Roman" w:cs="Times New Roman"/>
                <w:b w:val="0"/>
                <w:color w:val="auto"/>
                <w:sz w:val="26"/>
                <w:szCs w:val="26"/>
                <w:highlight w:val="none"/>
              </w:rPr>
              <w:t>昆阳群大龙口组</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、美党</w:t>
            </w:r>
            <w:r>
              <w:rPr>
                <w:rFonts w:ascii="Times New Roman" w:hAnsi="Times New Roman" w:cs="Times New Roman"/>
                <w:b w:val="0"/>
                <w:color w:val="auto"/>
                <w:sz w:val="26"/>
                <w:szCs w:val="26"/>
                <w:highlight w:val="none"/>
              </w:rPr>
              <w:t>组（P</w:t>
            </w:r>
            <w:r>
              <w:rPr>
                <w:rFonts w:hint="eastAsia" w:ascii="Times New Roman" w:hAnsi="Times New Roman" w:cs="Times New Roman"/>
                <w:b w:val="0"/>
                <w:color w:val="auto"/>
                <w:sz w:val="26"/>
                <w:szCs w:val="26"/>
                <w:highlight w:val="none"/>
              </w:rPr>
              <w:t>t</w:t>
            </w:r>
            <w:r>
              <w:rPr>
                <w:rFonts w:ascii="Times New Roman" w:hAnsi="Times New Roman" w:cs="Times New Roman"/>
                <w:b w:val="0"/>
                <w:color w:val="auto"/>
                <w:sz w:val="26"/>
                <w:szCs w:val="26"/>
                <w:highlight w:val="none"/>
              </w:rPr>
              <w:t>m）为矿区石灰岩矿重要含矿层位。区域地层情况见图</w:t>
            </w:r>
            <w:r>
              <w:rPr>
                <w:rFonts w:hint="eastAsia" w:cs="Times New Roman"/>
                <w:b w:val="0"/>
                <w:color w:val="auto"/>
                <w:sz w:val="26"/>
                <w:szCs w:val="26"/>
                <w:highlight w:val="none"/>
                <w:lang w:val="en-US" w:eastAsia="zh-CN"/>
              </w:rPr>
              <w:t>1-2</w:t>
            </w:r>
            <w:r>
              <w:rPr>
                <w:rFonts w:hint="eastAsia" w:ascii="Times New Roman" w:hAnsi="Times New Roman" w:cs="Times New Roman"/>
                <w:b w:val="0"/>
                <w:color w:val="auto"/>
                <w:sz w:val="26"/>
                <w:szCs w:val="26"/>
                <w:highlight w:val="none"/>
                <w:lang w:eastAsia="zh-CN"/>
              </w:rPr>
              <w:t>，</w:t>
            </w:r>
            <w:r>
              <w:rPr>
                <w:rFonts w:ascii="Times New Roman" w:hAnsi="Times New Roman" w:cs="Times New Roman"/>
                <w:b w:val="0"/>
                <w:color w:val="auto"/>
                <w:sz w:val="26"/>
                <w:szCs w:val="26"/>
                <w:highlight w:val="none"/>
              </w:rPr>
              <w:t>区域地层简表</w:t>
            </w:r>
            <w:r>
              <w:rPr>
                <w:rFonts w:hint="eastAsia" w:ascii="Times New Roman" w:hAnsi="Times New Roman" w:cs="Times New Roman"/>
                <w:b w:val="0"/>
                <w:color w:val="auto"/>
                <w:sz w:val="26"/>
                <w:szCs w:val="26"/>
                <w:highlight w:val="none"/>
                <w:lang w:val="en-US" w:eastAsia="zh-CN"/>
              </w:rPr>
              <w:t>见1-</w:t>
            </w:r>
            <w:r>
              <w:rPr>
                <w:rFonts w:hint="eastAsia" w:cs="Times New Roman"/>
                <w:b w:val="0"/>
                <w:color w:val="auto"/>
                <w:sz w:val="26"/>
                <w:szCs w:val="26"/>
                <w:highlight w:val="none"/>
                <w:lang w:val="en-US" w:eastAsia="zh-CN"/>
              </w:rPr>
              <w:t>5</w:t>
            </w:r>
            <w:r>
              <w:rPr>
                <w:rFonts w:ascii="Times New Roman" w:hAnsi="Times New Roman" w:cs="Times New Roman"/>
                <w:b w:val="0"/>
                <w:color w:val="auto"/>
                <w:sz w:val="26"/>
                <w:szCs w:val="26"/>
                <w:highlight w:val="none"/>
              </w:rPr>
              <w:t>。</w:t>
            </w:r>
          </w:p>
          <w:p w14:paraId="158C5BFE">
            <w:pPr>
              <w:pStyle w:val="42"/>
              <w:tabs>
                <w:tab w:val="left" w:pos="9498"/>
              </w:tabs>
              <w:ind w:firstLine="0" w:firstLineChars="0"/>
              <w:jc w:val="center"/>
              <w:rPr>
                <w:rFonts w:eastAsia="宋体"/>
                <w:b/>
                <w:bCs/>
                <w:color w:val="auto"/>
                <w:szCs w:val="28"/>
                <w:highlight w:val="none"/>
              </w:rPr>
            </w:pPr>
            <w:r>
              <w:rPr>
                <w:rFonts w:eastAsia="宋体"/>
                <w:b/>
                <w:bCs/>
                <w:color w:val="auto"/>
                <w:sz w:val="21"/>
                <w:szCs w:val="21"/>
                <w:highlight w:val="none"/>
                <w:lang w:val="zh-CN"/>
              </w:rPr>
              <w:t>表</w:t>
            </w:r>
            <w:r>
              <w:rPr>
                <w:rFonts w:hint="eastAsia" w:eastAsia="宋体"/>
                <w:b/>
                <w:bCs/>
                <w:color w:val="auto"/>
                <w:sz w:val="21"/>
                <w:szCs w:val="21"/>
                <w:highlight w:val="none"/>
                <w:lang w:val="en-US" w:eastAsia="zh-CN"/>
              </w:rPr>
              <w:t>1-5</w:t>
            </w:r>
            <w:r>
              <w:rPr>
                <w:rFonts w:eastAsia="宋体"/>
                <w:b/>
                <w:bCs/>
                <w:color w:val="auto"/>
                <w:sz w:val="21"/>
                <w:szCs w:val="21"/>
                <w:highlight w:val="none"/>
              </w:rPr>
              <w:t xml:space="preserve">  区域地质地层简表</w:t>
            </w:r>
          </w:p>
          <w:tbl>
            <w:tblPr>
              <w:tblStyle w:val="22"/>
              <w:tblW w:w="8301" w:type="dxa"/>
              <w:tblInd w:w="0" w:type="dxa"/>
              <w:tblLayout w:type="autofit"/>
              <w:tblCellMar>
                <w:top w:w="0" w:type="dxa"/>
                <w:left w:w="108" w:type="dxa"/>
                <w:bottom w:w="0" w:type="dxa"/>
                <w:right w:w="108" w:type="dxa"/>
              </w:tblCellMar>
            </w:tblPr>
            <w:tblGrid>
              <w:gridCol w:w="928"/>
              <w:gridCol w:w="928"/>
              <w:gridCol w:w="928"/>
              <w:gridCol w:w="928"/>
              <w:gridCol w:w="807"/>
              <w:gridCol w:w="1225"/>
              <w:gridCol w:w="2557"/>
            </w:tblGrid>
            <w:tr w14:paraId="7A29B0CC">
              <w:tblPrEx>
                <w:tblCellMar>
                  <w:top w:w="0" w:type="dxa"/>
                  <w:left w:w="108" w:type="dxa"/>
                  <w:bottom w:w="0" w:type="dxa"/>
                  <w:right w:w="108" w:type="dxa"/>
                </w:tblCellMar>
              </w:tblPrEx>
              <w:trPr>
                <w:trHeight w:val="340" w:hRule="exact"/>
              </w:trPr>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F6C489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界</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53CDF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系</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84E9B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统</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923110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组</w:t>
                  </w:r>
                </w:p>
              </w:tc>
              <w:tc>
                <w:tcPr>
                  <w:tcW w:w="49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C4495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代号</w:t>
                  </w:r>
                </w:p>
              </w:tc>
              <w:tc>
                <w:tcPr>
                  <w:tcW w:w="71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199441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厚度（</w:t>
                  </w:r>
                  <w:r>
                    <w:rPr>
                      <w:rFonts w:cs="Times New Roman"/>
                      <w:b w:val="0"/>
                      <w:bCs w:val="0"/>
                      <w:color w:val="auto"/>
                      <w:kern w:val="0"/>
                      <w:sz w:val="22"/>
                      <w:szCs w:val="22"/>
                      <w:highlight w:val="none"/>
                    </w:rPr>
                    <w:t>m</w:t>
                  </w:r>
                  <w:r>
                    <w:rPr>
                      <w:rFonts w:hint="eastAsia" w:cs="Times New Roman"/>
                      <w:b w:val="0"/>
                      <w:bCs w:val="0"/>
                      <w:color w:val="auto"/>
                      <w:kern w:val="0"/>
                      <w:sz w:val="22"/>
                      <w:szCs w:val="22"/>
                      <w:highlight w:val="none"/>
                    </w:rPr>
                    <w:t>）</w:t>
                  </w:r>
                </w:p>
              </w:tc>
              <w:tc>
                <w:tcPr>
                  <w:tcW w:w="154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6293D2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岩</w:t>
                  </w:r>
                  <w:r>
                    <w:rPr>
                      <w:rFonts w:cs="Times New Roman"/>
                      <w:b w:val="0"/>
                      <w:bCs w:val="0"/>
                      <w:color w:val="auto"/>
                      <w:kern w:val="0"/>
                      <w:sz w:val="22"/>
                      <w:szCs w:val="22"/>
                      <w:highlight w:val="none"/>
                    </w:rPr>
                    <w:t xml:space="preserve"> </w:t>
                  </w:r>
                  <w:r>
                    <w:rPr>
                      <w:rFonts w:hint="eastAsia" w:cs="Times New Roman"/>
                      <w:b w:val="0"/>
                      <w:bCs w:val="0"/>
                      <w:color w:val="auto"/>
                      <w:kern w:val="0"/>
                      <w:sz w:val="22"/>
                      <w:szCs w:val="22"/>
                      <w:highlight w:val="none"/>
                    </w:rPr>
                    <w:t>性</w:t>
                  </w:r>
                  <w:r>
                    <w:rPr>
                      <w:rFonts w:cs="Times New Roman"/>
                      <w:b w:val="0"/>
                      <w:bCs w:val="0"/>
                      <w:color w:val="auto"/>
                      <w:kern w:val="0"/>
                      <w:sz w:val="22"/>
                      <w:szCs w:val="22"/>
                      <w:highlight w:val="none"/>
                    </w:rPr>
                    <w:t xml:space="preserve"> </w:t>
                  </w:r>
                  <w:r>
                    <w:rPr>
                      <w:rFonts w:hint="eastAsia" w:cs="Times New Roman"/>
                      <w:b w:val="0"/>
                      <w:bCs w:val="0"/>
                      <w:color w:val="auto"/>
                      <w:kern w:val="0"/>
                      <w:sz w:val="22"/>
                      <w:szCs w:val="22"/>
                      <w:highlight w:val="none"/>
                    </w:rPr>
                    <w:t>简</w:t>
                  </w:r>
                  <w:r>
                    <w:rPr>
                      <w:rFonts w:cs="Times New Roman"/>
                      <w:b w:val="0"/>
                      <w:bCs w:val="0"/>
                      <w:color w:val="auto"/>
                      <w:kern w:val="0"/>
                      <w:sz w:val="22"/>
                      <w:szCs w:val="22"/>
                      <w:highlight w:val="none"/>
                    </w:rPr>
                    <w:t xml:space="preserve"> </w:t>
                  </w:r>
                  <w:r>
                    <w:rPr>
                      <w:rFonts w:hint="eastAsia" w:cs="Times New Roman"/>
                      <w:b w:val="0"/>
                      <w:bCs w:val="0"/>
                      <w:color w:val="auto"/>
                      <w:kern w:val="0"/>
                      <w:sz w:val="22"/>
                      <w:szCs w:val="22"/>
                      <w:highlight w:val="none"/>
                    </w:rPr>
                    <w:t>述</w:t>
                  </w:r>
                </w:p>
              </w:tc>
            </w:tr>
            <w:tr w14:paraId="19C682BE">
              <w:tblPrEx>
                <w:tblCellMar>
                  <w:top w:w="0" w:type="dxa"/>
                  <w:left w:w="108" w:type="dxa"/>
                  <w:bottom w:w="0" w:type="dxa"/>
                  <w:right w:w="108" w:type="dxa"/>
                </w:tblCellMar>
              </w:tblPrEx>
              <w:trPr>
                <w:trHeight w:val="312" w:hRule="atLeast"/>
              </w:trPr>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3CA7B08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6D6FEF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74B7AB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6C60104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0C36AEE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14:paraId="5D266E6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1543" w:type="pct"/>
                  <w:vMerge w:val="continue"/>
                  <w:tcBorders>
                    <w:top w:val="single" w:color="auto" w:sz="4" w:space="0"/>
                    <w:left w:val="single" w:color="auto" w:sz="4" w:space="0"/>
                    <w:bottom w:val="single" w:color="auto" w:sz="4" w:space="0"/>
                    <w:right w:val="single" w:color="auto" w:sz="4" w:space="0"/>
                  </w:tcBorders>
                  <w:noWrap w:val="0"/>
                  <w:vAlign w:val="center"/>
                </w:tcPr>
                <w:p w14:paraId="2FE6C44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r>
            <w:tr w14:paraId="292109DB">
              <w:tblPrEx>
                <w:tblCellMar>
                  <w:top w:w="0" w:type="dxa"/>
                  <w:left w:w="108" w:type="dxa"/>
                  <w:bottom w:w="0" w:type="dxa"/>
                  <w:right w:w="108" w:type="dxa"/>
                </w:tblCellMar>
              </w:tblPrEx>
              <w:trPr>
                <w:trHeight w:val="454" w:hRule="exact"/>
              </w:trPr>
              <w:tc>
                <w:tcPr>
                  <w:tcW w:w="563"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FBF7CE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新生界</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4F57A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第四系</w:t>
                  </w:r>
                </w:p>
              </w:tc>
              <w:tc>
                <w:tcPr>
                  <w:tcW w:w="563"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0624D4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全新统</w:t>
                  </w:r>
                </w:p>
              </w:tc>
              <w:tc>
                <w:tcPr>
                  <w:tcW w:w="563" w:type="pct"/>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A87208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490"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36DA878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Q</w:t>
                  </w:r>
                  <w:r>
                    <w:rPr>
                      <w:rFonts w:cs="Times New Roman"/>
                      <w:b w:val="0"/>
                      <w:bCs w:val="0"/>
                      <w:color w:val="auto"/>
                      <w:kern w:val="0"/>
                      <w:sz w:val="22"/>
                      <w:szCs w:val="22"/>
                      <w:highlight w:val="none"/>
                      <w:vertAlign w:val="subscript"/>
                    </w:rPr>
                    <w:t>4</w:t>
                  </w:r>
                </w:p>
              </w:tc>
              <w:tc>
                <w:tcPr>
                  <w:tcW w:w="713"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4DFE9F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&gt;20</w:t>
                  </w:r>
                </w:p>
              </w:tc>
              <w:tc>
                <w:tcPr>
                  <w:tcW w:w="1543" w:type="pct"/>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44C79C9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冲积、洪积、湖积成因的砾石、粘土、砂。</w:t>
                  </w:r>
                </w:p>
              </w:tc>
            </w:tr>
            <w:tr w14:paraId="3FC0416D">
              <w:tblPrEx>
                <w:tblCellMar>
                  <w:top w:w="0" w:type="dxa"/>
                  <w:left w:w="108" w:type="dxa"/>
                  <w:bottom w:w="0" w:type="dxa"/>
                  <w:right w:w="108" w:type="dxa"/>
                </w:tblCellMar>
              </w:tblPrEx>
              <w:trPr>
                <w:trHeight w:val="312" w:hRule="atLeast"/>
              </w:trPr>
              <w:tc>
                <w:tcPr>
                  <w:tcW w:w="563" w:type="pct"/>
                  <w:vMerge w:val="continue"/>
                  <w:tcBorders>
                    <w:top w:val="nil"/>
                    <w:left w:val="single" w:color="auto" w:sz="4" w:space="0"/>
                    <w:bottom w:val="single" w:color="000000" w:sz="4" w:space="0"/>
                    <w:right w:val="single" w:color="auto" w:sz="4" w:space="0"/>
                  </w:tcBorders>
                  <w:noWrap w:val="0"/>
                  <w:vAlign w:val="center"/>
                </w:tcPr>
                <w:p w14:paraId="071C120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nil"/>
                    <w:left w:val="single" w:color="auto" w:sz="4" w:space="0"/>
                    <w:bottom w:val="single" w:color="auto" w:sz="4" w:space="0"/>
                    <w:right w:val="single" w:color="auto" w:sz="4" w:space="0"/>
                  </w:tcBorders>
                  <w:noWrap w:val="0"/>
                  <w:vAlign w:val="center"/>
                </w:tcPr>
                <w:p w14:paraId="6BF4CF5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single" w:color="auto" w:sz="4" w:space="0"/>
                    <w:left w:val="single" w:color="auto" w:sz="4" w:space="0"/>
                    <w:bottom w:val="single" w:color="auto" w:sz="4" w:space="0"/>
                    <w:right w:val="single" w:color="auto" w:sz="4" w:space="0"/>
                  </w:tcBorders>
                  <w:noWrap w:val="0"/>
                  <w:vAlign w:val="center"/>
                </w:tcPr>
                <w:p w14:paraId="4D17BE4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single" w:color="auto" w:sz="4" w:space="0"/>
                    <w:left w:val="single" w:color="auto" w:sz="4" w:space="0"/>
                    <w:bottom w:val="single" w:color="auto" w:sz="4" w:space="0"/>
                    <w:right w:val="single" w:color="000000" w:sz="4" w:space="0"/>
                  </w:tcBorders>
                  <w:noWrap w:val="0"/>
                  <w:vAlign w:val="center"/>
                </w:tcPr>
                <w:p w14:paraId="728DDC2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490" w:type="pct"/>
                  <w:vMerge w:val="continue"/>
                  <w:tcBorders>
                    <w:top w:val="single" w:color="auto" w:sz="4" w:space="0"/>
                    <w:left w:val="single" w:color="auto" w:sz="4" w:space="0"/>
                    <w:bottom w:val="wave" w:color="auto" w:sz="6" w:space="0"/>
                    <w:right w:val="single" w:color="auto" w:sz="4" w:space="0"/>
                  </w:tcBorders>
                  <w:noWrap w:val="0"/>
                  <w:vAlign w:val="center"/>
                </w:tcPr>
                <w:p w14:paraId="45D25F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713" w:type="pct"/>
                  <w:vMerge w:val="continue"/>
                  <w:tcBorders>
                    <w:top w:val="single" w:color="auto" w:sz="4" w:space="0"/>
                    <w:left w:val="single" w:color="auto" w:sz="4" w:space="0"/>
                    <w:bottom w:val="single" w:color="000000" w:sz="4" w:space="0"/>
                    <w:right w:val="single" w:color="auto" w:sz="4" w:space="0"/>
                  </w:tcBorders>
                  <w:noWrap w:val="0"/>
                  <w:vAlign w:val="center"/>
                </w:tcPr>
                <w:p w14:paraId="13D12F8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1543" w:type="pct"/>
                  <w:vMerge w:val="continue"/>
                  <w:tcBorders>
                    <w:top w:val="single" w:color="auto" w:sz="4" w:space="0"/>
                    <w:left w:val="single" w:color="auto" w:sz="4" w:space="0"/>
                    <w:bottom w:val="single" w:color="000000" w:sz="4" w:space="0"/>
                    <w:right w:val="single" w:color="auto" w:sz="4" w:space="0"/>
                  </w:tcBorders>
                  <w:noWrap w:val="0"/>
                  <w:vAlign w:val="center"/>
                </w:tcPr>
                <w:p w14:paraId="192FCA0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r>
            <w:tr w14:paraId="6243B5BC">
              <w:tblPrEx>
                <w:tblCellMar>
                  <w:top w:w="0" w:type="dxa"/>
                  <w:left w:w="108" w:type="dxa"/>
                  <w:bottom w:w="0" w:type="dxa"/>
                  <w:right w:w="108" w:type="dxa"/>
                </w:tblCellMar>
              </w:tblPrEx>
              <w:trPr>
                <w:trHeight w:val="762" w:hRule="atLeast"/>
              </w:trPr>
              <w:tc>
                <w:tcPr>
                  <w:tcW w:w="563" w:type="pct"/>
                  <w:vMerge w:val="restart"/>
                  <w:tcBorders>
                    <w:top w:val="nil"/>
                    <w:left w:val="single" w:color="auto" w:sz="4" w:space="0"/>
                    <w:bottom w:val="single" w:color="auto" w:sz="4" w:space="0"/>
                    <w:right w:val="single" w:color="auto" w:sz="4" w:space="0"/>
                  </w:tcBorders>
                  <w:shd w:val="clear" w:color="auto" w:fill="auto"/>
                  <w:noWrap w:val="0"/>
                  <w:vAlign w:val="center"/>
                </w:tcPr>
                <w:p w14:paraId="1C4E56F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元古界</w:t>
                  </w:r>
                </w:p>
              </w:tc>
              <w:tc>
                <w:tcPr>
                  <w:tcW w:w="563" w:type="pct"/>
                  <w:vMerge w:val="restart"/>
                  <w:tcBorders>
                    <w:top w:val="nil"/>
                    <w:left w:val="single" w:color="auto" w:sz="4" w:space="0"/>
                    <w:bottom w:val="single" w:color="auto" w:sz="4" w:space="0"/>
                    <w:right w:val="single" w:color="auto" w:sz="4" w:space="0"/>
                  </w:tcBorders>
                  <w:shd w:val="clear" w:color="auto" w:fill="auto"/>
                  <w:noWrap w:val="0"/>
                  <w:vAlign w:val="center"/>
                </w:tcPr>
                <w:p w14:paraId="30413D7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震旦系</w:t>
                  </w:r>
                </w:p>
              </w:tc>
              <w:tc>
                <w:tcPr>
                  <w:tcW w:w="563" w:type="pct"/>
                  <w:vMerge w:val="restart"/>
                  <w:tcBorders>
                    <w:top w:val="nil"/>
                    <w:left w:val="single" w:color="auto" w:sz="4" w:space="0"/>
                    <w:bottom w:val="single" w:color="auto" w:sz="4" w:space="0"/>
                    <w:right w:val="single" w:color="auto" w:sz="4" w:space="0"/>
                  </w:tcBorders>
                  <w:shd w:val="clear" w:color="auto" w:fill="auto"/>
                  <w:noWrap w:val="0"/>
                  <w:vAlign w:val="center"/>
                </w:tcPr>
                <w:p w14:paraId="61DF916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tcBorders>
                    <w:top w:val="single" w:color="auto" w:sz="4" w:space="0"/>
                    <w:left w:val="nil"/>
                    <w:bottom w:val="single" w:color="auto" w:sz="4" w:space="0"/>
                    <w:right w:val="single" w:color="auto" w:sz="4" w:space="0"/>
                  </w:tcBorders>
                  <w:shd w:val="clear" w:color="auto" w:fill="auto"/>
                  <w:noWrap w:val="0"/>
                  <w:vAlign w:val="center"/>
                </w:tcPr>
                <w:p w14:paraId="09E437C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因民组</w:t>
                  </w:r>
                </w:p>
              </w:tc>
              <w:tc>
                <w:tcPr>
                  <w:tcW w:w="490" w:type="pct"/>
                  <w:tcBorders>
                    <w:top w:val="wave" w:color="auto" w:sz="6" w:space="0"/>
                    <w:left w:val="nil"/>
                    <w:bottom w:val="single" w:color="auto" w:sz="4" w:space="0"/>
                    <w:right w:val="single" w:color="auto" w:sz="4" w:space="0"/>
                  </w:tcBorders>
                  <w:shd w:val="clear" w:color="auto" w:fill="auto"/>
                  <w:noWrap w:val="0"/>
                  <w:vAlign w:val="center"/>
                </w:tcPr>
                <w:p w14:paraId="2932F8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Pty</w:t>
                  </w:r>
                </w:p>
              </w:tc>
              <w:tc>
                <w:tcPr>
                  <w:tcW w:w="713" w:type="pct"/>
                  <w:tcBorders>
                    <w:top w:val="nil"/>
                    <w:left w:val="nil"/>
                    <w:bottom w:val="single" w:color="auto" w:sz="4" w:space="0"/>
                    <w:right w:val="single" w:color="auto" w:sz="4" w:space="0"/>
                  </w:tcBorders>
                  <w:shd w:val="clear" w:color="auto" w:fill="auto"/>
                  <w:noWrap w:val="0"/>
                  <w:vAlign w:val="center"/>
                </w:tcPr>
                <w:p w14:paraId="23E1061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106-520.5</w:t>
                  </w:r>
                </w:p>
              </w:tc>
              <w:tc>
                <w:tcPr>
                  <w:tcW w:w="1543" w:type="pct"/>
                  <w:tcBorders>
                    <w:top w:val="nil"/>
                    <w:left w:val="nil"/>
                    <w:bottom w:val="single" w:color="auto" w:sz="4" w:space="0"/>
                    <w:right w:val="single" w:color="auto" w:sz="4" w:space="0"/>
                  </w:tcBorders>
                  <w:shd w:val="clear" w:color="auto" w:fill="auto"/>
                  <w:noWrap w:val="0"/>
                  <w:vAlign w:val="center"/>
                </w:tcPr>
                <w:p w14:paraId="0533C35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灰绿色、灰紫色薄-中层状绢云母板岩与白云岩不等互层。</w:t>
                  </w:r>
                </w:p>
              </w:tc>
            </w:tr>
            <w:tr w14:paraId="5D9A3917">
              <w:tblPrEx>
                <w:tblCellMar>
                  <w:top w:w="0" w:type="dxa"/>
                  <w:left w:w="108" w:type="dxa"/>
                  <w:bottom w:w="0" w:type="dxa"/>
                  <w:right w:w="108" w:type="dxa"/>
                </w:tblCellMar>
              </w:tblPrEx>
              <w:trPr>
                <w:trHeight w:val="750" w:hRule="atLeast"/>
              </w:trPr>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C97B4D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FE9BD4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EBF57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tcBorders>
                    <w:top w:val="single" w:color="auto" w:sz="4" w:space="0"/>
                    <w:left w:val="nil"/>
                    <w:bottom w:val="single" w:color="auto" w:sz="4" w:space="0"/>
                    <w:right w:val="single" w:color="auto" w:sz="4" w:space="0"/>
                  </w:tcBorders>
                  <w:shd w:val="clear" w:color="auto" w:fill="auto"/>
                  <w:noWrap w:val="0"/>
                  <w:vAlign w:val="center"/>
                </w:tcPr>
                <w:p w14:paraId="566489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美党组</w:t>
                  </w:r>
                </w:p>
              </w:tc>
              <w:tc>
                <w:tcPr>
                  <w:tcW w:w="490" w:type="pct"/>
                  <w:tcBorders>
                    <w:top w:val="nil"/>
                    <w:left w:val="nil"/>
                    <w:bottom w:val="single" w:color="auto" w:sz="4" w:space="0"/>
                    <w:right w:val="single" w:color="auto" w:sz="4" w:space="0"/>
                  </w:tcBorders>
                  <w:shd w:val="clear" w:color="auto" w:fill="auto"/>
                  <w:noWrap w:val="0"/>
                  <w:vAlign w:val="center"/>
                </w:tcPr>
                <w:p w14:paraId="783A45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Ptm</w:t>
                  </w:r>
                </w:p>
              </w:tc>
              <w:tc>
                <w:tcPr>
                  <w:tcW w:w="713" w:type="pct"/>
                  <w:tcBorders>
                    <w:top w:val="nil"/>
                    <w:left w:val="nil"/>
                    <w:bottom w:val="single" w:color="auto" w:sz="4" w:space="0"/>
                    <w:right w:val="single" w:color="auto" w:sz="4" w:space="0"/>
                  </w:tcBorders>
                  <w:shd w:val="clear" w:color="auto" w:fill="auto"/>
                  <w:noWrap w:val="0"/>
                  <w:vAlign w:val="center"/>
                </w:tcPr>
                <w:p w14:paraId="41B97D7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286.4-1450</w:t>
                  </w:r>
                </w:p>
              </w:tc>
              <w:tc>
                <w:tcPr>
                  <w:tcW w:w="1543" w:type="pct"/>
                  <w:tcBorders>
                    <w:top w:val="nil"/>
                    <w:left w:val="nil"/>
                    <w:bottom w:val="single" w:color="auto" w:sz="4" w:space="0"/>
                    <w:right w:val="single" w:color="auto" w:sz="4" w:space="0"/>
                  </w:tcBorders>
                  <w:shd w:val="clear" w:color="auto" w:fill="auto"/>
                  <w:noWrap w:val="0"/>
                  <w:vAlign w:val="center"/>
                </w:tcPr>
                <w:p w14:paraId="48479D4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灰、深灰色薄-中层状灰岩，局部夹白云质灰岩。</w:t>
                  </w:r>
                </w:p>
              </w:tc>
            </w:tr>
            <w:tr w14:paraId="5C9943F7">
              <w:tblPrEx>
                <w:tblCellMar>
                  <w:top w:w="0" w:type="dxa"/>
                  <w:left w:w="108" w:type="dxa"/>
                  <w:bottom w:w="0" w:type="dxa"/>
                  <w:right w:w="108" w:type="dxa"/>
                </w:tblCellMar>
              </w:tblPrEx>
              <w:trPr>
                <w:trHeight w:val="1203" w:hRule="atLeast"/>
              </w:trPr>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241C85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55C127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13745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p>
              </w:tc>
              <w:tc>
                <w:tcPr>
                  <w:tcW w:w="563" w:type="pct"/>
                  <w:tcBorders>
                    <w:top w:val="single" w:color="auto" w:sz="4" w:space="0"/>
                    <w:left w:val="nil"/>
                    <w:bottom w:val="single" w:color="auto" w:sz="4" w:space="0"/>
                    <w:right w:val="single" w:color="auto" w:sz="4" w:space="0"/>
                  </w:tcBorders>
                  <w:shd w:val="clear" w:color="auto" w:fill="auto"/>
                  <w:noWrap w:val="0"/>
                  <w:vAlign w:val="center"/>
                </w:tcPr>
                <w:p w14:paraId="6680F07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大龙口组</w:t>
                  </w:r>
                </w:p>
              </w:tc>
              <w:tc>
                <w:tcPr>
                  <w:tcW w:w="490" w:type="pct"/>
                  <w:tcBorders>
                    <w:top w:val="nil"/>
                    <w:left w:val="nil"/>
                    <w:bottom w:val="single" w:color="auto" w:sz="4" w:space="0"/>
                    <w:right w:val="single" w:color="auto" w:sz="4" w:space="0"/>
                  </w:tcBorders>
                  <w:shd w:val="clear" w:color="auto" w:fill="auto"/>
                  <w:noWrap w:val="0"/>
                  <w:vAlign w:val="center"/>
                </w:tcPr>
                <w:p w14:paraId="032FA1F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Ptd</w:t>
                  </w:r>
                </w:p>
              </w:tc>
              <w:tc>
                <w:tcPr>
                  <w:tcW w:w="713" w:type="pct"/>
                  <w:tcBorders>
                    <w:top w:val="nil"/>
                    <w:left w:val="nil"/>
                    <w:bottom w:val="single" w:color="auto" w:sz="4" w:space="0"/>
                    <w:right w:val="single" w:color="auto" w:sz="4" w:space="0"/>
                  </w:tcBorders>
                  <w:shd w:val="clear" w:color="auto" w:fill="auto"/>
                  <w:noWrap w:val="0"/>
                  <w:vAlign w:val="center"/>
                </w:tcPr>
                <w:p w14:paraId="135D24E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cs="Times New Roman"/>
                      <w:b w:val="0"/>
                      <w:bCs w:val="0"/>
                      <w:color w:val="auto"/>
                      <w:kern w:val="0"/>
                      <w:sz w:val="22"/>
                      <w:szCs w:val="22"/>
                      <w:highlight w:val="none"/>
                    </w:rPr>
                    <w:t>640.1</w:t>
                  </w:r>
                </w:p>
              </w:tc>
              <w:tc>
                <w:tcPr>
                  <w:tcW w:w="1543" w:type="pct"/>
                  <w:tcBorders>
                    <w:top w:val="nil"/>
                    <w:left w:val="nil"/>
                    <w:bottom w:val="single" w:color="auto" w:sz="4" w:space="0"/>
                    <w:right w:val="single" w:color="auto" w:sz="4" w:space="0"/>
                  </w:tcBorders>
                  <w:shd w:val="clear" w:color="auto" w:fill="auto"/>
                  <w:noWrap w:val="0"/>
                  <w:vAlign w:val="center"/>
                </w:tcPr>
                <w:p w14:paraId="796752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kern w:val="0"/>
                      <w:sz w:val="22"/>
                      <w:szCs w:val="22"/>
                      <w:highlight w:val="none"/>
                    </w:rPr>
                  </w:pPr>
                  <w:r>
                    <w:rPr>
                      <w:rFonts w:hint="eastAsia" w:cs="Times New Roman"/>
                      <w:b w:val="0"/>
                      <w:bCs w:val="0"/>
                      <w:color w:val="auto"/>
                      <w:kern w:val="0"/>
                      <w:sz w:val="22"/>
                      <w:szCs w:val="22"/>
                      <w:highlight w:val="none"/>
                    </w:rPr>
                    <w:t>上部为灰色、灰白色中-厚层状灰。下部为白云质灰岩。为一套海相沉积盐岩。</w:t>
                  </w:r>
                </w:p>
              </w:tc>
            </w:tr>
          </w:tbl>
          <w:p w14:paraId="0B75832B">
            <w:pPr>
              <w:pStyle w:val="15"/>
              <w:keepNext w:val="0"/>
              <w:keepLines w:val="0"/>
              <w:pageBreakBefore w:val="0"/>
              <w:widowControl w:val="0"/>
              <w:kinsoku/>
              <w:wordWrap/>
              <w:overflowPunct/>
              <w:topLinePunct w:val="0"/>
              <w:autoSpaceDE/>
              <w:autoSpaceDN/>
              <w:bidi w:val="0"/>
              <w:adjustRightInd/>
              <w:snapToGrid/>
              <w:spacing w:line="480" w:lineRule="atLeast"/>
              <w:ind w:firstLine="0" w:firstLineChars="0"/>
              <w:jc w:val="center"/>
              <w:textAlignment w:val="auto"/>
              <w:rPr>
                <w:rFonts w:hint="eastAsia" w:ascii="Times New Roman" w:hAnsi="Times New Roman"/>
                <w:b w:val="0"/>
                <w:bCs w:val="0"/>
                <w:color w:val="auto"/>
                <w:sz w:val="26"/>
                <w:szCs w:val="26"/>
                <w:highlight w:val="none"/>
                <w:lang w:val="en-US" w:eastAsia="zh-CN" w:bidi="en-US"/>
              </w:rPr>
            </w:pPr>
            <w:r>
              <w:rPr>
                <w:color w:val="auto"/>
                <w:sz w:val="28"/>
                <w:szCs w:val="28"/>
                <w:highlight w:val="none"/>
              </w:rPr>
              <w:drawing>
                <wp:inline distT="0" distB="0" distL="114300" distR="114300">
                  <wp:extent cx="5258435" cy="4284345"/>
                  <wp:effectExtent l="0" t="0" r="18415" b="1905"/>
                  <wp:docPr id="9" name="图片 9" descr="老干沟地形地质图(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老干沟地形地质图(CJ)"/>
                          <pic:cNvPicPr>
                            <a:picLocks noChangeAspect="1"/>
                          </pic:cNvPicPr>
                        </pic:nvPicPr>
                        <pic:blipFill>
                          <a:blip r:embed="rId16"/>
                          <a:stretch>
                            <a:fillRect/>
                          </a:stretch>
                        </pic:blipFill>
                        <pic:spPr>
                          <a:xfrm>
                            <a:off x="0" y="0"/>
                            <a:ext cx="5258435" cy="4284345"/>
                          </a:xfrm>
                          <a:prstGeom prst="rect">
                            <a:avLst/>
                          </a:prstGeom>
                          <a:noFill/>
                          <a:ln>
                            <a:noFill/>
                          </a:ln>
                        </pic:spPr>
                      </pic:pic>
                    </a:graphicData>
                  </a:graphic>
                </wp:inline>
              </w:drawing>
            </w:r>
          </w:p>
          <w:p w14:paraId="33A0360C">
            <w:pPr>
              <w:pStyle w:val="15"/>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Times New Roman" w:hAnsi="Times New Roman"/>
                <w:b/>
                <w:bCs/>
                <w:color w:val="auto"/>
                <w:sz w:val="21"/>
                <w:szCs w:val="21"/>
                <w:highlight w:val="none"/>
                <w:lang w:val="en-US" w:eastAsia="zh-CN" w:bidi="en-US"/>
              </w:rPr>
            </w:pPr>
            <w:r>
              <w:rPr>
                <w:rFonts w:hint="eastAsia" w:ascii="Times New Roman" w:hAnsi="Times New Roman"/>
                <w:b/>
                <w:bCs/>
                <w:color w:val="auto"/>
                <w:sz w:val="21"/>
                <w:szCs w:val="21"/>
                <w:highlight w:val="none"/>
                <w:lang w:val="en-US" w:eastAsia="zh-CN" w:bidi="en-US"/>
              </w:rPr>
              <w:t>图1-2  区域地层简图</w:t>
            </w:r>
          </w:p>
          <w:p w14:paraId="48991EF5">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val="en-US" w:eastAsia="zh-CN" w:bidi="en-US"/>
              </w:rPr>
            </w:pPr>
            <w:r>
              <w:rPr>
                <w:rFonts w:hint="eastAsia" w:ascii="Times New Roman" w:hAnsi="Times New Roman"/>
                <w:b/>
                <w:bCs/>
                <w:color w:val="auto"/>
                <w:sz w:val="26"/>
                <w:szCs w:val="26"/>
                <w:highlight w:val="none"/>
                <w:lang w:val="en-US" w:eastAsia="zh-CN" w:bidi="en-US"/>
              </w:rPr>
              <w:t>5.2区域构造</w:t>
            </w:r>
          </w:p>
          <w:p w14:paraId="0C528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矿区所在区域位于川滇南北向构造带中部。由于构造应力场复杂，构造运动具有多期性和继承性，褶皱和断裂较发育。根据各种构造行迹的展布及其成生联系分析，主要分为南北向构造、东西向构造及新华夏系三大构造体系。区内南北向构造发育多，系区内构造之主体，其中南北向压或压扭性断裂最为发育，南北向构造多受新华夏构造的切割，交角不大，呈斜接复合，局部呈重接复合关系。东西向构造均受南北向构造带的干扰和改造，致使构造行迹呈片段出现，且二者呈直角相交。二者不具生成联系，各有其完整性和独特性，呈反接复合关系。</w:t>
            </w:r>
          </w:p>
          <w:p w14:paraId="4B789B03">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val="en-US" w:eastAsia="zh-CN" w:bidi="en-US"/>
              </w:rPr>
            </w:pPr>
            <w:bookmarkStart w:id="5" w:name="_Toc376711438"/>
            <w:bookmarkStart w:id="6" w:name="_Toc167759609"/>
            <w:bookmarkStart w:id="7" w:name="_Toc376711261"/>
            <w:bookmarkStart w:id="8" w:name="_Toc50468662"/>
            <w:r>
              <w:rPr>
                <w:rFonts w:hint="eastAsia" w:ascii="Times New Roman" w:hAnsi="Times New Roman"/>
                <w:b/>
                <w:bCs/>
                <w:color w:val="auto"/>
                <w:sz w:val="26"/>
                <w:szCs w:val="26"/>
                <w:highlight w:val="none"/>
                <w:lang w:val="en-US" w:eastAsia="zh-CN" w:bidi="en-US"/>
              </w:rPr>
              <w:t>5.3矿区</w:t>
            </w:r>
            <w:bookmarkEnd w:id="5"/>
            <w:bookmarkEnd w:id="6"/>
            <w:bookmarkEnd w:id="7"/>
            <w:r>
              <w:rPr>
                <w:rFonts w:hint="eastAsia" w:ascii="Times New Roman" w:hAnsi="Times New Roman"/>
                <w:b/>
                <w:bCs/>
                <w:color w:val="auto"/>
                <w:sz w:val="26"/>
                <w:szCs w:val="26"/>
                <w:highlight w:val="none"/>
                <w:lang w:val="en-US" w:eastAsia="zh-CN" w:bidi="en-US"/>
              </w:rPr>
              <w:t>地层</w:t>
            </w:r>
            <w:bookmarkEnd w:id="8"/>
          </w:p>
          <w:p w14:paraId="6E14BE8C">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color w:val="auto"/>
                <w:sz w:val="26"/>
                <w:szCs w:val="26"/>
                <w:highlight w:val="none"/>
              </w:rPr>
            </w:pPr>
            <w:r>
              <w:rPr>
                <w:color w:val="auto"/>
                <w:sz w:val="26"/>
                <w:szCs w:val="26"/>
                <w:highlight w:val="none"/>
              </w:rPr>
              <w:t>矿区及矿区附近主要出露地层为</w:t>
            </w:r>
            <w:r>
              <w:rPr>
                <w:rFonts w:hint="eastAsia"/>
                <w:color w:val="auto"/>
                <w:sz w:val="26"/>
                <w:szCs w:val="26"/>
                <w:highlight w:val="none"/>
              </w:rPr>
              <w:t>元</w:t>
            </w:r>
            <w:r>
              <w:rPr>
                <w:color w:val="auto"/>
                <w:sz w:val="26"/>
                <w:szCs w:val="26"/>
                <w:highlight w:val="none"/>
              </w:rPr>
              <w:t>古界</w:t>
            </w:r>
            <w:r>
              <w:rPr>
                <w:rFonts w:hint="eastAsia"/>
                <w:color w:val="auto"/>
                <w:sz w:val="26"/>
                <w:szCs w:val="26"/>
                <w:highlight w:val="none"/>
              </w:rPr>
              <w:t>昆阳群大龙口组下段</w:t>
            </w:r>
            <w:r>
              <w:rPr>
                <w:color w:val="auto"/>
                <w:sz w:val="26"/>
                <w:szCs w:val="26"/>
                <w:highlight w:val="none"/>
              </w:rPr>
              <w:t>（P</w:t>
            </w:r>
            <w:r>
              <w:rPr>
                <w:rFonts w:hint="eastAsia"/>
                <w:color w:val="auto"/>
                <w:sz w:val="26"/>
                <w:szCs w:val="26"/>
                <w:highlight w:val="none"/>
              </w:rPr>
              <w:t>td</w:t>
            </w:r>
            <w:r>
              <w:rPr>
                <w:rFonts w:hint="eastAsia"/>
                <w:color w:val="auto"/>
                <w:sz w:val="26"/>
                <w:szCs w:val="26"/>
                <w:highlight w:val="none"/>
                <w:vertAlign w:val="superscript"/>
              </w:rPr>
              <w:t>1</w:t>
            </w:r>
            <w:r>
              <w:rPr>
                <w:color w:val="auto"/>
                <w:sz w:val="26"/>
                <w:szCs w:val="26"/>
                <w:highlight w:val="none"/>
              </w:rPr>
              <w:t>）</w:t>
            </w:r>
            <w:r>
              <w:rPr>
                <w:rFonts w:hint="eastAsia"/>
                <w:color w:val="auto"/>
                <w:sz w:val="26"/>
                <w:szCs w:val="26"/>
                <w:highlight w:val="none"/>
              </w:rPr>
              <w:t>、大龙口组上段</w:t>
            </w:r>
            <w:r>
              <w:rPr>
                <w:color w:val="auto"/>
                <w:sz w:val="26"/>
                <w:szCs w:val="26"/>
                <w:highlight w:val="none"/>
              </w:rPr>
              <w:t>（P</w:t>
            </w:r>
            <w:r>
              <w:rPr>
                <w:rFonts w:hint="eastAsia"/>
                <w:color w:val="auto"/>
                <w:sz w:val="26"/>
                <w:szCs w:val="26"/>
                <w:highlight w:val="none"/>
              </w:rPr>
              <w:t>td</w:t>
            </w:r>
            <w:r>
              <w:rPr>
                <w:rFonts w:hint="eastAsia"/>
                <w:color w:val="auto"/>
                <w:sz w:val="26"/>
                <w:szCs w:val="26"/>
                <w:highlight w:val="none"/>
                <w:vertAlign w:val="superscript"/>
              </w:rPr>
              <w:t>2</w:t>
            </w:r>
            <w:r>
              <w:rPr>
                <w:color w:val="auto"/>
                <w:sz w:val="26"/>
                <w:szCs w:val="26"/>
                <w:highlight w:val="none"/>
              </w:rPr>
              <w:t>）</w:t>
            </w:r>
            <w:r>
              <w:rPr>
                <w:rFonts w:hint="eastAsia"/>
                <w:color w:val="auto"/>
                <w:sz w:val="26"/>
                <w:szCs w:val="26"/>
                <w:highlight w:val="none"/>
              </w:rPr>
              <w:t>、美党</w:t>
            </w:r>
            <w:r>
              <w:rPr>
                <w:color w:val="auto"/>
                <w:sz w:val="26"/>
                <w:szCs w:val="26"/>
                <w:highlight w:val="none"/>
              </w:rPr>
              <w:t>组（P</w:t>
            </w:r>
            <w:r>
              <w:rPr>
                <w:rFonts w:hint="eastAsia"/>
                <w:color w:val="auto"/>
                <w:sz w:val="26"/>
                <w:szCs w:val="26"/>
                <w:highlight w:val="none"/>
              </w:rPr>
              <w:t>t</w:t>
            </w:r>
            <w:r>
              <w:rPr>
                <w:color w:val="auto"/>
                <w:sz w:val="26"/>
                <w:szCs w:val="26"/>
                <w:highlight w:val="none"/>
              </w:rPr>
              <w:t>m）</w:t>
            </w:r>
            <w:r>
              <w:rPr>
                <w:rFonts w:hint="eastAsia"/>
                <w:color w:val="auto"/>
                <w:spacing w:val="16"/>
                <w:sz w:val="26"/>
                <w:szCs w:val="26"/>
                <w:highlight w:val="none"/>
              </w:rPr>
              <w:t>，</w:t>
            </w:r>
            <w:r>
              <w:rPr>
                <w:color w:val="auto"/>
                <w:sz w:val="26"/>
                <w:szCs w:val="26"/>
                <w:highlight w:val="none"/>
              </w:rPr>
              <w:t>由</w:t>
            </w:r>
            <w:r>
              <w:rPr>
                <w:rFonts w:hint="eastAsia"/>
                <w:color w:val="auto"/>
                <w:sz w:val="26"/>
                <w:szCs w:val="26"/>
                <w:highlight w:val="none"/>
              </w:rPr>
              <w:t>老</w:t>
            </w:r>
            <w:r>
              <w:rPr>
                <w:color w:val="auto"/>
                <w:sz w:val="26"/>
                <w:szCs w:val="26"/>
                <w:highlight w:val="none"/>
              </w:rPr>
              <w:t>至</w:t>
            </w:r>
            <w:r>
              <w:rPr>
                <w:rFonts w:hint="eastAsia"/>
                <w:color w:val="auto"/>
                <w:sz w:val="26"/>
                <w:szCs w:val="26"/>
                <w:highlight w:val="none"/>
              </w:rPr>
              <w:t>新</w:t>
            </w:r>
            <w:r>
              <w:rPr>
                <w:color w:val="auto"/>
                <w:sz w:val="26"/>
                <w:szCs w:val="26"/>
                <w:highlight w:val="none"/>
              </w:rPr>
              <w:t>简述如下：</w:t>
            </w:r>
          </w:p>
          <w:p w14:paraId="2CB7310C">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rPr>
            </w:pPr>
            <w:r>
              <w:rPr>
                <w:color w:val="auto"/>
                <w:sz w:val="26"/>
                <w:szCs w:val="26"/>
                <w:highlight w:val="none"/>
              </w:rPr>
              <w:t>（1）</w:t>
            </w:r>
            <w:r>
              <w:rPr>
                <w:rFonts w:hint="eastAsia"/>
                <w:color w:val="auto"/>
                <w:sz w:val="26"/>
                <w:szCs w:val="26"/>
                <w:highlight w:val="none"/>
              </w:rPr>
              <w:t>元</w:t>
            </w:r>
            <w:r>
              <w:rPr>
                <w:color w:val="auto"/>
                <w:sz w:val="26"/>
                <w:szCs w:val="26"/>
                <w:highlight w:val="none"/>
              </w:rPr>
              <w:t>古界</w:t>
            </w:r>
            <w:r>
              <w:rPr>
                <w:rFonts w:hint="eastAsia"/>
                <w:color w:val="auto"/>
                <w:sz w:val="26"/>
                <w:szCs w:val="26"/>
                <w:highlight w:val="none"/>
              </w:rPr>
              <w:t>昆阳群大龙口组下段</w:t>
            </w:r>
            <w:r>
              <w:rPr>
                <w:color w:val="auto"/>
                <w:sz w:val="26"/>
                <w:szCs w:val="26"/>
                <w:highlight w:val="none"/>
              </w:rPr>
              <w:t>（P</w:t>
            </w:r>
            <w:r>
              <w:rPr>
                <w:rFonts w:hint="eastAsia"/>
                <w:color w:val="auto"/>
                <w:sz w:val="26"/>
                <w:szCs w:val="26"/>
                <w:highlight w:val="none"/>
              </w:rPr>
              <w:t>td</w:t>
            </w:r>
            <w:r>
              <w:rPr>
                <w:rFonts w:hint="eastAsia"/>
                <w:color w:val="auto"/>
                <w:sz w:val="26"/>
                <w:szCs w:val="26"/>
                <w:highlight w:val="none"/>
                <w:vertAlign w:val="superscript"/>
              </w:rPr>
              <w:t>1</w:t>
            </w:r>
            <w:r>
              <w:rPr>
                <w:color w:val="auto"/>
                <w:sz w:val="26"/>
                <w:szCs w:val="26"/>
                <w:highlight w:val="none"/>
              </w:rPr>
              <w:t>）</w:t>
            </w:r>
          </w:p>
          <w:p w14:paraId="4840C7CC">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rPr>
            </w:pPr>
            <w:r>
              <w:rPr>
                <w:color w:val="auto"/>
                <w:sz w:val="26"/>
                <w:szCs w:val="26"/>
                <w:highlight w:val="none"/>
              </w:rPr>
              <w:t>分布于矿区东</w:t>
            </w:r>
            <w:r>
              <w:rPr>
                <w:rFonts w:hint="eastAsia"/>
                <w:color w:val="auto"/>
                <w:sz w:val="26"/>
                <w:szCs w:val="26"/>
                <w:highlight w:val="none"/>
              </w:rPr>
              <w:t>北部</w:t>
            </w:r>
            <w:r>
              <w:rPr>
                <w:color w:val="auto"/>
                <w:sz w:val="26"/>
                <w:szCs w:val="26"/>
                <w:highlight w:val="none"/>
              </w:rPr>
              <w:t>，岩性为灰</w:t>
            </w:r>
            <w:r>
              <w:rPr>
                <w:rFonts w:hint="eastAsia"/>
                <w:color w:val="auto"/>
                <w:sz w:val="26"/>
                <w:szCs w:val="26"/>
                <w:highlight w:val="none"/>
              </w:rPr>
              <w:t>白</w:t>
            </w:r>
            <w:r>
              <w:rPr>
                <w:color w:val="auto"/>
                <w:sz w:val="26"/>
                <w:szCs w:val="26"/>
                <w:highlight w:val="none"/>
              </w:rPr>
              <w:t>色、浅灰色</w:t>
            </w:r>
            <w:r>
              <w:rPr>
                <w:rFonts w:hint="eastAsia"/>
                <w:color w:val="auto"/>
                <w:sz w:val="26"/>
                <w:szCs w:val="26"/>
                <w:highlight w:val="none"/>
              </w:rPr>
              <w:t>白云质</w:t>
            </w:r>
            <w:r>
              <w:rPr>
                <w:color w:val="auto"/>
                <w:sz w:val="26"/>
                <w:szCs w:val="26"/>
                <w:highlight w:val="none"/>
              </w:rPr>
              <w:t>灰岩</w:t>
            </w:r>
            <w:r>
              <w:rPr>
                <w:rFonts w:hint="eastAsia"/>
                <w:color w:val="auto"/>
                <w:sz w:val="26"/>
                <w:szCs w:val="26"/>
                <w:highlight w:val="none"/>
              </w:rPr>
              <w:t>，细至中晶结构，</w:t>
            </w:r>
            <w:r>
              <w:rPr>
                <w:color w:val="auto"/>
                <w:sz w:val="26"/>
                <w:szCs w:val="26"/>
                <w:highlight w:val="none"/>
              </w:rPr>
              <w:t>中层-厚层状</w:t>
            </w:r>
            <w:r>
              <w:rPr>
                <w:rFonts w:hint="eastAsia"/>
                <w:color w:val="auto"/>
                <w:sz w:val="26"/>
                <w:szCs w:val="26"/>
                <w:highlight w:val="none"/>
              </w:rPr>
              <w:t>构造（照片3-1）。地层产状253°～268°∠38°～50°，节理发育，主要发育两组，产状为J</w:t>
            </w:r>
            <w:r>
              <w:rPr>
                <w:color w:val="auto"/>
                <w:sz w:val="26"/>
                <w:szCs w:val="26"/>
                <w:highlight w:val="none"/>
              </w:rPr>
              <w:t>1</w:t>
            </w:r>
            <w:r>
              <w:rPr>
                <w:rFonts w:hint="eastAsia"/>
                <w:color w:val="auto"/>
                <w:sz w:val="26"/>
                <w:szCs w:val="26"/>
                <w:highlight w:val="none"/>
              </w:rPr>
              <w:t>:</w:t>
            </w:r>
            <w:r>
              <w:rPr>
                <w:color w:val="auto"/>
                <w:sz w:val="26"/>
                <w:szCs w:val="26"/>
                <w:highlight w:val="none"/>
              </w:rPr>
              <w:t>2</w:t>
            </w:r>
            <w:r>
              <w:rPr>
                <w:rFonts w:hint="eastAsia"/>
                <w:color w:val="auto"/>
                <w:sz w:val="26"/>
                <w:szCs w:val="26"/>
                <w:highlight w:val="none"/>
              </w:rPr>
              <w:t>20°～229°∠50°～68°，J</w:t>
            </w:r>
            <w:r>
              <w:rPr>
                <w:color w:val="auto"/>
                <w:sz w:val="26"/>
                <w:szCs w:val="26"/>
                <w:highlight w:val="none"/>
              </w:rPr>
              <w:t>2</w:t>
            </w:r>
            <w:r>
              <w:rPr>
                <w:rFonts w:hint="eastAsia"/>
                <w:color w:val="auto"/>
                <w:sz w:val="26"/>
                <w:szCs w:val="26"/>
                <w:highlight w:val="none"/>
              </w:rPr>
              <w:t>：84°～106°∠46°～67°，地层厚度大于267.5m，未见底。为海相碳酸盐岩，</w:t>
            </w:r>
            <w:r>
              <w:rPr>
                <w:color w:val="auto"/>
                <w:sz w:val="26"/>
                <w:szCs w:val="26"/>
                <w:highlight w:val="none"/>
              </w:rPr>
              <w:t>与下伏地层整合接触。为本区的含矿层位。</w:t>
            </w:r>
          </w:p>
          <w:p w14:paraId="39359E29">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rPr>
            </w:pPr>
            <w:r>
              <w:rPr>
                <w:color w:val="auto"/>
                <w:sz w:val="26"/>
                <w:szCs w:val="26"/>
                <w:highlight w:val="none"/>
              </w:rPr>
              <w:t>（</w:t>
            </w:r>
            <w:r>
              <w:rPr>
                <w:rFonts w:hint="eastAsia"/>
                <w:color w:val="auto"/>
                <w:sz w:val="26"/>
                <w:szCs w:val="26"/>
                <w:highlight w:val="none"/>
              </w:rPr>
              <w:t>2</w:t>
            </w:r>
            <w:r>
              <w:rPr>
                <w:color w:val="auto"/>
                <w:sz w:val="26"/>
                <w:szCs w:val="26"/>
                <w:highlight w:val="none"/>
              </w:rPr>
              <w:t>）</w:t>
            </w:r>
            <w:r>
              <w:rPr>
                <w:rFonts w:hint="eastAsia"/>
                <w:color w:val="auto"/>
                <w:sz w:val="26"/>
                <w:szCs w:val="26"/>
                <w:highlight w:val="none"/>
              </w:rPr>
              <w:t>元</w:t>
            </w:r>
            <w:r>
              <w:rPr>
                <w:color w:val="auto"/>
                <w:sz w:val="26"/>
                <w:szCs w:val="26"/>
                <w:highlight w:val="none"/>
              </w:rPr>
              <w:t>古界</w:t>
            </w:r>
            <w:r>
              <w:rPr>
                <w:rFonts w:hint="eastAsia"/>
                <w:color w:val="auto"/>
                <w:sz w:val="26"/>
                <w:szCs w:val="26"/>
                <w:highlight w:val="none"/>
              </w:rPr>
              <w:t>昆阳群大龙口组上段</w:t>
            </w:r>
            <w:r>
              <w:rPr>
                <w:color w:val="auto"/>
                <w:sz w:val="26"/>
                <w:szCs w:val="26"/>
                <w:highlight w:val="none"/>
              </w:rPr>
              <w:t>（P</w:t>
            </w:r>
            <w:r>
              <w:rPr>
                <w:rFonts w:hint="eastAsia"/>
                <w:color w:val="auto"/>
                <w:sz w:val="26"/>
                <w:szCs w:val="26"/>
                <w:highlight w:val="none"/>
              </w:rPr>
              <w:t>td</w:t>
            </w:r>
            <w:r>
              <w:rPr>
                <w:rFonts w:hint="eastAsia"/>
                <w:color w:val="auto"/>
                <w:sz w:val="26"/>
                <w:szCs w:val="26"/>
                <w:highlight w:val="none"/>
                <w:vertAlign w:val="superscript"/>
              </w:rPr>
              <w:t>2</w:t>
            </w:r>
            <w:r>
              <w:rPr>
                <w:color w:val="auto"/>
                <w:sz w:val="26"/>
                <w:szCs w:val="26"/>
                <w:highlight w:val="none"/>
              </w:rPr>
              <w:t>）</w:t>
            </w:r>
          </w:p>
          <w:p w14:paraId="567622F7">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rPr>
            </w:pPr>
            <w:r>
              <w:rPr>
                <w:color w:val="auto"/>
                <w:sz w:val="26"/>
                <w:szCs w:val="26"/>
                <w:highlight w:val="none"/>
              </w:rPr>
              <w:t>分布于矿区东</w:t>
            </w:r>
            <w:r>
              <w:rPr>
                <w:rFonts w:hint="eastAsia"/>
                <w:color w:val="auto"/>
                <w:sz w:val="26"/>
                <w:szCs w:val="26"/>
                <w:highlight w:val="none"/>
              </w:rPr>
              <w:t>北部</w:t>
            </w:r>
            <w:r>
              <w:rPr>
                <w:color w:val="auto"/>
                <w:sz w:val="26"/>
                <w:szCs w:val="26"/>
                <w:highlight w:val="none"/>
              </w:rPr>
              <w:t>，岩性为灰</w:t>
            </w:r>
            <w:r>
              <w:rPr>
                <w:rFonts w:hint="eastAsia"/>
                <w:color w:val="auto"/>
                <w:sz w:val="26"/>
                <w:szCs w:val="26"/>
                <w:highlight w:val="none"/>
              </w:rPr>
              <w:t>白</w:t>
            </w:r>
            <w:r>
              <w:rPr>
                <w:color w:val="auto"/>
                <w:sz w:val="26"/>
                <w:szCs w:val="26"/>
                <w:highlight w:val="none"/>
              </w:rPr>
              <w:t>色、浅灰色</w:t>
            </w:r>
            <w:r>
              <w:rPr>
                <w:rFonts w:hint="eastAsia"/>
                <w:color w:val="auto"/>
                <w:sz w:val="26"/>
                <w:szCs w:val="26"/>
                <w:highlight w:val="none"/>
              </w:rPr>
              <w:t>细</w:t>
            </w:r>
            <w:r>
              <w:rPr>
                <w:color w:val="auto"/>
                <w:sz w:val="26"/>
                <w:szCs w:val="26"/>
                <w:highlight w:val="none"/>
              </w:rPr>
              <w:t>晶灰岩</w:t>
            </w:r>
            <w:r>
              <w:rPr>
                <w:rFonts w:hint="eastAsia"/>
                <w:color w:val="auto"/>
                <w:sz w:val="26"/>
                <w:szCs w:val="26"/>
                <w:highlight w:val="none"/>
              </w:rPr>
              <w:t>（照片3-2），细晶结构，薄-</w:t>
            </w:r>
            <w:r>
              <w:rPr>
                <w:color w:val="auto"/>
                <w:sz w:val="26"/>
                <w:szCs w:val="26"/>
                <w:highlight w:val="none"/>
              </w:rPr>
              <w:t>中层状</w:t>
            </w:r>
            <w:r>
              <w:rPr>
                <w:rFonts w:hint="eastAsia"/>
                <w:color w:val="auto"/>
                <w:sz w:val="26"/>
                <w:szCs w:val="26"/>
                <w:highlight w:val="none"/>
              </w:rPr>
              <w:t>构造。地层产状</w:t>
            </w:r>
            <w:r>
              <w:rPr>
                <w:color w:val="auto"/>
                <w:sz w:val="26"/>
                <w:szCs w:val="26"/>
                <w:highlight w:val="none"/>
              </w:rPr>
              <w:t>2</w:t>
            </w:r>
            <w:r>
              <w:rPr>
                <w:rFonts w:hint="eastAsia"/>
                <w:color w:val="auto"/>
                <w:sz w:val="26"/>
                <w:szCs w:val="26"/>
                <w:highlight w:val="none"/>
              </w:rPr>
              <w:t>41°～274°∠32°～44°，节理发育，主要发育两组，产状为J</w:t>
            </w:r>
            <w:r>
              <w:rPr>
                <w:color w:val="auto"/>
                <w:sz w:val="26"/>
                <w:szCs w:val="26"/>
                <w:highlight w:val="none"/>
              </w:rPr>
              <w:t>1</w:t>
            </w:r>
            <w:r>
              <w:rPr>
                <w:rFonts w:hint="eastAsia"/>
                <w:color w:val="auto"/>
                <w:sz w:val="26"/>
                <w:szCs w:val="26"/>
                <w:highlight w:val="none"/>
              </w:rPr>
              <w:t>:53°～57°∠57°～62°，J</w:t>
            </w:r>
            <w:r>
              <w:rPr>
                <w:color w:val="auto"/>
                <w:sz w:val="26"/>
                <w:szCs w:val="26"/>
                <w:highlight w:val="none"/>
              </w:rPr>
              <w:t>2</w:t>
            </w:r>
            <w:r>
              <w:rPr>
                <w:rFonts w:hint="eastAsia"/>
                <w:color w:val="auto"/>
                <w:sz w:val="26"/>
                <w:szCs w:val="26"/>
                <w:highlight w:val="none"/>
              </w:rPr>
              <w:t>：334°～354°∠41°～76°，平均地层厚度172m。为海相碳酸盐岩，</w:t>
            </w:r>
            <w:r>
              <w:rPr>
                <w:color w:val="auto"/>
                <w:sz w:val="26"/>
                <w:szCs w:val="26"/>
                <w:highlight w:val="none"/>
              </w:rPr>
              <w:t>与下伏地层整合接触。为本区的主要含矿层位。</w:t>
            </w:r>
          </w:p>
          <w:p w14:paraId="291FB493">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color w:val="auto"/>
                <w:sz w:val="26"/>
                <w:szCs w:val="26"/>
                <w:highlight w:val="none"/>
              </w:rPr>
            </w:pPr>
            <w:r>
              <w:rPr>
                <w:color w:val="auto"/>
                <w:sz w:val="26"/>
                <w:szCs w:val="26"/>
                <w:highlight w:val="none"/>
              </w:rPr>
              <w:t>（</w:t>
            </w:r>
            <w:r>
              <w:rPr>
                <w:rFonts w:hint="eastAsia"/>
                <w:color w:val="auto"/>
                <w:sz w:val="26"/>
                <w:szCs w:val="26"/>
                <w:highlight w:val="none"/>
              </w:rPr>
              <w:t>3</w:t>
            </w:r>
            <w:r>
              <w:rPr>
                <w:color w:val="auto"/>
                <w:sz w:val="26"/>
                <w:szCs w:val="26"/>
                <w:highlight w:val="none"/>
              </w:rPr>
              <w:t>）</w:t>
            </w:r>
            <w:r>
              <w:rPr>
                <w:rFonts w:hint="eastAsia"/>
                <w:color w:val="auto"/>
                <w:sz w:val="26"/>
                <w:szCs w:val="26"/>
                <w:highlight w:val="none"/>
              </w:rPr>
              <w:t>元</w:t>
            </w:r>
            <w:r>
              <w:rPr>
                <w:color w:val="auto"/>
                <w:sz w:val="26"/>
                <w:szCs w:val="26"/>
                <w:highlight w:val="none"/>
              </w:rPr>
              <w:t>古界</w:t>
            </w:r>
            <w:r>
              <w:rPr>
                <w:rFonts w:hint="eastAsia"/>
                <w:color w:val="auto"/>
                <w:sz w:val="26"/>
                <w:szCs w:val="26"/>
                <w:highlight w:val="none"/>
              </w:rPr>
              <w:t>昆阳群美党</w:t>
            </w:r>
            <w:r>
              <w:rPr>
                <w:color w:val="auto"/>
                <w:sz w:val="26"/>
                <w:szCs w:val="26"/>
                <w:highlight w:val="none"/>
              </w:rPr>
              <w:t>组（P</w:t>
            </w:r>
            <w:r>
              <w:rPr>
                <w:rFonts w:hint="eastAsia"/>
                <w:color w:val="auto"/>
                <w:sz w:val="26"/>
                <w:szCs w:val="26"/>
                <w:highlight w:val="none"/>
              </w:rPr>
              <w:t>t</w:t>
            </w:r>
            <w:r>
              <w:rPr>
                <w:color w:val="auto"/>
                <w:sz w:val="26"/>
                <w:szCs w:val="26"/>
                <w:highlight w:val="none"/>
              </w:rPr>
              <w:t>m）</w:t>
            </w:r>
          </w:p>
          <w:p w14:paraId="0246A7AA">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rPr>
            </w:pPr>
            <w:r>
              <w:rPr>
                <w:color w:val="auto"/>
                <w:sz w:val="26"/>
                <w:szCs w:val="26"/>
                <w:highlight w:val="none"/>
              </w:rPr>
              <w:t>出露于矿区</w:t>
            </w:r>
            <w:r>
              <w:rPr>
                <w:rFonts w:hint="eastAsia"/>
                <w:color w:val="auto"/>
                <w:sz w:val="26"/>
                <w:szCs w:val="26"/>
                <w:highlight w:val="none"/>
              </w:rPr>
              <w:t>中部及东部</w:t>
            </w:r>
            <w:r>
              <w:rPr>
                <w:color w:val="auto"/>
                <w:sz w:val="26"/>
                <w:szCs w:val="26"/>
                <w:highlight w:val="none"/>
              </w:rPr>
              <w:t>区，岩性为</w:t>
            </w:r>
            <w:r>
              <w:rPr>
                <w:color w:val="auto"/>
                <w:sz w:val="26"/>
                <w:szCs w:val="26"/>
                <w:highlight w:val="none"/>
                <w:lang w:val="en-GB"/>
              </w:rPr>
              <w:t>灰色灰岩</w:t>
            </w:r>
            <w:r>
              <w:rPr>
                <w:color w:val="auto"/>
                <w:sz w:val="26"/>
                <w:szCs w:val="26"/>
                <w:highlight w:val="none"/>
              </w:rPr>
              <w:t>，微</w:t>
            </w:r>
            <w:r>
              <w:rPr>
                <w:rFonts w:hint="eastAsia"/>
                <w:color w:val="auto"/>
                <w:sz w:val="26"/>
                <w:szCs w:val="26"/>
                <w:highlight w:val="none"/>
              </w:rPr>
              <w:t>-细</w:t>
            </w:r>
            <w:r>
              <w:rPr>
                <w:color w:val="auto"/>
                <w:sz w:val="26"/>
                <w:szCs w:val="26"/>
                <w:highlight w:val="none"/>
              </w:rPr>
              <w:t>晶结构</w:t>
            </w:r>
            <w:r>
              <w:rPr>
                <w:rFonts w:hint="eastAsia"/>
                <w:color w:val="auto"/>
                <w:sz w:val="26"/>
                <w:szCs w:val="26"/>
                <w:highlight w:val="none"/>
              </w:rPr>
              <w:t>，薄</w:t>
            </w:r>
            <w:r>
              <w:rPr>
                <w:color w:val="auto"/>
                <w:sz w:val="26"/>
                <w:szCs w:val="26"/>
                <w:highlight w:val="none"/>
                <w:lang w:val="en-GB"/>
              </w:rPr>
              <w:t>-</w:t>
            </w:r>
            <w:r>
              <w:rPr>
                <w:rFonts w:hint="eastAsia"/>
                <w:color w:val="auto"/>
                <w:sz w:val="26"/>
                <w:szCs w:val="26"/>
                <w:highlight w:val="none"/>
              </w:rPr>
              <w:t>中</w:t>
            </w:r>
            <w:r>
              <w:rPr>
                <w:color w:val="auto"/>
                <w:sz w:val="26"/>
                <w:szCs w:val="26"/>
                <w:highlight w:val="none"/>
                <w:lang w:val="en-GB"/>
              </w:rPr>
              <w:t>层状</w:t>
            </w:r>
            <w:r>
              <w:rPr>
                <w:rFonts w:hint="eastAsia"/>
                <w:color w:val="auto"/>
                <w:sz w:val="26"/>
                <w:szCs w:val="26"/>
                <w:highlight w:val="none"/>
                <w:lang w:val="en-GB"/>
              </w:rPr>
              <w:t>构造</w:t>
            </w:r>
            <w:r>
              <w:rPr>
                <w:rFonts w:hint="eastAsia"/>
                <w:color w:val="auto"/>
                <w:sz w:val="26"/>
                <w:szCs w:val="26"/>
                <w:highlight w:val="none"/>
              </w:rPr>
              <w:t>（照片3-3）</w:t>
            </w:r>
            <w:r>
              <w:rPr>
                <w:color w:val="auto"/>
                <w:sz w:val="26"/>
                <w:szCs w:val="26"/>
                <w:highlight w:val="none"/>
              </w:rPr>
              <w:t>。</w:t>
            </w:r>
            <w:r>
              <w:rPr>
                <w:rFonts w:hint="eastAsia"/>
                <w:color w:val="auto"/>
                <w:sz w:val="26"/>
                <w:szCs w:val="26"/>
                <w:highlight w:val="none"/>
              </w:rPr>
              <w:t>地层产状</w:t>
            </w:r>
            <w:r>
              <w:rPr>
                <w:color w:val="auto"/>
                <w:sz w:val="26"/>
                <w:szCs w:val="26"/>
                <w:highlight w:val="none"/>
              </w:rPr>
              <w:t>2</w:t>
            </w:r>
            <w:r>
              <w:rPr>
                <w:rFonts w:hint="eastAsia"/>
                <w:color w:val="auto"/>
                <w:sz w:val="26"/>
                <w:szCs w:val="26"/>
                <w:highlight w:val="none"/>
              </w:rPr>
              <w:t>72°～305°∠32°～43°，节理发育，主要发育三组，产状为J</w:t>
            </w:r>
            <w:r>
              <w:rPr>
                <w:color w:val="auto"/>
                <w:sz w:val="26"/>
                <w:szCs w:val="26"/>
                <w:highlight w:val="none"/>
              </w:rPr>
              <w:t>1</w:t>
            </w:r>
            <w:r>
              <w:rPr>
                <w:rFonts w:hint="eastAsia"/>
                <w:color w:val="auto"/>
                <w:sz w:val="26"/>
                <w:szCs w:val="26"/>
                <w:highlight w:val="none"/>
              </w:rPr>
              <w:t>:203°～249°∠33°～65°，J</w:t>
            </w:r>
            <w:r>
              <w:rPr>
                <w:color w:val="auto"/>
                <w:sz w:val="26"/>
                <w:szCs w:val="26"/>
                <w:highlight w:val="none"/>
              </w:rPr>
              <w:t>2</w:t>
            </w:r>
            <w:r>
              <w:rPr>
                <w:rFonts w:hint="eastAsia"/>
                <w:color w:val="auto"/>
                <w:sz w:val="26"/>
                <w:szCs w:val="26"/>
                <w:highlight w:val="none"/>
              </w:rPr>
              <w:t>：105°～118°∠66°～71°，J3：272°∠40°，平均地层厚度239.4m。</w:t>
            </w:r>
            <w:r>
              <w:rPr>
                <w:color w:val="auto"/>
                <w:sz w:val="26"/>
                <w:szCs w:val="26"/>
                <w:highlight w:val="none"/>
              </w:rPr>
              <w:t>为本区的主要含矿层位。</w:t>
            </w:r>
          </w:p>
          <w:p w14:paraId="22D42872">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val="en-US" w:eastAsia="zh-CN" w:bidi="en-US"/>
              </w:rPr>
            </w:pPr>
            <w:r>
              <w:rPr>
                <w:rFonts w:hint="eastAsia" w:ascii="Times New Roman" w:hAnsi="Times New Roman"/>
                <w:b/>
                <w:bCs/>
                <w:color w:val="auto"/>
                <w:sz w:val="26"/>
                <w:szCs w:val="26"/>
                <w:highlight w:val="none"/>
                <w:lang w:val="en-US" w:eastAsia="zh-CN" w:bidi="en-US"/>
              </w:rPr>
              <w:t>5.4矿区构造</w:t>
            </w:r>
          </w:p>
          <w:p w14:paraId="26A73B2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s="Times New Roman"/>
                <w:color w:val="auto"/>
                <w:sz w:val="26"/>
                <w:szCs w:val="26"/>
                <w:highlight w:val="none"/>
                <w:lang w:eastAsia="zh-CN"/>
              </w:rPr>
            </w:pPr>
            <w:r>
              <w:rPr>
                <w:rFonts w:hint="eastAsia" w:ascii="Times New Roman" w:hAnsi="Times New Roman" w:cs="Times New Roman"/>
                <w:color w:val="auto"/>
                <w:sz w:val="26"/>
                <w:szCs w:val="26"/>
                <w:highlight w:val="none"/>
              </w:rPr>
              <w:t>区内未发现断层</w:t>
            </w:r>
            <w:r>
              <w:rPr>
                <w:rFonts w:hint="eastAsia" w:ascii="Times New Roman" w:hAnsi="Times New Roman" w:cs="Times New Roman"/>
                <w:color w:val="auto"/>
                <w:sz w:val="26"/>
                <w:szCs w:val="26"/>
                <w:highlight w:val="none"/>
                <w:lang w:eastAsia="zh-CN"/>
              </w:rPr>
              <w:t>，</w:t>
            </w:r>
            <w:r>
              <w:rPr>
                <w:rFonts w:hint="eastAsia" w:ascii="Times New Roman" w:hAnsi="Times New Roman" w:cs="Times New Roman"/>
                <w:color w:val="auto"/>
                <w:sz w:val="26"/>
                <w:szCs w:val="26"/>
                <w:highlight w:val="none"/>
              </w:rPr>
              <w:t>未发现褶皱。区内</w:t>
            </w:r>
            <w:r>
              <w:rPr>
                <w:rFonts w:ascii="Times New Roman" w:hAnsi="Times New Roman" w:cs="Times New Roman"/>
                <w:color w:val="auto"/>
                <w:sz w:val="26"/>
                <w:szCs w:val="26"/>
                <w:highlight w:val="none"/>
              </w:rPr>
              <w:t>节理裂隙</w:t>
            </w:r>
            <w:r>
              <w:rPr>
                <w:rFonts w:hint="eastAsia" w:ascii="Times New Roman" w:hAnsi="Times New Roman" w:cs="Times New Roman"/>
                <w:color w:val="auto"/>
                <w:sz w:val="26"/>
                <w:szCs w:val="26"/>
                <w:highlight w:val="none"/>
              </w:rPr>
              <w:t>较发育，</w:t>
            </w:r>
            <w:r>
              <w:rPr>
                <w:rFonts w:ascii="Times New Roman" w:hAnsi="Times New Roman" w:cs="Times New Roman"/>
                <w:color w:val="auto"/>
                <w:sz w:val="26"/>
                <w:szCs w:val="26"/>
                <w:highlight w:val="none"/>
              </w:rPr>
              <w:t>测量5组节理为：J1：334</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354</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76</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86°</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发育12</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13条/m；J2：203°</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229</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50°</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68</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发育5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6条/m；J3：105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106</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66</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67°</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发育15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16条/m；J4：84°</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87</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46°</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55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发育5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6条/m；J5：53°</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57</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57°</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64</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发育5</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6条/m。</w:t>
            </w:r>
            <w:r>
              <w:rPr>
                <w:rFonts w:hint="eastAsia" w:ascii="Times New Roman" w:hAnsi="Times New Roman" w:cs="Times New Roman"/>
                <w:color w:val="auto"/>
                <w:sz w:val="26"/>
                <w:szCs w:val="26"/>
                <w:highlight w:val="none"/>
              </w:rPr>
              <w:t>其中</w:t>
            </w:r>
            <w:r>
              <w:rPr>
                <w:rFonts w:ascii="Times New Roman" w:hAnsi="Times New Roman" w:cs="Times New Roman"/>
                <w:color w:val="auto"/>
                <w:sz w:val="26"/>
                <w:szCs w:val="26"/>
                <w:highlight w:val="none"/>
              </w:rPr>
              <w:t>J1</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 xml:space="preserve"> J2</w:t>
            </w:r>
            <w:r>
              <w:rPr>
                <w:rFonts w:hint="eastAsia" w:ascii="Times New Roman" w:hAnsi="Times New Roman" w:cs="Times New Roman"/>
                <w:color w:val="auto"/>
                <w:sz w:val="26"/>
                <w:szCs w:val="26"/>
                <w:highlight w:val="none"/>
              </w:rPr>
              <w:t>最发育</w:t>
            </w:r>
            <w:r>
              <w:rPr>
                <w:rFonts w:hint="eastAsia" w:ascii="Times New Roman" w:hAnsi="Times New Roman" w:cs="Times New Roman"/>
                <w:color w:val="auto"/>
                <w:sz w:val="26"/>
                <w:szCs w:val="26"/>
                <w:highlight w:val="none"/>
                <w:lang w:eastAsia="zh-CN"/>
              </w:rPr>
              <w:t>。</w:t>
            </w:r>
            <w:r>
              <w:rPr>
                <w:rFonts w:ascii="Times New Roman" w:hAnsi="Times New Roman" w:cs="Times New Roman"/>
                <w:color w:val="auto"/>
                <w:spacing w:val="16"/>
                <w:sz w:val="26"/>
                <w:szCs w:val="26"/>
                <w:highlight w:val="none"/>
              </w:rPr>
              <w:t>矿区内</w:t>
            </w:r>
            <w:r>
              <w:rPr>
                <w:rFonts w:hint="eastAsia" w:ascii="Times New Roman" w:hAnsi="Times New Roman" w:cs="Times New Roman"/>
                <w:color w:val="auto"/>
                <w:spacing w:val="16"/>
                <w:sz w:val="26"/>
                <w:szCs w:val="26"/>
                <w:highlight w:val="none"/>
              </w:rPr>
              <w:t>无岩浆岩发育</w:t>
            </w:r>
            <w:r>
              <w:rPr>
                <w:rFonts w:hint="eastAsia" w:ascii="Times New Roman" w:hAnsi="Times New Roman" w:cs="Times New Roman"/>
                <w:color w:val="auto"/>
                <w:spacing w:val="16"/>
                <w:sz w:val="26"/>
                <w:szCs w:val="26"/>
                <w:highlight w:val="none"/>
                <w:lang w:eastAsia="zh-CN"/>
              </w:rPr>
              <w:t>。</w:t>
            </w:r>
          </w:p>
          <w:p w14:paraId="0A5C95AE">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b/>
                <w:bCs/>
                <w:color w:val="auto"/>
                <w:sz w:val="26"/>
                <w:szCs w:val="26"/>
                <w:highlight w:val="none"/>
                <w:lang w:val="en-US" w:eastAsia="zh-CN" w:bidi="en-US"/>
              </w:rPr>
            </w:pPr>
            <w:bookmarkStart w:id="9" w:name="_Toc50468669"/>
            <w:r>
              <w:rPr>
                <w:rFonts w:hint="eastAsia" w:ascii="Times New Roman" w:hAnsi="Times New Roman"/>
                <w:b/>
                <w:bCs/>
                <w:color w:val="auto"/>
                <w:sz w:val="26"/>
                <w:szCs w:val="26"/>
                <w:highlight w:val="none"/>
                <w:lang w:val="en-US" w:eastAsia="zh-CN" w:bidi="en-US"/>
              </w:rPr>
              <w:t>5.5</w:t>
            </w:r>
            <w:bookmarkEnd w:id="9"/>
            <w:r>
              <w:rPr>
                <w:rFonts w:hint="eastAsia" w:ascii="Times New Roman" w:hAnsi="Times New Roman"/>
                <w:b/>
                <w:bCs/>
                <w:color w:val="auto"/>
                <w:sz w:val="26"/>
                <w:szCs w:val="26"/>
                <w:highlight w:val="none"/>
                <w:lang w:val="en-US" w:eastAsia="zh-CN" w:bidi="en-US"/>
              </w:rPr>
              <w:t>矿体地质</w:t>
            </w:r>
          </w:p>
          <w:p w14:paraId="506DCC68">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2" w:firstLineChars="200"/>
              <w:textAlignment w:val="auto"/>
              <w:rPr>
                <w:rFonts w:hint="default" w:ascii="Times New Roman" w:hAnsi="Times New Roman" w:eastAsia="宋体" w:cs="Times New Roman"/>
                <w:b/>
                <w:bCs/>
                <w:color w:val="auto"/>
                <w:sz w:val="26"/>
                <w:szCs w:val="26"/>
                <w:highlight w:val="none"/>
                <w:lang w:val="en-US" w:eastAsia="zh-CN"/>
              </w:rPr>
            </w:pPr>
            <w:r>
              <w:rPr>
                <w:rFonts w:hint="eastAsia" w:ascii="Times New Roman" w:hAnsi="Times New Roman" w:cs="Times New Roman"/>
                <w:b/>
                <w:bCs/>
                <w:color w:val="auto"/>
                <w:sz w:val="26"/>
                <w:szCs w:val="26"/>
                <w:highlight w:val="none"/>
                <w:lang w:val="en-US" w:eastAsia="zh-CN"/>
              </w:rPr>
              <w:t>5.5.1</w:t>
            </w:r>
            <w:r>
              <w:rPr>
                <w:rFonts w:hint="eastAsia" w:ascii="Times New Roman" w:hAnsi="Times New Roman"/>
                <w:b/>
                <w:bCs/>
                <w:color w:val="auto"/>
                <w:sz w:val="26"/>
                <w:szCs w:val="26"/>
                <w:highlight w:val="none"/>
                <w:lang w:val="en-US" w:eastAsia="zh-CN" w:bidi="en-US"/>
              </w:rPr>
              <w:t>矿床特征</w:t>
            </w:r>
          </w:p>
          <w:p w14:paraId="374D913B">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矿区内主要矿体为元</w:t>
            </w:r>
            <w:r>
              <w:rPr>
                <w:rFonts w:ascii="Times New Roman" w:hAnsi="Times New Roman" w:cs="Times New Roman"/>
                <w:color w:val="auto"/>
                <w:sz w:val="26"/>
                <w:szCs w:val="26"/>
                <w:highlight w:val="none"/>
              </w:rPr>
              <w:t>古界</w:t>
            </w:r>
            <w:r>
              <w:rPr>
                <w:rFonts w:hint="eastAsia" w:ascii="Times New Roman" w:hAnsi="Times New Roman" w:cs="Times New Roman"/>
                <w:color w:val="auto"/>
                <w:sz w:val="26"/>
                <w:szCs w:val="26"/>
                <w:highlight w:val="none"/>
              </w:rPr>
              <w:t>昆阳群大龙口组下段</w:t>
            </w:r>
            <w:r>
              <w:rPr>
                <w:rFonts w:ascii="Times New Roman" w:hAnsi="Times New Roman" w:cs="Times New Roman"/>
                <w:color w:val="auto"/>
                <w:sz w:val="26"/>
                <w:szCs w:val="26"/>
                <w:highlight w:val="none"/>
              </w:rPr>
              <w:t>（P</w:t>
            </w:r>
            <w:r>
              <w:rPr>
                <w:rFonts w:hint="eastAsia" w:ascii="Times New Roman" w:hAnsi="Times New Roman" w:cs="Times New Roman"/>
                <w:color w:val="auto"/>
                <w:sz w:val="26"/>
                <w:szCs w:val="26"/>
                <w:highlight w:val="none"/>
              </w:rPr>
              <w:t>td</w:t>
            </w:r>
            <w:r>
              <w:rPr>
                <w:rFonts w:hint="eastAsia" w:ascii="Times New Roman" w:hAnsi="Times New Roman" w:cs="Times New Roman"/>
                <w:color w:val="auto"/>
                <w:sz w:val="26"/>
                <w:szCs w:val="26"/>
                <w:highlight w:val="none"/>
                <w:vertAlign w:val="superscript"/>
              </w:rPr>
              <w:t>1</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、大龙口组上段</w:t>
            </w:r>
            <w:r>
              <w:rPr>
                <w:rFonts w:ascii="Times New Roman" w:hAnsi="Times New Roman" w:cs="Times New Roman"/>
                <w:color w:val="auto"/>
                <w:sz w:val="26"/>
                <w:szCs w:val="26"/>
                <w:highlight w:val="none"/>
              </w:rPr>
              <w:t>（P</w:t>
            </w:r>
            <w:r>
              <w:rPr>
                <w:rFonts w:hint="eastAsia" w:ascii="Times New Roman" w:hAnsi="Times New Roman" w:cs="Times New Roman"/>
                <w:color w:val="auto"/>
                <w:sz w:val="26"/>
                <w:szCs w:val="26"/>
                <w:highlight w:val="none"/>
              </w:rPr>
              <w:t>td</w:t>
            </w:r>
            <w:r>
              <w:rPr>
                <w:rFonts w:hint="eastAsia" w:ascii="Times New Roman" w:hAnsi="Times New Roman" w:cs="Times New Roman"/>
                <w:color w:val="auto"/>
                <w:sz w:val="26"/>
                <w:szCs w:val="26"/>
                <w:highlight w:val="none"/>
                <w:vertAlign w:val="superscript"/>
              </w:rPr>
              <w:t>2</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、美党</w:t>
            </w:r>
            <w:r>
              <w:rPr>
                <w:rFonts w:ascii="Times New Roman" w:hAnsi="Times New Roman" w:cs="Times New Roman"/>
                <w:color w:val="auto"/>
                <w:sz w:val="26"/>
                <w:szCs w:val="26"/>
                <w:highlight w:val="none"/>
              </w:rPr>
              <w:t>组（P</w:t>
            </w:r>
            <w:r>
              <w:rPr>
                <w:rFonts w:hint="eastAsia" w:ascii="Times New Roman" w:hAnsi="Times New Roman" w:cs="Times New Roman"/>
                <w:color w:val="auto"/>
                <w:sz w:val="26"/>
                <w:szCs w:val="26"/>
                <w:highlight w:val="none"/>
              </w:rPr>
              <w:t>t</w:t>
            </w:r>
            <w:r>
              <w:rPr>
                <w:rFonts w:ascii="Times New Roman" w:hAnsi="Times New Roman" w:cs="Times New Roman"/>
                <w:color w:val="auto"/>
                <w:sz w:val="26"/>
                <w:szCs w:val="26"/>
                <w:highlight w:val="none"/>
              </w:rPr>
              <w:t>m）</w:t>
            </w:r>
            <w:r>
              <w:rPr>
                <w:rFonts w:hint="eastAsia" w:ascii="Times New Roman" w:hAnsi="Times New Roman" w:cs="Times New Roman"/>
                <w:color w:val="auto"/>
                <w:spacing w:val="16"/>
                <w:sz w:val="26"/>
                <w:szCs w:val="26"/>
                <w:highlight w:val="none"/>
              </w:rPr>
              <w:t>石灰岩矿床，为化学或化学沉积作用形成。</w:t>
            </w:r>
            <w:r>
              <w:rPr>
                <w:rFonts w:hint="eastAsia" w:ascii="Times New Roman" w:hAnsi="Times New Roman" w:cs="Times New Roman"/>
                <w:color w:val="auto"/>
                <w:sz w:val="26"/>
                <w:szCs w:val="26"/>
                <w:highlight w:val="none"/>
              </w:rPr>
              <w:t>矿体形态简单，呈单斜层状产出，矿体</w:t>
            </w:r>
            <w:r>
              <w:rPr>
                <w:rFonts w:ascii="Times New Roman" w:hAnsi="Times New Roman" w:cs="Times New Roman"/>
                <w:color w:val="auto"/>
                <w:sz w:val="26"/>
                <w:szCs w:val="26"/>
                <w:highlight w:val="none"/>
              </w:rPr>
              <w:t>产状</w:t>
            </w:r>
            <w:r>
              <w:rPr>
                <w:rFonts w:hint="eastAsia" w:ascii="Times New Roman" w:hAnsi="Times New Roman" w:cs="Times New Roman"/>
                <w:color w:val="auto"/>
                <w:sz w:val="26"/>
                <w:szCs w:val="26"/>
                <w:highlight w:val="none"/>
              </w:rPr>
              <w:t>241</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305</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∠29</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44</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矿体大部分出露于地表，露头较好，矿体沿走向出露</w:t>
            </w:r>
            <w:r>
              <w:rPr>
                <w:rFonts w:hint="eastAsia" w:ascii="Times New Roman" w:hAnsi="Times New Roman" w:cs="Times New Roman"/>
                <w:color w:val="auto"/>
                <w:sz w:val="26"/>
                <w:szCs w:val="26"/>
                <w:highlight w:val="none"/>
              </w:rPr>
              <w:t>最</w:t>
            </w:r>
            <w:r>
              <w:rPr>
                <w:rFonts w:ascii="Times New Roman" w:hAnsi="Times New Roman" w:cs="Times New Roman"/>
                <w:color w:val="auto"/>
                <w:sz w:val="26"/>
                <w:szCs w:val="26"/>
                <w:highlight w:val="none"/>
              </w:rPr>
              <w:t>长约</w:t>
            </w:r>
            <w:r>
              <w:rPr>
                <w:rFonts w:hint="eastAsia" w:ascii="Times New Roman" w:hAnsi="Times New Roman" w:cs="Times New Roman"/>
                <w:color w:val="auto"/>
                <w:sz w:val="26"/>
                <w:szCs w:val="26"/>
                <w:highlight w:val="none"/>
              </w:rPr>
              <w:t>770</w:t>
            </w:r>
            <w:r>
              <w:rPr>
                <w:rFonts w:ascii="Times New Roman" w:hAnsi="Times New Roman" w:cs="Times New Roman"/>
                <w:color w:val="auto"/>
                <w:sz w:val="26"/>
                <w:szCs w:val="26"/>
                <w:highlight w:val="none"/>
              </w:rPr>
              <w:t>m，</w:t>
            </w:r>
            <w:r>
              <w:rPr>
                <w:rFonts w:hint="eastAsia" w:ascii="Times New Roman" w:hAnsi="Times New Roman" w:cs="Times New Roman"/>
                <w:color w:val="auto"/>
                <w:sz w:val="26"/>
                <w:szCs w:val="26"/>
                <w:highlight w:val="none"/>
              </w:rPr>
              <w:t>延出矿权，</w:t>
            </w:r>
            <w:r>
              <w:rPr>
                <w:rFonts w:ascii="Times New Roman" w:hAnsi="Times New Roman" w:cs="Times New Roman"/>
                <w:color w:val="auto"/>
                <w:sz w:val="26"/>
                <w:szCs w:val="26"/>
                <w:highlight w:val="none"/>
              </w:rPr>
              <w:t>倾向延伸</w:t>
            </w:r>
            <w:r>
              <w:rPr>
                <w:rFonts w:hint="eastAsia" w:ascii="Times New Roman" w:hAnsi="Times New Roman" w:cs="Times New Roman"/>
                <w:color w:val="auto"/>
                <w:sz w:val="26"/>
                <w:szCs w:val="26"/>
                <w:highlight w:val="none"/>
              </w:rPr>
              <w:t>最宽</w:t>
            </w:r>
            <w:r>
              <w:rPr>
                <w:rFonts w:ascii="Times New Roman" w:hAnsi="Times New Roman" w:cs="Times New Roman"/>
                <w:color w:val="auto"/>
                <w:sz w:val="26"/>
                <w:szCs w:val="26"/>
                <w:highlight w:val="none"/>
              </w:rPr>
              <w:t>约</w:t>
            </w:r>
            <w:r>
              <w:rPr>
                <w:rFonts w:hint="eastAsia" w:ascii="Times New Roman" w:hAnsi="Times New Roman" w:cs="Times New Roman"/>
                <w:color w:val="auto"/>
                <w:sz w:val="26"/>
                <w:szCs w:val="26"/>
                <w:highlight w:val="none"/>
              </w:rPr>
              <w:t>680</w:t>
            </w:r>
            <w:r>
              <w:rPr>
                <w:rFonts w:ascii="Times New Roman" w:hAnsi="Times New Roman" w:cs="Times New Roman"/>
                <w:color w:val="auto"/>
                <w:sz w:val="26"/>
                <w:szCs w:val="26"/>
                <w:highlight w:val="none"/>
              </w:rPr>
              <w:t>m，延伸均较稳定</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最低开采标高以上</w:t>
            </w:r>
            <w:r>
              <w:rPr>
                <w:rFonts w:hint="eastAsia" w:ascii="Times New Roman" w:hAnsi="Times New Roman" w:cs="Times New Roman"/>
                <w:color w:val="auto"/>
                <w:sz w:val="26"/>
                <w:szCs w:val="26"/>
                <w:highlight w:val="none"/>
              </w:rPr>
              <w:t>平均</w:t>
            </w:r>
            <w:r>
              <w:rPr>
                <w:rFonts w:ascii="Times New Roman" w:hAnsi="Times New Roman" w:cs="Times New Roman"/>
                <w:color w:val="auto"/>
                <w:sz w:val="26"/>
                <w:szCs w:val="26"/>
                <w:highlight w:val="none"/>
              </w:rPr>
              <w:t>铅垂厚度</w:t>
            </w:r>
            <w:r>
              <w:rPr>
                <w:rFonts w:hint="eastAsia" w:ascii="Times New Roman" w:hAnsi="Times New Roman" w:cs="Times New Roman"/>
                <w:color w:val="auto"/>
                <w:sz w:val="26"/>
                <w:szCs w:val="26"/>
                <w:highlight w:val="none"/>
              </w:rPr>
              <w:t>81.30</w:t>
            </w:r>
            <w:r>
              <w:rPr>
                <w:rFonts w:ascii="Times New Roman" w:hAnsi="Times New Roman" w:cs="Times New Roman"/>
                <w:color w:val="auto"/>
                <w:sz w:val="26"/>
                <w:szCs w:val="26"/>
                <w:highlight w:val="none"/>
              </w:rPr>
              <w:t>m</w:t>
            </w:r>
            <w:r>
              <w:rPr>
                <w:rFonts w:hint="eastAsia" w:ascii="Times New Roman" w:hAnsi="Times New Roman" w:cs="Times New Roman"/>
                <w:color w:val="auto"/>
                <w:sz w:val="26"/>
                <w:szCs w:val="26"/>
                <w:highlight w:val="none"/>
              </w:rPr>
              <w:t>。岩性为灰岩、白云质灰岩，微晶-细晶结构，</w:t>
            </w:r>
            <w:r>
              <w:rPr>
                <w:rFonts w:hint="eastAsia" w:ascii="Times New Roman" w:hAnsi="Times New Roman" w:cs="Times New Roman"/>
                <w:color w:val="auto"/>
                <w:spacing w:val="16"/>
                <w:sz w:val="26"/>
                <w:szCs w:val="26"/>
                <w:highlight w:val="none"/>
              </w:rPr>
              <w:t>薄-中层状构造，单层厚约0.1</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0.5m，</w:t>
            </w:r>
            <w:r>
              <w:rPr>
                <w:rFonts w:ascii="Times New Roman" w:hAnsi="Times New Roman" w:cs="Times New Roman"/>
                <w:color w:val="auto"/>
                <w:sz w:val="26"/>
                <w:szCs w:val="26"/>
                <w:highlight w:val="none"/>
              </w:rPr>
              <w:t>所有</w:t>
            </w:r>
            <w:r>
              <w:rPr>
                <w:rFonts w:hint="eastAsia" w:ascii="Times New Roman" w:hAnsi="Times New Roman" w:cs="Times New Roman"/>
                <w:color w:val="auto"/>
                <w:sz w:val="26"/>
                <w:szCs w:val="26"/>
                <w:highlight w:val="none"/>
              </w:rPr>
              <w:t>灰岩、白云质灰岩</w:t>
            </w:r>
            <w:r>
              <w:rPr>
                <w:rFonts w:ascii="Times New Roman" w:hAnsi="Times New Roman" w:cs="Times New Roman"/>
                <w:color w:val="auto"/>
                <w:sz w:val="26"/>
                <w:szCs w:val="26"/>
                <w:highlight w:val="none"/>
              </w:rPr>
              <w:t>岩石均为矿石。矿层层位稳定</w:t>
            </w:r>
            <w:r>
              <w:rPr>
                <w:rFonts w:hint="eastAsia" w:ascii="Times New Roman" w:hAnsi="Times New Roman" w:cs="Times New Roman"/>
                <w:color w:val="auto"/>
                <w:sz w:val="26"/>
                <w:szCs w:val="26"/>
                <w:highlight w:val="none"/>
              </w:rPr>
              <w:t>。</w:t>
            </w:r>
            <w:r>
              <w:rPr>
                <w:rFonts w:ascii="Times New Roman" w:hAnsi="Times New Roman" w:cs="Times New Roman"/>
                <w:color w:val="auto"/>
                <w:sz w:val="26"/>
                <w:szCs w:val="26"/>
                <w:highlight w:val="none"/>
              </w:rPr>
              <w:t>矿床规模属</w:t>
            </w:r>
            <w:r>
              <w:rPr>
                <w:rFonts w:hint="eastAsia" w:ascii="Times New Roman" w:hAnsi="Times New Roman" w:cs="Times New Roman"/>
                <w:color w:val="auto"/>
                <w:sz w:val="26"/>
                <w:szCs w:val="26"/>
                <w:highlight w:val="none"/>
              </w:rPr>
              <w:t>大</w:t>
            </w:r>
            <w:r>
              <w:rPr>
                <w:rFonts w:ascii="Times New Roman" w:hAnsi="Times New Roman" w:cs="Times New Roman"/>
                <w:color w:val="auto"/>
                <w:sz w:val="26"/>
                <w:szCs w:val="26"/>
                <w:highlight w:val="none"/>
              </w:rPr>
              <w:t>型。</w:t>
            </w:r>
          </w:p>
          <w:p w14:paraId="72789FB8">
            <w:pPr>
              <w:keepNext w:val="0"/>
              <w:keepLines w:val="0"/>
              <w:pageBreakBefore w:val="0"/>
              <w:widowControl w:val="0"/>
              <w:tabs>
                <w:tab w:val="left" w:pos="3705"/>
              </w:tabs>
              <w:kinsoku/>
              <w:wordWrap/>
              <w:overflowPunct/>
              <w:topLinePunct w:val="0"/>
              <w:autoSpaceDE/>
              <w:autoSpaceDN/>
              <w:bidi w:val="0"/>
              <w:adjustRightInd/>
              <w:snapToGrid/>
              <w:spacing w:line="480" w:lineRule="exact"/>
              <w:ind w:firstLine="520" w:firstLineChars="200"/>
              <w:textAlignment w:val="auto"/>
              <w:rPr>
                <w:color w:val="auto"/>
                <w:sz w:val="28"/>
                <w:szCs w:val="28"/>
                <w:highlight w:val="none"/>
              </w:rPr>
            </w:pPr>
            <w:r>
              <w:rPr>
                <w:rFonts w:ascii="Times New Roman" w:hAnsi="Times New Roman" w:cs="Times New Roman"/>
                <w:color w:val="auto"/>
                <w:sz w:val="26"/>
                <w:szCs w:val="26"/>
                <w:highlight w:val="none"/>
              </w:rPr>
              <w:t>石灰岩矿体节理裂隙</w:t>
            </w:r>
            <w:r>
              <w:rPr>
                <w:rFonts w:hint="eastAsia" w:ascii="Times New Roman" w:hAnsi="Times New Roman" w:cs="Times New Roman"/>
                <w:color w:val="auto"/>
                <w:sz w:val="26"/>
                <w:szCs w:val="26"/>
                <w:highlight w:val="none"/>
              </w:rPr>
              <w:t>较发育，</w:t>
            </w:r>
            <w:r>
              <w:rPr>
                <w:rFonts w:ascii="Times New Roman" w:hAnsi="Times New Roman" w:cs="Times New Roman"/>
                <w:color w:val="auto"/>
                <w:sz w:val="26"/>
                <w:szCs w:val="26"/>
                <w:highlight w:val="none"/>
              </w:rPr>
              <w:t>地表风化强烈，见风化裂隙及溶蚀沟槽，</w:t>
            </w:r>
            <w:r>
              <w:rPr>
                <w:rFonts w:ascii="Times New Roman" w:hAnsi="Times New Roman" w:cs="Times New Roman"/>
                <w:color w:val="auto"/>
                <w:sz w:val="26"/>
                <w:szCs w:val="26"/>
                <w:highlight w:val="none"/>
                <w:lang w:val="en-GB"/>
              </w:rPr>
              <w:t>地表溶蚀沟槽内见紫红色粘土充填，局部堆积紫红色粘土，厚0.1</w:t>
            </w:r>
            <w:r>
              <w:rPr>
                <w:rFonts w:ascii="Times New Roman" w:hAnsi="Times New Roman" w:cs="Times New Roman"/>
                <w:color w:val="auto"/>
                <w:sz w:val="26"/>
                <w:szCs w:val="26"/>
                <w:highlight w:val="none"/>
              </w:rPr>
              <w:t>～</w:t>
            </w:r>
            <w:r>
              <w:rPr>
                <w:rFonts w:ascii="Times New Roman" w:hAnsi="Times New Roman" w:cs="Times New Roman"/>
                <w:color w:val="auto"/>
                <w:sz w:val="26"/>
                <w:szCs w:val="26"/>
                <w:highlight w:val="none"/>
                <w:lang w:val="en-GB"/>
              </w:rPr>
              <w:t>0.4m，分布零星</w:t>
            </w:r>
            <w:r>
              <w:rPr>
                <w:rFonts w:hint="eastAsia" w:ascii="Times New Roman" w:hAnsi="Times New Roman" w:cs="Times New Roman"/>
                <w:color w:val="auto"/>
                <w:sz w:val="26"/>
                <w:szCs w:val="26"/>
                <w:highlight w:val="none"/>
                <w:lang w:val="en-GB"/>
              </w:rPr>
              <w:t>，大部分基岩裸露地表，</w:t>
            </w:r>
            <w:r>
              <w:rPr>
                <w:rFonts w:ascii="Times New Roman" w:hAnsi="Times New Roman" w:cs="Times New Roman"/>
                <w:color w:val="auto"/>
                <w:sz w:val="26"/>
                <w:szCs w:val="26"/>
                <w:highlight w:val="none"/>
              </w:rPr>
              <w:t>深部岩石较为完整。</w:t>
            </w:r>
            <w:r>
              <w:rPr>
                <w:rFonts w:hint="eastAsia" w:ascii="Times New Roman" w:hAnsi="Times New Roman" w:cs="Times New Roman"/>
                <w:color w:val="auto"/>
                <w:sz w:val="26"/>
                <w:szCs w:val="26"/>
                <w:highlight w:val="none"/>
              </w:rPr>
              <w:t>矿区内分别有0-0’、1-1’、2-2’、3-3’、4-4’、5-5’（其中5-5’为资源量估算辅助剖面），共计6条勘探线控制矿体，</w:t>
            </w:r>
            <w:r>
              <w:rPr>
                <w:rFonts w:ascii="Times New Roman" w:hAnsi="Times New Roman" w:cs="Times New Roman"/>
                <w:color w:val="auto"/>
                <w:sz w:val="26"/>
                <w:szCs w:val="26"/>
                <w:highlight w:val="none"/>
              </w:rPr>
              <w:t>矿体无夹石，</w:t>
            </w:r>
            <w:r>
              <w:rPr>
                <w:rFonts w:hint="eastAsia" w:ascii="Times New Roman" w:hAnsi="Times New Roman" w:cs="Times New Roman"/>
                <w:color w:val="auto"/>
                <w:sz w:val="26"/>
                <w:szCs w:val="26"/>
                <w:highlight w:val="none"/>
              </w:rPr>
              <w:t>区内矿体未见顶底板。</w:t>
            </w:r>
          </w:p>
          <w:p w14:paraId="7D68115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lang w:val="en-US" w:eastAsia="zh-CN" w:bidi="en-US"/>
              </w:rPr>
            </w:pPr>
            <w:r>
              <w:rPr>
                <w:rFonts w:hint="eastAsia" w:ascii="Times New Roman" w:hAnsi="Times New Roman"/>
                <w:b/>
                <w:bCs/>
                <w:color w:val="auto"/>
                <w:sz w:val="26"/>
                <w:szCs w:val="26"/>
                <w:highlight w:val="none"/>
                <w:lang w:val="en-US" w:eastAsia="zh-CN" w:bidi="en-US"/>
              </w:rPr>
              <w:t>5.5.2矿石质量特征</w:t>
            </w:r>
          </w:p>
          <w:p w14:paraId="1FD55EE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（1）矿石结构：矿石以微-细晶结构为主。</w:t>
            </w:r>
          </w:p>
          <w:p w14:paraId="751EE3F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（2）矿石构造：矿石构造主要为薄-中层状构造。</w:t>
            </w:r>
          </w:p>
          <w:p w14:paraId="3F87D37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3）矿石矿物成分及化学组成：区内矿石主要矿物成分为方解石，次为少量白云石、泥质及铁的氧化物。根据本次勘查所取2件全分析样可知，矿石的化学成分为氧化钙（42.90%-49.66%）、氧化镁（0.85%-1.02%）及少量铁铝的氧化物。有毒有害杂质、有害气体含量低。矿体无论是化学组分还是纵横向岩相变化均较小，稳定程度高且无夹石。各化学元素含量见表1-6。</w:t>
            </w:r>
          </w:p>
          <w:p w14:paraId="4B00769B">
            <w:pPr>
              <w:spacing w:line="360" w:lineRule="auto"/>
              <w:ind w:firstLine="422" w:firstLineChars="200"/>
              <w:jc w:val="center"/>
              <w:rPr>
                <w:b/>
                <w:color w:val="auto"/>
                <w:sz w:val="21"/>
                <w:szCs w:val="21"/>
                <w:highlight w:val="none"/>
              </w:rPr>
            </w:pPr>
            <w:r>
              <w:rPr>
                <w:b/>
                <w:color w:val="auto"/>
                <w:sz w:val="21"/>
                <w:szCs w:val="21"/>
                <w:highlight w:val="none"/>
              </w:rPr>
              <w:t>表</w:t>
            </w:r>
            <w:r>
              <w:rPr>
                <w:rFonts w:hint="eastAsia"/>
                <w:b/>
                <w:color w:val="auto"/>
                <w:sz w:val="21"/>
                <w:szCs w:val="21"/>
                <w:highlight w:val="none"/>
                <w:lang w:val="en-US" w:eastAsia="zh-CN"/>
              </w:rPr>
              <w:t>1-6</w:t>
            </w:r>
            <w:r>
              <w:rPr>
                <w:rFonts w:hint="eastAsia"/>
                <w:b/>
                <w:color w:val="auto"/>
                <w:sz w:val="21"/>
                <w:szCs w:val="21"/>
                <w:highlight w:val="none"/>
              </w:rPr>
              <w:t xml:space="preserve">  矿区</w:t>
            </w:r>
            <w:r>
              <w:rPr>
                <w:b/>
                <w:color w:val="auto"/>
                <w:sz w:val="21"/>
                <w:szCs w:val="21"/>
                <w:highlight w:val="none"/>
              </w:rPr>
              <w:t>矿石化学全分析</w:t>
            </w:r>
            <w:r>
              <w:rPr>
                <w:rFonts w:hint="eastAsia"/>
                <w:b/>
                <w:color w:val="auto"/>
                <w:sz w:val="21"/>
                <w:szCs w:val="21"/>
                <w:highlight w:val="none"/>
              </w:rPr>
              <w:t>结果</w:t>
            </w:r>
            <w:r>
              <w:rPr>
                <w:b/>
                <w:color w:val="auto"/>
                <w:sz w:val="21"/>
                <w:szCs w:val="21"/>
                <w:highlight w:val="none"/>
              </w:rPr>
              <w:t>表</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709"/>
              <w:gridCol w:w="735"/>
              <w:gridCol w:w="735"/>
              <w:gridCol w:w="709"/>
              <w:gridCol w:w="699"/>
              <w:gridCol w:w="699"/>
              <w:gridCol w:w="709"/>
              <w:gridCol w:w="709"/>
              <w:gridCol w:w="699"/>
              <w:gridCol w:w="709"/>
              <w:gridCol w:w="579"/>
            </w:tblGrid>
            <w:tr w14:paraId="5772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4" w:type="pct"/>
                  <w:noWrap w:val="0"/>
                  <w:vAlign w:val="center"/>
                </w:tcPr>
                <w:p w14:paraId="333D47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分析项目</w:t>
                  </w:r>
                </w:p>
              </w:tc>
              <w:tc>
                <w:tcPr>
                  <w:tcW w:w="392" w:type="pct"/>
                  <w:noWrap w:val="0"/>
                  <w:vAlign w:val="center"/>
                </w:tcPr>
                <w:p w14:paraId="5137E2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subscript"/>
                    </w:rPr>
                  </w:pPr>
                  <w:r>
                    <w:rPr>
                      <w:rFonts w:ascii="Times New Roman" w:hAnsi="Times New Roman" w:eastAsia="宋体" w:cs="Times New Roman"/>
                      <w:color w:val="auto"/>
                      <w:sz w:val="22"/>
                      <w:szCs w:val="22"/>
                      <w:highlight w:val="none"/>
                    </w:rPr>
                    <w:t>SiO</w:t>
                  </w:r>
                  <w:r>
                    <w:rPr>
                      <w:rFonts w:ascii="Times New Roman" w:hAnsi="Times New Roman" w:eastAsia="宋体" w:cs="Times New Roman"/>
                      <w:color w:val="auto"/>
                      <w:sz w:val="22"/>
                      <w:szCs w:val="22"/>
                      <w:highlight w:val="none"/>
                      <w:vertAlign w:val="subscript"/>
                    </w:rPr>
                    <w:t>2</w:t>
                  </w:r>
                </w:p>
                <w:p w14:paraId="6A63F6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98" w:type="pct"/>
                  <w:noWrap w:val="0"/>
                  <w:vAlign w:val="center"/>
                </w:tcPr>
                <w:p w14:paraId="4DC9F3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subscript"/>
                    </w:rPr>
                  </w:pPr>
                  <w:r>
                    <w:rPr>
                      <w:rFonts w:ascii="Times New Roman" w:hAnsi="Times New Roman" w:eastAsia="宋体" w:cs="Times New Roman"/>
                      <w:color w:val="auto"/>
                      <w:sz w:val="22"/>
                      <w:szCs w:val="22"/>
                      <w:highlight w:val="none"/>
                    </w:rPr>
                    <w:t>Al</w:t>
                  </w:r>
                  <w:r>
                    <w:rPr>
                      <w:rFonts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O</w:t>
                  </w:r>
                  <w:r>
                    <w:rPr>
                      <w:rFonts w:ascii="Times New Roman" w:hAnsi="Times New Roman" w:eastAsia="宋体" w:cs="Times New Roman"/>
                      <w:color w:val="auto"/>
                      <w:sz w:val="22"/>
                      <w:szCs w:val="22"/>
                      <w:highlight w:val="none"/>
                      <w:vertAlign w:val="subscript"/>
                    </w:rPr>
                    <w:t>3</w:t>
                  </w:r>
                </w:p>
                <w:p w14:paraId="093AD6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45" w:type="pct"/>
                  <w:noWrap w:val="0"/>
                  <w:vAlign w:val="center"/>
                </w:tcPr>
                <w:p w14:paraId="5FE947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subscript"/>
                    </w:rPr>
                  </w:pPr>
                  <w:r>
                    <w:rPr>
                      <w:rFonts w:ascii="Times New Roman" w:hAnsi="Times New Roman" w:eastAsia="宋体" w:cs="Times New Roman"/>
                      <w:color w:val="auto"/>
                      <w:sz w:val="22"/>
                      <w:szCs w:val="22"/>
                      <w:highlight w:val="none"/>
                    </w:rPr>
                    <w:t>Fe</w:t>
                  </w:r>
                  <w:r>
                    <w:rPr>
                      <w:rFonts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O</w:t>
                  </w:r>
                  <w:r>
                    <w:rPr>
                      <w:rFonts w:ascii="Times New Roman" w:hAnsi="Times New Roman" w:eastAsia="宋体" w:cs="Times New Roman"/>
                      <w:color w:val="auto"/>
                      <w:sz w:val="22"/>
                      <w:szCs w:val="22"/>
                      <w:highlight w:val="none"/>
                      <w:vertAlign w:val="subscript"/>
                    </w:rPr>
                    <w:t>3</w:t>
                  </w:r>
                </w:p>
                <w:p w14:paraId="2B43F5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393" w:type="pct"/>
                  <w:noWrap w:val="0"/>
                  <w:vAlign w:val="center"/>
                </w:tcPr>
                <w:p w14:paraId="5E1F62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CaO</w:t>
                  </w:r>
                </w:p>
                <w:p w14:paraId="2FED12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393" w:type="pct"/>
                  <w:noWrap w:val="0"/>
                  <w:vAlign w:val="center"/>
                </w:tcPr>
                <w:p w14:paraId="2D3D60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MgO</w:t>
                  </w:r>
                </w:p>
                <w:p w14:paraId="47D4EE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01" w:type="pct"/>
                  <w:noWrap w:val="0"/>
                  <w:vAlign w:val="center"/>
                </w:tcPr>
                <w:p w14:paraId="37FB20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K</w:t>
                  </w:r>
                  <w:r>
                    <w:rPr>
                      <w:rFonts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O (10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393" w:type="pct"/>
                  <w:noWrap w:val="0"/>
                  <w:vAlign w:val="center"/>
                </w:tcPr>
                <w:p w14:paraId="7B61B7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Na</w:t>
                  </w:r>
                  <w:r>
                    <w:rPr>
                      <w:rFonts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O (10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22" w:type="pct"/>
                  <w:noWrap w:val="0"/>
                  <w:vAlign w:val="center"/>
                </w:tcPr>
                <w:p w14:paraId="7BE8DA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P</w:t>
                  </w:r>
                  <w:r>
                    <w:rPr>
                      <w:rFonts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O</w:t>
                  </w:r>
                  <w:r>
                    <w:rPr>
                      <w:rFonts w:hint="eastAsia" w:ascii="Times New Roman" w:hAnsi="Times New Roman" w:eastAsia="宋体" w:cs="Times New Roman"/>
                      <w:color w:val="auto"/>
                      <w:sz w:val="22"/>
                      <w:szCs w:val="22"/>
                      <w:highlight w:val="none"/>
                      <w:vertAlign w:val="subscript"/>
                    </w:rPr>
                    <w:t>5</w:t>
                  </w:r>
                  <w:r>
                    <w:rPr>
                      <w:rFonts w:ascii="Times New Roman" w:hAnsi="Times New Roman" w:eastAsia="宋体" w:cs="Times New Roman"/>
                      <w:color w:val="auto"/>
                      <w:sz w:val="22"/>
                      <w:szCs w:val="22"/>
                      <w:highlight w:val="none"/>
                    </w:rPr>
                    <w:t xml:space="preserve"> (10</w:t>
                  </w:r>
                  <w:r>
                    <w:rPr>
                      <w:rFonts w:ascii="Times New Roman" w:hAnsi="Times New Roman" w:eastAsia="宋体" w:cs="Times New Roman"/>
                      <w:color w:val="auto"/>
                      <w:sz w:val="22"/>
                      <w:szCs w:val="22"/>
                      <w:highlight w:val="none"/>
                      <w:vertAlign w:val="superscript"/>
                    </w:rPr>
                    <w:t>-</w:t>
                  </w:r>
                  <w:r>
                    <w:rPr>
                      <w:rFonts w:hint="eastAsia"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393" w:type="pct"/>
                  <w:noWrap w:val="0"/>
                  <w:vAlign w:val="center"/>
                </w:tcPr>
                <w:p w14:paraId="2AE491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Mn</w:t>
                  </w:r>
                  <w:r>
                    <w:rPr>
                      <w:rFonts w:ascii="Times New Roman" w:hAnsi="Times New Roman" w:eastAsia="宋体" w:cs="Times New Roman"/>
                      <w:color w:val="auto"/>
                      <w:sz w:val="22"/>
                      <w:szCs w:val="22"/>
                      <w:highlight w:val="none"/>
                    </w:rPr>
                    <w:t>O (10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21" w:type="pct"/>
                  <w:noWrap w:val="0"/>
                  <w:vAlign w:val="center"/>
                </w:tcPr>
                <w:p w14:paraId="1F68BD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Ti</w:t>
                  </w:r>
                  <w:r>
                    <w:rPr>
                      <w:rFonts w:ascii="Times New Roman" w:hAnsi="Times New Roman" w:eastAsia="宋体" w:cs="Times New Roman"/>
                      <w:color w:val="auto"/>
                      <w:sz w:val="22"/>
                      <w:szCs w:val="22"/>
                      <w:highlight w:val="none"/>
                    </w:rPr>
                    <w:t>O</w:t>
                  </w:r>
                  <w:r>
                    <w:rPr>
                      <w:rFonts w:hint="eastAsia" w:ascii="Times New Roman" w:hAnsi="Times New Roman" w:eastAsia="宋体" w:cs="Times New Roman"/>
                      <w:color w:val="auto"/>
                      <w:sz w:val="22"/>
                      <w:szCs w:val="22"/>
                      <w:highlight w:val="none"/>
                      <w:vertAlign w:val="subscript"/>
                    </w:rPr>
                    <w:t>2</w:t>
                  </w:r>
                  <w:r>
                    <w:rPr>
                      <w:rFonts w:ascii="Times New Roman" w:hAnsi="Times New Roman" w:eastAsia="宋体" w:cs="Times New Roman"/>
                      <w:color w:val="auto"/>
                      <w:sz w:val="22"/>
                      <w:szCs w:val="22"/>
                      <w:highlight w:val="none"/>
                    </w:rPr>
                    <w:t xml:space="preserve"> (10</w:t>
                  </w:r>
                  <w:r>
                    <w:rPr>
                      <w:rFonts w:ascii="Times New Roman" w:hAnsi="Times New Roman" w:eastAsia="宋体" w:cs="Times New Roman"/>
                      <w:color w:val="auto"/>
                      <w:sz w:val="22"/>
                      <w:szCs w:val="22"/>
                      <w:highlight w:val="none"/>
                      <w:vertAlign w:val="superscript"/>
                    </w:rPr>
                    <w:t>-2</w:t>
                  </w:r>
                  <w:r>
                    <w:rPr>
                      <w:rFonts w:ascii="Times New Roman" w:hAnsi="Times New Roman" w:eastAsia="宋体" w:cs="Times New Roman"/>
                      <w:color w:val="auto"/>
                      <w:sz w:val="22"/>
                      <w:szCs w:val="22"/>
                      <w:highlight w:val="none"/>
                    </w:rPr>
                    <w:t>)</w:t>
                  </w:r>
                </w:p>
              </w:tc>
              <w:tc>
                <w:tcPr>
                  <w:tcW w:w="419" w:type="pct"/>
                  <w:noWrap w:val="0"/>
                  <w:vAlign w:val="center"/>
                </w:tcPr>
                <w:p w14:paraId="6BC38F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取样位置</w:t>
                  </w:r>
                </w:p>
              </w:tc>
            </w:tr>
            <w:tr w14:paraId="33AE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4" w:type="pct"/>
                  <w:noWrap w:val="0"/>
                  <w:vAlign w:val="center"/>
                </w:tcPr>
                <w:p w14:paraId="4D91A0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QF1</w:t>
                  </w:r>
                </w:p>
              </w:tc>
              <w:tc>
                <w:tcPr>
                  <w:tcW w:w="392" w:type="pct"/>
                  <w:noWrap w:val="0"/>
                  <w:vAlign w:val="center"/>
                </w:tcPr>
                <w:p w14:paraId="62A4AC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5.52</w:t>
                  </w:r>
                  <w:r>
                    <w:rPr>
                      <w:rFonts w:ascii="Times New Roman" w:hAnsi="Times New Roman" w:eastAsia="宋体" w:cs="Times New Roman"/>
                      <w:color w:val="auto"/>
                      <w:sz w:val="22"/>
                      <w:szCs w:val="22"/>
                      <w:highlight w:val="none"/>
                    </w:rPr>
                    <w:t xml:space="preserve"> </w:t>
                  </w:r>
                </w:p>
              </w:tc>
              <w:tc>
                <w:tcPr>
                  <w:tcW w:w="498" w:type="pct"/>
                  <w:noWrap w:val="0"/>
                  <w:vAlign w:val="center"/>
                </w:tcPr>
                <w:p w14:paraId="12D1B9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0.96</w:t>
                  </w:r>
                  <w:r>
                    <w:rPr>
                      <w:rFonts w:ascii="Times New Roman" w:hAnsi="Times New Roman" w:eastAsia="宋体" w:cs="Times New Roman"/>
                      <w:color w:val="auto"/>
                      <w:sz w:val="22"/>
                      <w:szCs w:val="22"/>
                      <w:highlight w:val="none"/>
                    </w:rPr>
                    <w:t xml:space="preserve"> </w:t>
                  </w:r>
                </w:p>
              </w:tc>
              <w:tc>
                <w:tcPr>
                  <w:tcW w:w="445" w:type="pct"/>
                  <w:noWrap w:val="0"/>
                  <w:vAlign w:val="center"/>
                </w:tcPr>
                <w:p w14:paraId="6B6E96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1.14</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57B7E3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49.66</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60B941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0.85</w:t>
                  </w:r>
                  <w:r>
                    <w:rPr>
                      <w:rFonts w:ascii="Times New Roman" w:hAnsi="Times New Roman" w:eastAsia="宋体" w:cs="Times New Roman"/>
                      <w:color w:val="auto"/>
                      <w:sz w:val="22"/>
                      <w:szCs w:val="22"/>
                      <w:highlight w:val="none"/>
                    </w:rPr>
                    <w:t xml:space="preserve"> </w:t>
                  </w:r>
                </w:p>
              </w:tc>
              <w:tc>
                <w:tcPr>
                  <w:tcW w:w="401" w:type="pct"/>
                  <w:noWrap w:val="0"/>
                  <w:vAlign w:val="center"/>
                </w:tcPr>
                <w:p w14:paraId="6F3FF4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0.31</w:t>
                  </w:r>
                </w:p>
              </w:tc>
              <w:tc>
                <w:tcPr>
                  <w:tcW w:w="393" w:type="pct"/>
                  <w:noWrap w:val="0"/>
                  <w:vAlign w:val="center"/>
                </w:tcPr>
                <w:p w14:paraId="3086FD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0.013</w:t>
                  </w:r>
                  <w:r>
                    <w:rPr>
                      <w:rFonts w:ascii="Times New Roman" w:hAnsi="Times New Roman" w:eastAsia="宋体" w:cs="Times New Roman"/>
                      <w:color w:val="auto"/>
                      <w:sz w:val="22"/>
                      <w:szCs w:val="22"/>
                      <w:highlight w:val="none"/>
                    </w:rPr>
                    <w:t xml:space="preserve"> </w:t>
                  </w:r>
                </w:p>
              </w:tc>
              <w:tc>
                <w:tcPr>
                  <w:tcW w:w="422" w:type="pct"/>
                  <w:noWrap w:val="0"/>
                  <w:vAlign w:val="center"/>
                </w:tcPr>
                <w:p w14:paraId="3509A7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0.033</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25FAD1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0.13</w:t>
                  </w:r>
                  <w:r>
                    <w:rPr>
                      <w:rFonts w:ascii="Times New Roman" w:hAnsi="Times New Roman" w:eastAsia="宋体" w:cs="Times New Roman"/>
                      <w:color w:val="auto"/>
                      <w:sz w:val="22"/>
                      <w:szCs w:val="22"/>
                      <w:highlight w:val="none"/>
                    </w:rPr>
                    <w:t xml:space="preserve"> </w:t>
                  </w:r>
                </w:p>
              </w:tc>
              <w:tc>
                <w:tcPr>
                  <w:tcW w:w="421" w:type="pct"/>
                  <w:noWrap w:val="0"/>
                  <w:vAlign w:val="center"/>
                </w:tcPr>
                <w:p w14:paraId="63A4DF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0.026</w:t>
                  </w:r>
                  <w:r>
                    <w:rPr>
                      <w:rFonts w:ascii="Times New Roman" w:hAnsi="Times New Roman" w:eastAsia="宋体" w:cs="Times New Roman"/>
                      <w:color w:val="auto"/>
                      <w:sz w:val="22"/>
                      <w:szCs w:val="22"/>
                      <w:highlight w:val="none"/>
                    </w:rPr>
                    <w:t xml:space="preserve"> </w:t>
                  </w:r>
                </w:p>
              </w:tc>
              <w:tc>
                <w:tcPr>
                  <w:tcW w:w="419" w:type="pct"/>
                  <w:noWrap w:val="0"/>
                  <w:vAlign w:val="center"/>
                </w:tcPr>
                <w:p w14:paraId="19E9E8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P</w:t>
                  </w:r>
                  <w:r>
                    <w:rPr>
                      <w:rFonts w:hint="eastAsia" w:ascii="Times New Roman" w:hAnsi="Times New Roman" w:eastAsia="宋体" w:cs="Times New Roman"/>
                      <w:color w:val="auto"/>
                      <w:sz w:val="22"/>
                      <w:szCs w:val="22"/>
                      <w:highlight w:val="none"/>
                    </w:rPr>
                    <w:t>t</w:t>
                  </w:r>
                  <w:r>
                    <w:rPr>
                      <w:rFonts w:ascii="Times New Roman" w:hAnsi="Times New Roman" w:eastAsia="宋体" w:cs="Times New Roman"/>
                      <w:color w:val="auto"/>
                      <w:sz w:val="22"/>
                      <w:szCs w:val="22"/>
                      <w:highlight w:val="none"/>
                    </w:rPr>
                    <w:t>m</w:t>
                  </w:r>
                </w:p>
              </w:tc>
            </w:tr>
            <w:tr w14:paraId="1EF1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4" w:type="pct"/>
                  <w:noWrap w:val="0"/>
                  <w:vAlign w:val="center"/>
                </w:tcPr>
                <w:p w14:paraId="1ADC44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QF2</w:t>
                  </w:r>
                </w:p>
              </w:tc>
              <w:tc>
                <w:tcPr>
                  <w:tcW w:w="392" w:type="pct"/>
                  <w:noWrap w:val="0"/>
                  <w:vAlign w:val="center"/>
                </w:tcPr>
                <w:p w14:paraId="4BD228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16.28</w:t>
                  </w:r>
                  <w:r>
                    <w:rPr>
                      <w:rFonts w:ascii="Times New Roman" w:hAnsi="Times New Roman" w:eastAsia="宋体" w:cs="Times New Roman"/>
                      <w:color w:val="auto"/>
                      <w:sz w:val="22"/>
                      <w:szCs w:val="22"/>
                      <w:highlight w:val="none"/>
                    </w:rPr>
                    <w:t xml:space="preserve"> </w:t>
                  </w:r>
                </w:p>
              </w:tc>
              <w:tc>
                <w:tcPr>
                  <w:tcW w:w="498" w:type="pct"/>
                  <w:noWrap w:val="0"/>
                  <w:vAlign w:val="center"/>
                </w:tcPr>
                <w:p w14:paraId="4AC608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1.65</w:t>
                  </w:r>
                  <w:r>
                    <w:rPr>
                      <w:rFonts w:ascii="Times New Roman" w:hAnsi="Times New Roman" w:eastAsia="宋体" w:cs="Times New Roman"/>
                      <w:color w:val="auto"/>
                      <w:sz w:val="22"/>
                      <w:szCs w:val="22"/>
                      <w:highlight w:val="none"/>
                    </w:rPr>
                    <w:t xml:space="preserve"> </w:t>
                  </w:r>
                </w:p>
              </w:tc>
              <w:tc>
                <w:tcPr>
                  <w:tcW w:w="445" w:type="pct"/>
                  <w:noWrap w:val="0"/>
                  <w:vAlign w:val="center"/>
                </w:tcPr>
                <w:p w14:paraId="6064D7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1.58</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2D3780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42.90</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2FD145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1.02</w:t>
                  </w:r>
                  <w:r>
                    <w:rPr>
                      <w:rFonts w:ascii="Times New Roman" w:hAnsi="Times New Roman" w:eastAsia="宋体" w:cs="Times New Roman"/>
                      <w:color w:val="auto"/>
                      <w:sz w:val="22"/>
                      <w:szCs w:val="22"/>
                      <w:highlight w:val="none"/>
                    </w:rPr>
                    <w:t xml:space="preserve"> </w:t>
                  </w:r>
                </w:p>
              </w:tc>
              <w:tc>
                <w:tcPr>
                  <w:tcW w:w="401" w:type="pct"/>
                  <w:noWrap w:val="0"/>
                  <w:vAlign w:val="center"/>
                </w:tcPr>
                <w:p w14:paraId="77D12E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0.54</w:t>
                  </w:r>
                </w:p>
              </w:tc>
              <w:tc>
                <w:tcPr>
                  <w:tcW w:w="393" w:type="pct"/>
                  <w:noWrap w:val="0"/>
                  <w:vAlign w:val="center"/>
                </w:tcPr>
                <w:p w14:paraId="4E86E1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0.010</w:t>
                  </w:r>
                  <w:r>
                    <w:rPr>
                      <w:rFonts w:ascii="Times New Roman" w:hAnsi="Times New Roman" w:eastAsia="宋体" w:cs="Times New Roman"/>
                      <w:color w:val="auto"/>
                      <w:sz w:val="22"/>
                      <w:szCs w:val="22"/>
                      <w:highlight w:val="none"/>
                    </w:rPr>
                    <w:t xml:space="preserve"> </w:t>
                  </w:r>
                </w:p>
              </w:tc>
              <w:tc>
                <w:tcPr>
                  <w:tcW w:w="422" w:type="pct"/>
                  <w:noWrap w:val="0"/>
                  <w:vAlign w:val="center"/>
                </w:tcPr>
                <w:p w14:paraId="5FCD39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0.031</w:t>
                  </w:r>
                  <w:r>
                    <w:rPr>
                      <w:rFonts w:ascii="Times New Roman" w:hAnsi="Times New Roman" w:eastAsia="宋体" w:cs="Times New Roman"/>
                      <w:color w:val="auto"/>
                      <w:sz w:val="22"/>
                      <w:szCs w:val="22"/>
                      <w:highlight w:val="none"/>
                    </w:rPr>
                    <w:t xml:space="preserve"> </w:t>
                  </w:r>
                </w:p>
              </w:tc>
              <w:tc>
                <w:tcPr>
                  <w:tcW w:w="393" w:type="pct"/>
                  <w:noWrap w:val="0"/>
                  <w:vAlign w:val="center"/>
                </w:tcPr>
                <w:p w14:paraId="5FCAB0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0.</w:t>
                  </w:r>
                  <w:r>
                    <w:rPr>
                      <w:rFonts w:hint="eastAsia" w:ascii="Times New Roman" w:hAnsi="Times New Roman" w:eastAsia="宋体" w:cs="Times New Roman"/>
                      <w:color w:val="auto"/>
                      <w:sz w:val="22"/>
                      <w:szCs w:val="22"/>
                      <w:highlight w:val="none"/>
                    </w:rPr>
                    <w:t>10</w:t>
                  </w:r>
                  <w:r>
                    <w:rPr>
                      <w:rFonts w:ascii="Times New Roman" w:hAnsi="Times New Roman" w:eastAsia="宋体" w:cs="Times New Roman"/>
                      <w:color w:val="auto"/>
                      <w:sz w:val="22"/>
                      <w:szCs w:val="22"/>
                      <w:highlight w:val="none"/>
                    </w:rPr>
                    <w:t xml:space="preserve"> </w:t>
                  </w:r>
                </w:p>
              </w:tc>
              <w:tc>
                <w:tcPr>
                  <w:tcW w:w="421" w:type="pct"/>
                  <w:noWrap w:val="0"/>
                  <w:vAlign w:val="center"/>
                </w:tcPr>
                <w:p w14:paraId="1D29E6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0.056</w:t>
                  </w:r>
                </w:p>
              </w:tc>
              <w:tc>
                <w:tcPr>
                  <w:tcW w:w="419" w:type="pct"/>
                  <w:noWrap w:val="0"/>
                  <w:vAlign w:val="center"/>
                </w:tcPr>
                <w:p w14:paraId="5F321F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P</w:t>
                  </w:r>
                  <w:r>
                    <w:rPr>
                      <w:rFonts w:hint="eastAsia" w:ascii="Times New Roman" w:hAnsi="Times New Roman" w:eastAsia="宋体" w:cs="Times New Roman"/>
                      <w:color w:val="auto"/>
                      <w:sz w:val="22"/>
                      <w:szCs w:val="22"/>
                      <w:highlight w:val="none"/>
                    </w:rPr>
                    <w:t>td</w:t>
                  </w:r>
                  <w:r>
                    <w:rPr>
                      <w:rFonts w:hint="eastAsia" w:ascii="Times New Roman" w:hAnsi="Times New Roman" w:eastAsia="宋体" w:cs="Times New Roman"/>
                      <w:color w:val="auto"/>
                      <w:sz w:val="22"/>
                      <w:szCs w:val="22"/>
                      <w:highlight w:val="none"/>
                      <w:vertAlign w:val="superscript"/>
                    </w:rPr>
                    <w:t>2</w:t>
                  </w:r>
                </w:p>
              </w:tc>
            </w:tr>
          </w:tbl>
          <w:p w14:paraId="5697640A">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ascii="Times New Roman" w:hAnsi="Times New Roman"/>
                <w:color w:val="auto"/>
                <w:sz w:val="26"/>
                <w:szCs w:val="26"/>
                <w:highlight w:val="none"/>
              </w:rPr>
            </w:pPr>
            <w:bookmarkStart w:id="10" w:name="_Toc199215897"/>
            <w:r>
              <w:rPr>
                <w:rFonts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4</w:t>
            </w:r>
            <w:r>
              <w:rPr>
                <w:rFonts w:ascii="Times New Roman" w:hAnsi="Times New Roman"/>
                <w:color w:val="auto"/>
                <w:sz w:val="26"/>
                <w:szCs w:val="26"/>
                <w:highlight w:val="none"/>
              </w:rPr>
              <w:t>）矿石物理力学性</w:t>
            </w:r>
            <w:bookmarkEnd w:id="10"/>
            <w:r>
              <w:rPr>
                <w:rFonts w:ascii="Times New Roman" w:hAnsi="Times New Roman"/>
                <w:color w:val="auto"/>
                <w:sz w:val="26"/>
                <w:szCs w:val="26"/>
                <w:highlight w:val="none"/>
              </w:rPr>
              <w:t>能</w:t>
            </w:r>
          </w:p>
          <w:p w14:paraId="2C6B9325">
            <w:pPr>
              <w:pStyle w:val="15"/>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b w:val="0"/>
                <w:bCs w:val="0"/>
                <w:color w:val="auto"/>
                <w:sz w:val="26"/>
                <w:szCs w:val="26"/>
                <w:highlight w:val="none"/>
                <w:lang w:val="en-US" w:eastAsia="zh-CN" w:bidi="en-US"/>
              </w:rPr>
            </w:pPr>
            <w:r>
              <w:rPr>
                <w:rFonts w:ascii="Times New Roman" w:hAnsi="Times New Roman"/>
                <w:color w:val="auto"/>
                <w:sz w:val="26"/>
                <w:szCs w:val="26"/>
                <w:highlight w:val="none"/>
              </w:rPr>
              <w:t>矿石为</w:t>
            </w:r>
            <w:r>
              <w:rPr>
                <w:rFonts w:hint="eastAsia" w:ascii="Times New Roman" w:hAnsi="Times New Roman"/>
                <w:color w:val="auto"/>
                <w:sz w:val="26"/>
                <w:szCs w:val="26"/>
                <w:highlight w:val="none"/>
              </w:rPr>
              <w:t>灰白色、灰色灰岩白云质灰岩</w:t>
            </w:r>
            <w:r>
              <w:rPr>
                <w:rFonts w:ascii="Times New Roman" w:hAnsi="Times New Roman"/>
                <w:color w:val="auto"/>
                <w:sz w:val="26"/>
                <w:szCs w:val="26"/>
                <w:highlight w:val="none"/>
              </w:rPr>
              <w:t>，微晶-</w:t>
            </w:r>
            <w:r>
              <w:rPr>
                <w:rFonts w:hint="eastAsia" w:ascii="Times New Roman" w:hAnsi="Times New Roman"/>
                <w:color w:val="auto"/>
                <w:sz w:val="26"/>
                <w:szCs w:val="26"/>
                <w:highlight w:val="none"/>
              </w:rPr>
              <w:t>细</w:t>
            </w:r>
            <w:r>
              <w:rPr>
                <w:rFonts w:ascii="Times New Roman" w:hAnsi="Times New Roman"/>
                <w:color w:val="auto"/>
                <w:sz w:val="26"/>
                <w:szCs w:val="26"/>
                <w:highlight w:val="none"/>
              </w:rPr>
              <w:t>晶结构，</w:t>
            </w:r>
            <w:r>
              <w:rPr>
                <w:rFonts w:hint="eastAsia" w:ascii="Times New Roman" w:hAnsi="Times New Roman"/>
                <w:color w:val="auto"/>
                <w:sz w:val="26"/>
                <w:szCs w:val="26"/>
                <w:highlight w:val="none"/>
              </w:rPr>
              <w:t>薄</w:t>
            </w:r>
            <w:r>
              <w:rPr>
                <w:rFonts w:ascii="Times New Roman" w:hAnsi="Times New Roman"/>
                <w:color w:val="auto"/>
                <w:sz w:val="26"/>
                <w:szCs w:val="26"/>
                <w:highlight w:val="none"/>
              </w:rPr>
              <w:t>-</w:t>
            </w:r>
            <w:r>
              <w:rPr>
                <w:rFonts w:hint="eastAsia" w:ascii="Times New Roman" w:hAnsi="Times New Roman"/>
                <w:color w:val="auto"/>
                <w:sz w:val="26"/>
                <w:szCs w:val="26"/>
                <w:highlight w:val="none"/>
              </w:rPr>
              <w:t>中</w:t>
            </w:r>
            <w:r>
              <w:rPr>
                <w:rFonts w:ascii="Times New Roman" w:hAnsi="Times New Roman"/>
                <w:color w:val="auto"/>
                <w:sz w:val="26"/>
                <w:szCs w:val="26"/>
                <w:highlight w:val="none"/>
              </w:rPr>
              <w:t>层状</w:t>
            </w:r>
            <w:r>
              <w:rPr>
                <w:rFonts w:hint="eastAsia" w:ascii="Times New Roman" w:hAnsi="Times New Roman"/>
                <w:color w:val="auto"/>
                <w:sz w:val="26"/>
                <w:szCs w:val="26"/>
                <w:highlight w:val="none"/>
              </w:rPr>
              <w:t>构造，</w:t>
            </w:r>
            <w:r>
              <w:rPr>
                <w:rFonts w:ascii="Times New Roman" w:hAnsi="Times New Roman"/>
                <w:color w:val="auto"/>
                <w:sz w:val="26"/>
                <w:szCs w:val="26"/>
                <w:highlight w:val="none"/>
              </w:rPr>
              <w:t>性脆，浅部因风化节理发育，</w:t>
            </w:r>
            <w:r>
              <w:rPr>
                <w:rFonts w:hint="eastAsia" w:ascii="Times New Roman" w:hAnsi="Times New Roman"/>
                <w:color w:val="auto"/>
                <w:sz w:val="26"/>
                <w:szCs w:val="26"/>
                <w:highlight w:val="none"/>
              </w:rPr>
              <w:t>饱和单轴</w:t>
            </w:r>
            <w:r>
              <w:rPr>
                <w:rFonts w:ascii="Times New Roman" w:hAnsi="Times New Roman"/>
                <w:color w:val="auto"/>
                <w:sz w:val="26"/>
                <w:szCs w:val="26"/>
                <w:highlight w:val="none"/>
              </w:rPr>
              <w:t>抗压强度</w:t>
            </w:r>
            <w:r>
              <w:rPr>
                <w:rFonts w:hint="eastAsia" w:ascii="Times New Roman" w:hAnsi="Times New Roman"/>
                <w:color w:val="auto"/>
                <w:sz w:val="26"/>
                <w:szCs w:val="26"/>
                <w:highlight w:val="none"/>
                <w:lang w:val="en-GB"/>
              </w:rPr>
              <w:t>37.9</w:t>
            </w:r>
            <w:r>
              <w:rPr>
                <w:rFonts w:ascii="Times New Roman" w:hAnsi="Times New Roman"/>
                <w:color w:val="auto"/>
                <w:sz w:val="26"/>
                <w:szCs w:val="26"/>
                <w:highlight w:val="none"/>
              </w:rPr>
              <w:t xml:space="preserve"> MPa</w:t>
            </w:r>
            <w:r>
              <w:rPr>
                <w:rFonts w:hint="eastAsia" w:ascii="Times New Roman" w:hAnsi="Times New Roman"/>
                <w:color w:val="auto"/>
                <w:sz w:val="26"/>
                <w:szCs w:val="26"/>
                <w:highlight w:val="none"/>
              </w:rPr>
              <w:t>～</w:t>
            </w:r>
            <w:r>
              <w:rPr>
                <w:rFonts w:ascii="Times New Roman" w:hAnsi="Times New Roman"/>
                <w:color w:val="auto"/>
                <w:sz w:val="26"/>
                <w:szCs w:val="26"/>
                <w:highlight w:val="none"/>
                <w:lang w:val="en-GB"/>
              </w:rPr>
              <w:t>4</w:t>
            </w:r>
            <w:r>
              <w:rPr>
                <w:rFonts w:hint="eastAsia" w:ascii="Times New Roman" w:hAnsi="Times New Roman"/>
                <w:color w:val="auto"/>
                <w:sz w:val="26"/>
                <w:szCs w:val="26"/>
                <w:highlight w:val="none"/>
                <w:lang w:val="en-GB"/>
              </w:rPr>
              <w:t>3.9</w:t>
            </w:r>
            <w:r>
              <w:rPr>
                <w:rFonts w:ascii="Times New Roman" w:hAnsi="Times New Roman"/>
                <w:color w:val="auto"/>
                <w:sz w:val="26"/>
                <w:szCs w:val="26"/>
                <w:highlight w:val="none"/>
              </w:rPr>
              <w:t>MPa</w:t>
            </w:r>
            <w:r>
              <w:rPr>
                <w:rFonts w:hint="eastAsia" w:ascii="Times New Roman" w:hAnsi="Times New Roman"/>
                <w:color w:val="auto"/>
                <w:sz w:val="26"/>
                <w:szCs w:val="26"/>
                <w:highlight w:val="none"/>
              </w:rPr>
              <w:t>，平均40.53</w:t>
            </w:r>
            <w:r>
              <w:rPr>
                <w:rFonts w:ascii="Times New Roman" w:hAnsi="Times New Roman"/>
                <w:color w:val="auto"/>
                <w:sz w:val="26"/>
                <w:szCs w:val="26"/>
                <w:highlight w:val="none"/>
              </w:rPr>
              <w:t xml:space="preserve"> MPa</w:t>
            </w:r>
            <w:r>
              <w:rPr>
                <w:rFonts w:hint="eastAsia" w:ascii="Times New Roman" w:hAnsi="Times New Roman"/>
                <w:color w:val="auto"/>
                <w:sz w:val="26"/>
                <w:szCs w:val="26"/>
                <w:highlight w:val="none"/>
              </w:rPr>
              <w:t>；小体重平均值</w:t>
            </w:r>
            <w:r>
              <w:rPr>
                <w:rFonts w:ascii="Times New Roman" w:hAnsi="Times New Roman"/>
                <w:color w:val="auto"/>
                <w:sz w:val="26"/>
                <w:szCs w:val="26"/>
                <w:highlight w:val="none"/>
              </w:rPr>
              <w:t>2.</w:t>
            </w:r>
            <w:r>
              <w:rPr>
                <w:rFonts w:hint="eastAsia" w:ascii="Times New Roman" w:hAnsi="Times New Roman"/>
                <w:color w:val="auto"/>
                <w:sz w:val="26"/>
                <w:szCs w:val="26"/>
                <w:highlight w:val="none"/>
              </w:rPr>
              <w:t>72</w:t>
            </w:r>
            <w:r>
              <w:rPr>
                <w:rFonts w:ascii="Times New Roman" w:hAnsi="Times New Roman"/>
                <w:color w:val="auto"/>
                <w:sz w:val="26"/>
                <w:szCs w:val="26"/>
                <w:highlight w:val="none"/>
              </w:rPr>
              <w:t>g/cm</w:t>
            </w:r>
            <w:r>
              <w:rPr>
                <w:rFonts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lang w:eastAsia="zh-CN"/>
              </w:rPr>
              <w:t>。</w:t>
            </w:r>
          </w:p>
          <w:p w14:paraId="7F39E2A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lang w:val="en-US" w:eastAsia="zh-CN" w:bidi="en-US"/>
              </w:rPr>
            </w:pPr>
            <w:bookmarkStart w:id="11" w:name="_Toc50468671"/>
            <w:r>
              <w:rPr>
                <w:rFonts w:hint="eastAsia" w:ascii="Times New Roman" w:hAnsi="Times New Roman"/>
                <w:b/>
                <w:bCs/>
                <w:color w:val="auto"/>
                <w:sz w:val="26"/>
                <w:szCs w:val="26"/>
                <w:highlight w:val="none"/>
                <w:lang w:val="en-US" w:eastAsia="zh-CN" w:bidi="en-US"/>
              </w:rPr>
              <w:t>5.5.3矿石类型</w:t>
            </w:r>
            <w:bookmarkEnd w:id="11"/>
          </w:p>
          <w:p w14:paraId="7B9FA1CA">
            <w:pPr>
              <w:pStyle w:val="43"/>
              <w:keepNext w:val="0"/>
              <w:keepLines w:val="0"/>
              <w:pageBreakBefore w:val="0"/>
              <w:widowControl w:val="0"/>
              <w:pBdr>
                <w:top w:val="none" w:color="auto" w:sz="0" w:space="1"/>
                <w:bottom w:val="none" w:color="auto" w:sz="0" w:space="1"/>
                <w:right w:val="none" w:color="auto" w:sz="0" w:space="4"/>
              </w:pBdr>
              <w:kinsoku/>
              <w:wordWrap/>
              <w:overflowPunct/>
              <w:topLinePunct w:val="0"/>
              <w:autoSpaceDE/>
              <w:autoSpaceDN/>
              <w:bidi w:val="0"/>
              <w:adjustRightInd/>
              <w:snapToGrid/>
              <w:spacing w:line="480" w:lineRule="exact"/>
              <w:ind w:firstLine="520" w:firstLineChars="200"/>
              <w:textAlignment w:val="auto"/>
              <w:rPr>
                <w:rFonts w:cs="Times New Roman"/>
                <w:color w:val="auto"/>
                <w:sz w:val="26"/>
                <w:szCs w:val="26"/>
                <w:highlight w:val="none"/>
              </w:rPr>
            </w:pPr>
            <w:r>
              <w:rPr>
                <w:rFonts w:cs="Times New Roman"/>
                <w:color w:val="auto"/>
                <w:sz w:val="26"/>
                <w:szCs w:val="26"/>
                <w:highlight w:val="none"/>
              </w:rPr>
              <w:t>矿石的自然类型为沉积型</w:t>
            </w:r>
            <w:r>
              <w:rPr>
                <w:rFonts w:hint="eastAsia" w:cs="Times New Roman"/>
                <w:color w:val="auto"/>
                <w:sz w:val="26"/>
                <w:szCs w:val="26"/>
                <w:highlight w:val="none"/>
              </w:rPr>
              <w:t>薄至中层状</w:t>
            </w:r>
            <w:r>
              <w:rPr>
                <w:rFonts w:cs="Times New Roman"/>
                <w:color w:val="auto"/>
                <w:sz w:val="26"/>
                <w:szCs w:val="26"/>
                <w:highlight w:val="none"/>
              </w:rPr>
              <w:t>石灰岩</w:t>
            </w:r>
            <w:r>
              <w:rPr>
                <w:rFonts w:hint="eastAsia" w:cs="Times New Roman"/>
                <w:color w:val="auto"/>
                <w:sz w:val="26"/>
                <w:szCs w:val="26"/>
                <w:highlight w:val="none"/>
              </w:rPr>
              <w:t>，工业类型为建筑石料用石灰岩。</w:t>
            </w:r>
          </w:p>
          <w:p w14:paraId="4A1FBC9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lang w:val="en-US" w:eastAsia="zh-CN" w:bidi="en-US"/>
              </w:rPr>
            </w:pPr>
            <w:bookmarkStart w:id="12" w:name="_Toc50468672"/>
            <w:r>
              <w:rPr>
                <w:rFonts w:hint="eastAsia" w:ascii="Times New Roman" w:hAnsi="Times New Roman"/>
                <w:b/>
                <w:bCs/>
                <w:color w:val="auto"/>
                <w:sz w:val="26"/>
                <w:szCs w:val="26"/>
                <w:highlight w:val="none"/>
                <w:lang w:val="en-US" w:eastAsia="zh-CN" w:bidi="en-US"/>
              </w:rPr>
              <w:t>5.5.4矿体围岩和夹石</w:t>
            </w:r>
            <w:bookmarkEnd w:id="12"/>
          </w:p>
          <w:p w14:paraId="3CA8E13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cs="Times New Roman"/>
                <w:color w:val="auto"/>
                <w:sz w:val="26"/>
                <w:szCs w:val="26"/>
                <w:highlight w:val="none"/>
              </w:rPr>
            </w:pPr>
            <w:r>
              <w:rPr>
                <w:rFonts w:hint="eastAsia" w:cs="Times New Roman"/>
                <w:color w:val="auto"/>
                <w:sz w:val="26"/>
                <w:szCs w:val="26"/>
                <w:highlight w:val="none"/>
              </w:rPr>
              <w:t>区内矿体未见顶底板</w:t>
            </w:r>
            <w:r>
              <w:rPr>
                <w:rFonts w:cs="Times New Roman"/>
                <w:color w:val="auto"/>
                <w:sz w:val="26"/>
                <w:szCs w:val="26"/>
                <w:highlight w:val="none"/>
              </w:rPr>
              <w:t>。</w:t>
            </w:r>
            <w:r>
              <w:rPr>
                <w:rFonts w:hint="eastAsia" w:cs="Times New Roman"/>
                <w:color w:val="auto"/>
                <w:sz w:val="26"/>
                <w:szCs w:val="26"/>
                <w:highlight w:val="none"/>
              </w:rPr>
              <w:t>本次圈定的昆阳群大龙口组下段</w:t>
            </w:r>
            <w:r>
              <w:rPr>
                <w:rFonts w:cs="Times New Roman"/>
                <w:color w:val="auto"/>
                <w:sz w:val="26"/>
                <w:szCs w:val="26"/>
                <w:highlight w:val="none"/>
              </w:rPr>
              <w:t>（P</w:t>
            </w:r>
            <w:r>
              <w:rPr>
                <w:rFonts w:hint="eastAsia" w:cs="Times New Roman"/>
                <w:color w:val="auto"/>
                <w:sz w:val="26"/>
                <w:szCs w:val="26"/>
                <w:highlight w:val="none"/>
              </w:rPr>
              <w:t>td</w:t>
            </w:r>
            <w:r>
              <w:rPr>
                <w:rFonts w:hint="eastAsia" w:cs="Times New Roman"/>
                <w:color w:val="auto"/>
                <w:sz w:val="26"/>
                <w:szCs w:val="26"/>
                <w:highlight w:val="none"/>
                <w:vertAlign w:val="superscript"/>
              </w:rPr>
              <w:t>1</w:t>
            </w:r>
            <w:r>
              <w:rPr>
                <w:rFonts w:cs="Times New Roman"/>
                <w:color w:val="auto"/>
                <w:sz w:val="26"/>
                <w:szCs w:val="26"/>
                <w:highlight w:val="none"/>
              </w:rPr>
              <w:t>）</w:t>
            </w:r>
            <w:r>
              <w:rPr>
                <w:rFonts w:hint="eastAsia" w:cs="Times New Roman"/>
                <w:color w:val="auto"/>
                <w:sz w:val="26"/>
                <w:szCs w:val="26"/>
                <w:highlight w:val="none"/>
              </w:rPr>
              <w:t>、大龙口组上段</w:t>
            </w:r>
            <w:r>
              <w:rPr>
                <w:rFonts w:cs="Times New Roman"/>
                <w:color w:val="auto"/>
                <w:sz w:val="26"/>
                <w:szCs w:val="26"/>
                <w:highlight w:val="none"/>
              </w:rPr>
              <w:t>（P</w:t>
            </w:r>
            <w:r>
              <w:rPr>
                <w:rFonts w:hint="eastAsia" w:cs="Times New Roman"/>
                <w:color w:val="auto"/>
                <w:sz w:val="26"/>
                <w:szCs w:val="26"/>
                <w:highlight w:val="none"/>
              </w:rPr>
              <w:t>td</w:t>
            </w:r>
            <w:r>
              <w:rPr>
                <w:rFonts w:hint="eastAsia" w:cs="Times New Roman"/>
                <w:color w:val="auto"/>
                <w:sz w:val="26"/>
                <w:szCs w:val="26"/>
                <w:highlight w:val="none"/>
                <w:vertAlign w:val="superscript"/>
              </w:rPr>
              <w:t>2</w:t>
            </w:r>
            <w:r>
              <w:rPr>
                <w:rFonts w:cs="Times New Roman"/>
                <w:color w:val="auto"/>
                <w:sz w:val="26"/>
                <w:szCs w:val="26"/>
                <w:highlight w:val="none"/>
              </w:rPr>
              <w:t>）</w:t>
            </w:r>
            <w:r>
              <w:rPr>
                <w:rFonts w:hint="eastAsia" w:cs="Times New Roman"/>
                <w:color w:val="auto"/>
                <w:sz w:val="26"/>
                <w:szCs w:val="26"/>
                <w:highlight w:val="none"/>
              </w:rPr>
              <w:t>、美党</w:t>
            </w:r>
            <w:r>
              <w:rPr>
                <w:rFonts w:cs="Times New Roman"/>
                <w:color w:val="auto"/>
                <w:sz w:val="26"/>
                <w:szCs w:val="26"/>
                <w:highlight w:val="none"/>
              </w:rPr>
              <w:t>组（P</w:t>
            </w:r>
            <w:r>
              <w:rPr>
                <w:rFonts w:hint="eastAsia" w:cs="Times New Roman"/>
                <w:color w:val="auto"/>
                <w:sz w:val="26"/>
                <w:szCs w:val="26"/>
                <w:highlight w:val="none"/>
              </w:rPr>
              <w:t>t</w:t>
            </w:r>
            <w:r>
              <w:rPr>
                <w:rFonts w:cs="Times New Roman"/>
                <w:color w:val="auto"/>
                <w:sz w:val="26"/>
                <w:szCs w:val="26"/>
                <w:highlight w:val="none"/>
              </w:rPr>
              <w:t>m）</w:t>
            </w:r>
            <w:r>
              <w:rPr>
                <w:rFonts w:hint="eastAsia" w:cs="Times New Roman"/>
                <w:color w:val="auto"/>
                <w:sz w:val="26"/>
                <w:szCs w:val="26"/>
                <w:highlight w:val="none"/>
              </w:rPr>
              <w:t>灰岩全是矿层，无夹石。</w:t>
            </w:r>
          </w:p>
          <w:p w14:paraId="310895A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lang w:val="en-US" w:eastAsia="zh-CN" w:bidi="en-US"/>
              </w:rPr>
            </w:pPr>
            <w:bookmarkStart w:id="13" w:name="_Toc50468673"/>
            <w:r>
              <w:rPr>
                <w:rFonts w:hint="eastAsia" w:ascii="Times New Roman" w:hAnsi="Times New Roman"/>
                <w:b/>
                <w:bCs/>
                <w:color w:val="auto"/>
                <w:sz w:val="26"/>
                <w:szCs w:val="26"/>
                <w:highlight w:val="none"/>
                <w:lang w:val="en-US" w:eastAsia="zh-CN" w:bidi="en-US"/>
              </w:rPr>
              <w:t>5.5.5矿床内共（伴）生矿产</w:t>
            </w:r>
            <w:bookmarkEnd w:id="13"/>
          </w:p>
          <w:p w14:paraId="16C6323B">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cs="Times New Roman"/>
                <w:color w:val="auto"/>
                <w:sz w:val="26"/>
                <w:szCs w:val="26"/>
                <w:highlight w:val="none"/>
              </w:rPr>
            </w:pPr>
            <w:r>
              <w:rPr>
                <w:rFonts w:cs="Times New Roman"/>
                <w:color w:val="auto"/>
                <w:sz w:val="26"/>
                <w:szCs w:val="26"/>
                <w:highlight w:val="none"/>
              </w:rPr>
              <w:t>经野外调查未发现其它有价值的共（伴）生矿产。</w:t>
            </w:r>
          </w:p>
          <w:p w14:paraId="4DCE940F">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imes New Roman" w:hAnsi="Times New Roman"/>
                <w:b/>
                <w:bCs/>
                <w:color w:val="auto"/>
                <w:sz w:val="26"/>
                <w:szCs w:val="26"/>
                <w:highlight w:val="none"/>
                <w:lang w:val="en-US" w:eastAsia="zh-CN" w:bidi="en-US"/>
              </w:rPr>
            </w:pPr>
            <w:bookmarkStart w:id="14" w:name="_Toc50468718"/>
            <w:bookmarkStart w:id="15" w:name="_Toc376711314"/>
            <w:bookmarkStart w:id="16" w:name="_Toc376711491"/>
            <w:r>
              <w:rPr>
                <w:rFonts w:hint="eastAsia" w:ascii="Times New Roman" w:hAnsi="Times New Roman"/>
                <w:b/>
                <w:bCs/>
                <w:color w:val="auto"/>
                <w:sz w:val="26"/>
                <w:szCs w:val="26"/>
                <w:highlight w:val="none"/>
                <w:lang w:val="en-US" w:eastAsia="zh-CN" w:bidi="en-US"/>
              </w:rPr>
              <w:t>5.6矿区含（隔）水层特征</w:t>
            </w:r>
          </w:p>
          <w:p w14:paraId="0D3CB9DA">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cs="Times New Roman"/>
                <w:b w:val="0"/>
                <w:color w:val="auto"/>
                <w:sz w:val="26"/>
                <w:szCs w:val="26"/>
                <w:highlight w:val="none"/>
              </w:rPr>
            </w:pPr>
            <w:r>
              <w:rPr>
                <w:rFonts w:ascii="Times New Roman" w:hAnsi="Times New Roman" w:cs="Times New Roman"/>
                <w:b w:val="0"/>
                <w:color w:val="auto"/>
                <w:sz w:val="26"/>
                <w:szCs w:val="26"/>
                <w:highlight w:val="none"/>
              </w:rPr>
              <w:t>矿区出露地层为</w:t>
            </w:r>
            <w:r>
              <w:rPr>
                <w:rFonts w:hint="eastAsia" w:ascii="Times New Roman" w:hAnsi="Times New Roman" w:cs="Times New Roman"/>
                <w:b w:val="0"/>
                <w:color w:val="auto"/>
                <w:sz w:val="26"/>
                <w:szCs w:val="26"/>
                <w:highlight w:val="none"/>
              </w:rPr>
              <w:t>元</w:t>
            </w:r>
            <w:r>
              <w:rPr>
                <w:rFonts w:ascii="Times New Roman" w:hAnsi="Times New Roman" w:cs="Times New Roman"/>
                <w:b w:val="0"/>
                <w:color w:val="auto"/>
                <w:sz w:val="26"/>
                <w:szCs w:val="26"/>
                <w:highlight w:val="none"/>
              </w:rPr>
              <w:t>古界</w:t>
            </w:r>
            <w:r>
              <w:rPr>
                <w:rFonts w:hint="eastAsia" w:ascii="Times New Roman" w:hAnsi="Times New Roman" w:cs="Times New Roman"/>
                <w:b w:val="0"/>
                <w:color w:val="auto"/>
                <w:sz w:val="26"/>
                <w:szCs w:val="26"/>
                <w:highlight w:val="none"/>
              </w:rPr>
              <w:t>昆阳群大龙口组下段</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hint="eastAsia" w:ascii="Times New Roman" w:hAnsi="Times New Roman" w:cs="Times New Roman"/>
                <w:b w:val="0"/>
                <w:color w:val="auto"/>
                <w:sz w:val="26"/>
                <w:szCs w:val="26"/>
                <w:highlight w:val="none"/>
                <w:vertAlign w:val="superscript"/>
              </w:rPr>
              <w:t>1</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、大龙口组上段</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hint="eastAsia" w:ascii="Times New Roman" w:hAnsi="Times New Roman" w:cs="Times New Roman"/>
                <w:b w:val="0"/>
                <w:color w:val="auto"/>
                <w:sz w:val="26"/>
                <w:szCs w:val="26"/>
                <w:highlight w:val="none"/>
                <w:vertAlign w:val="superscript"/>
              </w:rPr>
              <w:t>2</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、美党</w:t>
            </w:r>
            <w:r>
              <w:rPr>
                <w:rFonts w:ascii="Times New Roman" w:hAnsi="Times New Roman" w:cs="Times New Roman"/>
                <w:b w:val="0"/>
                <w:color w:val="auto"/>
                <w:sz w:val="26"/>
                <w:szCs w:val="26"/>
                <w:highlight w:val="none"/>
              </w:rPr>
              <w:t>组（P</w:t>
            </w:r>
            <w:r>
              <w:rPr>
                <w:rFonts w:hint="eastAsia" w:ascii="Times New Roman" w:hAnsi="Times New Roman" w:cs="Times New Roman"/>
                <w:b w:val="0"/>
                <w:color w:val="auto"/>
                <w:sz w:val="26"/>
                <w:szCs w:val="26"/>
                <w:highlight w:val="none"/>
              </w:rPr>
              <w:t>t</w:t>
            </w:r>
            <w:r>
              <w:rPr>
                <w:rFonts w:ascii="Times New Roman" w:hAnsi="Times New Roman" w:cs="Times New Roman"/>
                <w:b w:val="0"/>
                <w:color w:val="auto"/>
                <w:sz w:val="26"/>
                <w:szCs w:val="26"/>
                <w:highlight w:val="none"/>
              </w:rPr>
              <w:t>m）</w:t>
            </w:r>
            <w:r>
              <w:rPr>
                <w:rFonts w:hint="eastAsia" w:cs="Times New Roman"/>
                <w:b w:val="0"/>
                <w:color w:val="auto"/>
                <w:sz w:val="26"/>
                <w:szCs w:val="26"/>
                <w:highlight w:val="none"/>
                <w:lang w:eastAsia="zh-CN"/>
              </w:rPr>
              <w:t>：</w:t>
            </w:r>
          </w:p>
          <w:p w14:paraId="5169219A">
            <w:pPr>
              <w:keepNext w:val="0"/>
              <w:keepLines w:val="0"/>
              <w:pageBreakBefore w:val="0"/>
              <w:widowControl w:val="0"/>
              <w:kinsoku/>
              <w:wordWrap/>
              <w:overflowPunct/>
              <w:topLinePunct w:val="0"/>
              <w:autoSpaceDE/>
              <w:autoSpaceDN/>
              <w:bidi w:val="0"/>
              <w:adjustRightInd/>
              <w:snapToGrid/>
              <w:spacing w:line="480" w:lineRule="exact"/>
              <w:ind w:firstLine="570"/>
              <w:jc w:val="both"/>
              <w:textAlignment w:val="auto"/>
              <w:rPr>
                <w:rFonts w:hint="eastAsia" w:ascii="Times New Roman" w:hAnsi="Times New Roman" w:cs="Times New Roman"/>
                <w:b w:val="0"/>
                <w:color w:val="auto"/>
                <w:sz w:val="26"/>
                <w:szCs w:val="26"/>
                <w:highlight w:val="none"/>
              </w:rPr>
            </w:pPr>
            <w:r>
              <w:rPr>
                <w:rFonts w:hint="eastAsia" w:cs="Times New Roman"/>
                <w:b w:val="0"/>
                <w:color w:val="auto"/>
                <w:sz w:val="26"/>
                <w:szCs w:val="26"/>
                <w:highlight w:val="none"/>
                <w:lang w:eastAsia="zh-CN"/>
              </w:rPr>
              <w:t>（</w:t>
            </w:r>
            <w:r>
              <w:rPr>
                <w:rFonts w:hint="eastAsia" w:cs="Times New Roman"/>
                <w:b w:val="0"/>
                <w:color w:val="auto"/>
                <w:sz w:val="26"/>
                <w:szCs w:val="26"/>
                <w:highlight w:val="none"/>
                <w:lang w:val="en-US" w:eastAsia="zh-CN"/>
              </w:rPr>
              <w:t>1</w:t>
            </w:r>
            <w:r>
              <w:rPr>
                <w:rFonts w:hint="eastAsia" w:cs="Times New Roman"/>
                <w:b w:val="0"/>
                <w:color w:val="auto"/>
                <w:sz w:val="26"/>
                <w:szCs w:val="26"/>
                <w:highlight w:val="none"/>
                <w:lang w:eastAsia="zh-CN"/>
              </w:rPr>
              <w:t>）</w:t>
            </w:r>
            <w:r>
              <w:rPr>
                <w:rFonts w:hint="eastAsia" w:ascii="Times New Roman" w:hAnsi="Times New Roman" w:cs="Times New Roman"/>
                <w:b w:val="0"/>
                <w:color w:val="auto"/>
                <w:sz w:val="26"/>
                <w:szCs w:val="26"/>
                <w:highlight w:val="none"/>
              </w:rPr>
              <w:t>昆阳群大龙口组下段</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hint="eastAsia" w:ascii="Times New Roman" w:hAnsi="Times New Roman" w:cs="Times New Roman"/>
                <w:b w:val="0"/>
                <w:color w:val="auto"/>
                <w:sz w:val="26"/>
                <w:szCs w:val="26"/>
                <w:highlight w:val="none"/>
                <w:vertAlign w:val="superscript"/>
              </w:rPr>
              <w:t>1</w:t>
            </w:r>
            <w:r>
              <w:rPr>
                <w:rFonts w:ascii="Times New Roman" w:hAnsi="Times New Roman" w:cs="Times New Roman"/>
                <w:b w:val="0"/>
                <w:color w:val="auto"/>
                <w:sz w:val="26"/>
                <w:szCs w:val="26"/>
                <w:highlight w:val="none"/>
              </w:rPr>
              <w:t>）为</w:t>
            </w:r>
            <w:r>
              <w:rPr>
                <w:rFonts w:hint="eastAsia" w:ascii="Times New Roman" w:hAnsi="Times New Roman" w:cs="Times New Roman"/>
                <w:b w:val="0"/>
                <w:color w:val="auto"/>
                <w:sz w:val="26"/>
                <w:szCs w:val="26"/>
                <w:highlight w:val="none"/>
              </w:rPr>
              <w:t>一套碳酸盐建造，岩性为</w:t>
            </w:r>
            <w:r>
              <w:rPr>
                <w:rFonts w:ascii="Times New Roman" w:hAnsi="Times New Roman" w:cs="Times New Roman"/>
                <w:b w:val="0"/>
                <w:color w:val="auto"/>
                <w:sz w:val="26"/>
                <w:szCs w:val="26"/>
                <w:highlight w:val="none"/>
              </w:rPr>
              <w:t>浅</w:t>
            </w:r>
            <w:r>
              <w:rPr>
                <w:rFonts w:ascii="Times New Roman" w:hAnsi="Times New Roman" w:cs="Times New Roman"/>
                <w:b w:val="0"/>
                <w:color w:val="auto"/>
                <w:sz w:val="26"/>
                <w:szCs w:val="26"/>
                <w:highlight w:val="none"/>
                <w:lang w:val="en-GB"/>
              </w:rPr>
              <w:t>灰色</w:t>
            </w:r>
            <w:r>
              <w:rPr>
                <w:rFonts w:hint="eastAsia" w:ascii="Times New Roman" w:hAnsi="Times New Roman" w:cs="Times New Roman"/>
                <w:b w:val="0"/>
                <w:color w:val="auto"/>
                <w:sz w:val="26"/>
                <w:szCs w:val="26"/>
                <w:highlight w:val="none"/>
                <w:lang w:val="en-GB"/>
              </w:rPr>
              <w:t>、</w:t>
            </w:r>
            <w:r>
              <w:rPr>
                <w:rFonts w:ascii="Times New Roman" w:hAnsi="Times New Roman" w:cs="Times New Roman"/>
                <w:b w:val="0"/>
                <w:color w:val="auto"/>
                <w:sz w:val="26"/>
                <w:szCs w:val="26"/>
                <w:highlight w:val="none"/>
                <w:lang w:val="en-GB"/>
              </w:rPr>
              <w:t>灰白色白云质灰岩</w:t>
            </w:r>
            <w:r>
              <w:rPr>
                <w:rFonts w:hint="eastAsia" w:ascii="Times New Roman" w:hAnsi="Times New Roman" w:cs="Times New Roman"/>
                <w:b w:val="0"/>
                <w:color w:val="auto"/>
                <w:sz w:val="26"/>
                <w:szCs w:val="26"/>
                <w:highlight w:val="none"/>
                <w:lang w:val="en-GB"/>
              </w:rPr>
              <w:t>，</w:t>
            </w:r>
            <w:r>
              <w:rPr>
                <w:rFonts w:ascii="Times New Roman" w:hAnsi="Times New Roman" w:cs="Times New Roman"/>
                <w:b w:val="0"/>
                <w:color w:val="auto"/>
                <w:sz w:val="26"/>
                <w:szCs w:val="26"/>
                <w:highlight w:val="none"/>
              </w:rPr>
              <w:t>分布于矿区</w:t>
            </w:r>
            <w:r>
              <w:rPr>
                <w:rFonts w:hint="eastAsia" w:ascii="Times New Roman" w:hAnsi="Times New Roman" w:cs="Times New Roman"/>
                <w:b w:val="0"/>
                <w:color w:val="auto"/>
                <w:sz w:val="26"/>
                <w:szCs w:val="26"/>
                <w:highlight w:val="none"/>
              </w:rPr>
              <w:t>北东部</w:t>
            </w:r>
            <w:r>
              <w:rPr>
                <w:rFonts w:ascii="Times New Roman" w:hAnsi="Times New Roman" w:cs="Times New Roman"/>
                <w:b w:val="0"/>
                <w:color w:val="auto"/>
                <w:sz w:val="26"/>
                <w:szCs w:val="26"/>
                <w:highlight w:val="none"/>
              </w:rPr>
              <w:t>，地表</w:t>
            </w:r>
            <w:r>
              <w:rPr>
                <w:rFonts w:hint="eastAsia" w:ascii="Times New Roman" w:hAnsi="Times New Roman" w:cs="Times New Roman"/>
                <w:b w:val="0"/>
                <w:color w:val="auto"/>
                <w:sz w:val="26"/>
                <w:szCs w:val="26"/>
                <w:highlight w:val="none"/>
              </w:rPr>
              <w:t>多见岩溶现象</w:t>
            </w:r>
            <w:r>
              <w:rPr>
                <w:rFonts w:ascii="Times New Roman" w:hAnsi="Times New Roman" w:cs="Times New Roman"/>
                <w:b w:val="0"/>
                <w:color w:val="auto"/>
                <w:sz w:val="26"/>
                <w:szCs w:val="26"/>
                <w:highlight w:val="none"/>
              </w:rPr>
              <w:t>，岩溶形态多为溶沟、溶槽；</w:t>
            </w:r>
            <w:r>
              <w:rPr>
                <w:rFonts w:hint="eastAsia" w:ascii="Times New Roman" w:hAnsi="Times New Roman" w:cs="Times New Roman"/>
                <w:b w:val="0"/>
                <w:color w:val="auto"/>
                <w:sz w:val="26"/>
                <w:szCs w:val="26"/>
                <w:highlight w:val="none"/>
              </w:rPr>
              <w:t>节理</w:t>
            </w:r>
            <w:r>
              <w:rPr>
                <w:rFonts w:ascii="Times New Roman" w:hAnsi="Times New Roman" w:cs="Times New Roman"/>
                <w:b w:val="0"/>
                <w:color w:val="auto"/>
                <w:sz w:val="26"/>
                <w:szCs w:val="26"/>
                <w:highlight w:val="none"/>
              </w:rPr>
              <w:t>发育，</w:t>
            </w:r>
            <w:r>
              <w:rPr>
                <w:rFonts w:hint="eastAsia" w:ascii="Times New Roman" w:hAnsi="Times New Roman" w:cs="Times New Roman"/>
                <w:b w:val="0"/>
                <w:color w:val="auto"/>
                <w:sz w:val="26"/>
                <w:szCs w:val="26"/>
                <w:highlight w:val="none"/>
              </w:rPr>
              <w:t>主要发育两组，产状为J</w:t>
            </w:r>
            <w:r>
              <w:rPr>
                <w:rFonts w:ascii="Times New Roman" w:hAnsi="Times New Roman" w:cs="Times New Roman"/>
                <w:b w:val="0"/>
                <w:color w:val="auto"/>
                <w:sz w:val="26"/>
                <w:szCs w:val="26"/>
                <w:highlight w:val="none"/>
              </w:rPr>
              <w:t>1</w:t>
            </w:r>
            <w:r>
              <w:rPr>
                <w:rFonts w:hint="eastAsia" w:ascii="Times New Roman" w:hAnsi="Times New Roman" w:cs="Times New Roman"/>
                <w:b w:val="0"/>
                <w:color w:val="auto"/>
                <w:sz w:val="26"/>
                <w:szCs w:val="26"/>
                <w:highlight w:val="none"/>
              </w:rPr>
              <w:t>:</w:t>
            </w:r>
            <w:r>
              <w:rPr>
                <w:rFonts w:ascii="Times New Roman" w:hAnsi="Times New Roman" w:cs="Times New Roman"/>
                <w:b w:val="0"/>
                <w:color w:val="auto"/>
                <w:sz w:val="26"/>
                <w:szCs w:val="26"/>
                <w:highlight w:val="none"/>
              </w:rPr>
              <w:t>2</w:t>
            </w:r>
            <w:r>
              <w:rPr>
                <w:rFonts w:hint="eastAsia" w:ascii="Times New Roman" w:hAnsi="Times New Roman" w:cs="Times New Roman"/>
                <w:b w:val="0"/>
                <w:color w:val="auto"/>
                <w:sz w:val="26"/>
                <w:szCs w:val="26"/>
                <w:highlight w:val="none"/>
              </w:rPr>
              <w:t>20°～229°∠50°～68°，J</w:t>
            </w:r>
            <w:r>
              <w:rPr>
                <w:rFonts w:ascii="Times New Roman" w:hAnsi="Times New Roman" w:cs="Times New Roman"/>
                <w:b w:val="0"/>
                <w:color w:val="auto"/>
                <w:sz w:val="26"/>
                <w:szCs w:val="26"/>
                <w:highlight w:val="none"/>
              </w:rPr>
              <w:t>2</w:t>
            </w:r>
            <w:r>
              <w:rPr>
                <w:rFonts w:hint="eastAsia" w:ascii="Times New Roman" w:hAnsi="Times New Roman" w:cs="Times New Roman"/>
                <w:b w:val="0"/>
                <w:color w:val="auto"/>
                <w:sz w:val="26"/>
                <w:szCs w:val="26"/>
                <w:highlight w:val="none"/>
              </w:rPr>
              <w:t>：84°～106°∠46°～67°</w:t>
            </w:r>
            <w:r>
              <w:rPr>
                <w:rFonts w:ascii="Times New Roman" w:hAnsi="Times New Roman" w:cs="Times New Roman"/>
                <w:b w:val="0"/>
                <w:color w:val="auto"/>
                <w:sz w:val="26"/>
                <w:szCs w:val="26"/>
                <w:highlight w:val="none"/>
              </w:rPr>
              <w:t>。地下水赋存在岩溶裂隙中，为岩溶裂隙水，矿区地形较陡，地表水排泄较快，岩溶裂隙发育，有利于下渗，不利于储水，综上所述该层富水性中等，</w:t>
            </w:r>
            <w:r>
              <w:rPr>
                <w:rFonts w:hint="eastAsia" w:ascii="Times New Roman" w:hAnsi="Times New Roman" w:cs="Times New Roman"/>
                <w:b w:val="0"/>
                <w:color w:val="auto"/>
                <w:sz w:val="26"/>
                <w:szCs w:val="26"/>
                <w:highlight w:val="none"/>
              </w:rPr>
              <w:t>透水性一般</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中等。</w:t>
            </w:r>
            <w:r>
              <w:rPr>
                <w:rFonts w:ascii="Times New Roman" w:hAnsi="Times New Roman" w:cs="Times New Roman"/>
                <w:b w:val="0"/>
                <w:color w:val="auto"/>
                <w:sz w:val="26"/>
                <w:szCs w:val="26"/>
                <w:highlight w:val="none"/>
              </w:rPr>
              <w:t>地下水位较深，地表及浅部无地下水。</w:t>
            </w:r>
          </w:p>
          <w:p w14:paraId="270317F4">
            <w:pPr>
              <w:keepNext w:val="0"/>
              <w:keepLines w:val="0"/>
              <w:pageBreakBefore w:val="0"/>
              <w:widowControl w:val="0"/>
              <w:kinsoku/>
              <w:wordWrap/>
              <w:overflowPunct/>
              <w:topLinePunct w:val="0"/>
              <w:autoSpaceDE/>
              <w:autoSpaceDN/>
              <w:bidi w:val="0"/>
              <w:adjustRightInd/>
              <w:snapToGrid/>
              <w:spacing w:line="480" w:lineRule="exact"/>
              <w:ind w:firstLine="570"/>
              <w:jc w:val="both"/>
              <w:textAlignment w:val="auto"/>
              <w:rPr>
                <w:rFonts w:hint="eastAsia" w:ascii="Times New Roman" w:hAnsi="Times New Roman" w:cs="Times New Roman"/>
                <w:b w:val="0"/>
                <w:color w:val="auto"/>
                <w:sz w:val="26"/>
                <w:szCs w:val="26"/>
                <w:highlight w:val="none"/>
              </w:rPr>
            </w:pPr>
            <w:r>
              <w:rPr>
                <w:rFonts w:hint="eastAsia" w:cs="Times New Roman"/>
                <w:b w:val="0"/>
                <w:color w:val="auto"/>
                <w:sz w:val="26"/>
                <w:szCs w:val="26"/>
                <w:highlight w:val="none"/>
                <w:lang w:eastAsia="zh-CN"/>
              </w:rPr>
              <w:t>（</w:t>
            </w:r>
            <w:r>
              <w:rPr>
                <w:rFonts w:hint="eastAsia" w:cs="Times New Roman"/>
                <w:b w:val="0"/>
                <w:color w:val="auto"/>
                <w:sz w:val="26"/>
                <w:szCs w:val="26"/>
                <w:highlight w:val="none"/>
                <w:lang w:val="en-US" w:eastAsia="zh-CN"/>
              </w:rPr>
              <w:t>2</w:t>
            </w:r>
            <w:r>
              <w:rPr>
                <w:rFonts w:hint="eastAsia" w:cs="Times New Roman"/>
                <w:b w:val="0"/>
                <w:color w:val="auto"/>
                <w:sz w:val="26"/>
                <w:szCs w:val="26"/>
                <w:highlight w:val="none"/>
                <w:lang w:eastAsia="zh-CN"/>
              </w:rPr>
              <w:t>）</w:t>
            </w:r>
            <w:r>
              <w:rPr>
                <w:rFonts w:hint="eastAsia" w:ascii="Times New Roman" w:hAnsi="Times New Roman" w:cs="Times New Roman"/>
                <w:b w:val="0"/>
                <w:color w:val="auto"/>
                <w:sz w:val="26"/>
                <w:szCs w:val="26"/>
                <w:highlight w:val="none"/>
              </w:rPr>
              <w:t>昆阳群大龙口组上段</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td</w:t>
            </w:r>
            <w:r>
              <w:rPr>
                <w:rFonts w:hint="eastAsia" w:ascii="Times New Roman" w:hAnsi="Times New Roman" w:cs="Times New Roman"/>
                <w:b w:val="0"/>
                <w:color w:val="auto"/>
                <w:sz w:val="26"/>
                <w:szCs w:val="26"/>
                <w:highlight w:val="none"/>
                <w:vertAlign w:val="superscript"/>
              </w:rPr>
              <w:t>2</w:t>
            </w:r>
            <w:r>
              <w:rPr>
                <w:rFonts w:ascii="Times New Roman" w:hAnsi="Times New Roman" w:cs="Times New Roman"/>
                <w:b w:val="0"/>
                <w:color w:val="auto"/>
                <w:sz w:val="26"/>
                <w:szCs w:val="26"/>
                <w:highlight w:val="none"/>
              </w:rPr>
              <w:t>）为</w:t>
            </w:r>
            <w:r>
              <w:rPr>
                <w:rFonts w:hint="eastAsia" w:ascii="Times New Roman" w:hAnsi="Times New Roman" w:cs="Times New Roman"/>
                <w:b w:val="0"/>
                <w:color w:val="auto"/>
                <w:sz w:val="26"/>
                <w:szCs w:val="26"/>
                <w:highlight w:val="none"/>
              </w:rPr>
              <w:t>一套碳酸盐建造，</w:t>
            </w:r>
            <w:r>
              <w:rPr>
                <w:rFonts w:ascii="Times New Roman" w:hAnsi="Times New Roman" w:cs="Times New Roman"/>
                <w:b w:val="0"/>
                <w:color w:val="auto"/>
                <w:sz w:val="26"/>
                <w:szCs w:val="26"/>
                <w:highlight w:val="none"/>
              </w:rPr>
              <w:t>岩性为</w:t>
            </w:r>
            <w:r>
              <w:rPr>
                <w:rFonts w:ascii="Times New Roman" w:hAnsi="Times New Roman" w:cs="Times New Roman"/>
                <w:b w:val="0"/>
                <w:color w:val="auto"/>
                <w:sz w:val="26"/>
                <w:szCs w:val="26"/>
                <w:highlight w:val="none"/>
                <w:lang w:val="en-GB"/>
              </w:rPr>
              <w:t>灰色</w:t>
            </w:r>
            <w:r>
              <w:rPr>
                <w:rFonts w:hint="eastAsia" w:ascii="Times New Roman" w:hAnsi="Times New Roman" w:cs="Times New Roman"/>
                <w:b w:val="0"/>
                <w:color w:val="auto"/>
                <w:sz w:val="26"/>
                <w:szCs w:val="26"/>
                <w:highlight w:val="none"/>
                <w:lang w:val="en-GB"/>
              </w:rPr>
              <w:t>、</w:t>
            </w:r>
            <w:r>
              <w:rPr>
                <w:rFonts w:ascii="Times New Roman" w:hAnsi="Times New Roman" w:cs="Times New Roman"/>
                <w:b w:val="0"/>
                <w:color w:val="auto"/>
                <w:sz w:val="26"/>
                <w:szCs w:val="26"/>
                <w:highlight w:val="none"/>
                <w:lang w:val="en-GB"/>
              </w:rPr>
              <w:t>深灰色灰岩</w:t>
            </w:r>
            <w:r>
              <w:rPr>
                <w:rFonts w:hint="eastAsia" w:ascii="Times New Roman" w:hAnsi="Times New Roman" w:cs="Times New Roman"/>
                <w:b w:val="0"/>
                <w:color w:val="auto"/>
                <w:sz w:val="26"/>
                <w:szCs w:val="26"/>
                <w:highlight w:val="none"/>
                <w:lang w:val="en-GB"/>
              </w:rPr>
              <w:t>，</w:t>
            </w:r>
            <w:r>
              <w:rPr>
                <w:rFonts w:ascii="Times New Roman" w:hAnsi="Times New Roman" w:cs="Times New Roman"/>
                <w:b w:val="0"/>
                <w:color w:val="auto"/>
                <w:sz w:val="26"/>
                <w:szCs w:val="26"/>
                <w:highlight w:val="none"/>
              </w:rPr>
              <w:t>分布于矿区中部，地表</w:t>
            </w:r>
            <w:r>
              <w:rPr>
                <w:rFonts w:hint="eastAsia" w:ascii="Times New Roman" w:hAnsi="Times New Roman" w:cs="Times New Roman"/>
                <w:b w:val="0"/>
                <w:color w:val="auto"/>
                <w:sz w:val="26"/>
                <w:szCs w:val="26"/>
                <w:highlight w:val="none"/>
              </w:rPr>
              <w:t>多见</w:t>
            </w:r>
            <w:r>
              <w:rPr>
                <w:rFonts w:ascii="Times New Roman" w:hAnsi="Times New Roman" w:cs="Times New Roman"/>
                <w:b w:val="0"/>
                <w:color w:val="auto"/>
                <w:sz w:val="26"/>
                <w:szCs w:val="26"/>
                <w:highlight w:val="none"/>
              </w:rPr>
              <w:t>岩溶现象，岩溶形态多为溶沟、溶槽；</w:t>
            </w:r>
            <w:r>
              <w:rPr>
                <w:rFonts w:hint="eastAsia" w:ascii="Times New Roman" w:hAnsi="Times New Roman" w:cs="Times New Roman"/>
                <w:b w:val="0"/>
                <w:color w:val="auto"/>
                <w:sz w:val="26"/>
                <w:szCs w:val="26"/>
                <w:highlight w:val="none"/>
              </w:rPr>
              <w:t>节理、</w:t>
            </w:r>
            <w:r>
              <w:rPr>
                <w:rFonts w:ascii="Times New Roman" w:hAnsi="Times New Roman" w:cs="Times New Roman"/>
                <w:b w:val="0"/>
                <w:color w:val="auto"/>
                <w:sz w:val="26"/>
                <w:szCs w:val="26"/>
                <w:highlight w:val="none"/>
              </w:rPr>
              <w:t>裂隙发育，</w:t>
            </w:r>
            <w:r>
              <w:rPr>
                <w:rFonts w:hint="eastAsia" w:ascii="Times New Roman" w:hAnsi="Times New Roman" w:cs="Times New Roman"/>
                <w:b w:val="0"/>
                <w:color w:val="auto"/>
                <w:sz w:val="26"/>
                <w:szCs w:val="26"/>
                <w:highlight w:val="none"/>
              </w:rPr>
              <w:t>主要有</w:t>
            </w:r>
            <w:r>
              <w:rPr>
                <w:rFonts w:ascii="Times New Roman" w:hAnsi="Times New Roman" w:cs="Times New Roman"/>
                <w:b w:val="0"/>
                <w:color w:val="auto"/>
                <w:sz w:val="26"/>
                <w:szCs w:val="26"/>
                <w:highlight w:val="none"/>
              </w:rPr>
              <w:t>2组</w:t>
            </w:r>
            <w:r>
              <w:rPr>
                <w:rFonts w:hint="eastAsia" w:ascii="Times New Roman" w:hAnsi="Times New Roman" w:cs="Times New Roman"/>
                <w:b w:val="0"/>
                <w:color w:val="auto"/>
                <w:sz w:val="26"/>
                <w:szCs w:val="26"/>
                <w:highlight w:val="none"/>
              </w:rPr>
              <w:t>节理，产状为J</w:t>
            </w:r>
            <w:r>
              <w:rPr>
                <w:rFonts w:ascii="Times New Roman" w:hAnsi="Times New Roman" w:cs="Times New Roman"/>
                <w:b w:val="0"/>
                <w:color w:val="auto"/>
                <w:sz w:val="26"/>
                <w:szCs w:val="26"/>
                <w:highlight w:val="none"/>
              </w:rPr>
              <w:t>1</w:t>
            </w:r>
            <w:r>
              <w:rPr>
                <w:rFonts w:hint="eastAsia" w:ascii="Times New Roman" w:hAnsi="Times New Roman" w:cs="Times New Roman"/>
                <w:b w:val="0"/>
                <w:color w:val="auto"/>
                <w:sz w:val="26"/>
                <w:szCs w:val="26"/>
                <w:highlight w:val="none"/>
              </w:rPr>
              <w:t>:53°～57°∠57°～62°，J</w:t>
            </w:r>
            <w:r>
              <w:rPr>
                <w:rFonts w:ascii="Times New Roman" w:hAnsi="Times New Roman" w:cs="Times New Roman"/>
                <w:b w:val="0"/>
                <w:color w:val="auto"/>
                <w:sz w:val="26"/>
                <w:szCs w:val="26"/>
                <w:highlight w:val="none"/>
              </w:rPr>
              <w:t>2</w:t>
            </w:r>
            <w:r>
              <w:rPr>
                <w:rFonts w:hint="eastAsia" w:ascii="Times New Roman" w:hAnsi="Times New Roman" w:cs="Times New Roman"/>
                <w:b w:val="0"/>
                <w:color w:val="auto"/>
                <w:sz w:val="26"/>
                <w:szCs w:val="26"/>
                <w:highlight w:val="none"/>
              </w:rPr>
              <w:t>：334°～354°∠41°～76°。</w:t>
            </w:r>
            <w:r>
              <w:rPr>
                <w:rFonts w:ascii="Times New Roman" w:hAnsi="Times New Roman" w:cs="Times New Roman"/>
                <w:b w:val="0"/>
                <w:color w:val="auto"/>
                <w:sz w:val="26"/>
                <w:szCs w:val="26"/>
                <w:highlight w:val="none"/>
              </w:rPr>
              <w:t>地下水赋存在岩溶裂隙中，为岩溶裂隙水，矿区地形较陡，地表水排泄较快，有利于下渗，不利于储水，综上所述该层富水性中等，</w:t>
            </w:r>
            <w:r>
              <w:rPr>
                <w:rFonts w:hint="eastAsia" w:ascii="Times New Roman" w:hAnsi="Times New Roman" w:cs="Times New Roman"/>
                <w:b w:val="0"/>
                <w:color w:val="auto"/>
                <w:sz w:val="26"/>
                <w:szCs w:val="26"/>
                <w:highlight w:val="none"/>
              </w:rPr>
              <w:t>透水性</w:t>
            </w:r>
            <w:r>
              <w:rPr>
                <w:rFonts w:ascii="Times New Roman" w:hAnsi="Times New Roman" w:cs="Times New Roman"/>
                <w:b w:val="0"/>
                <w:color w:val="auto"/>
                <w:sz w:val="26"/>
                <w:szCs w:val="26"/>
                <w:highlight w:val="none"/>
              </w:rPr>
              <w:t>一般～</w:t>
            </w:r>
            <w:r>
              <w:rPr>
                <w:rFonts w:hint="eastAsia" w:ascii="Times New Roman" w:hAnsi="Times New Roman" w:cs="Times New Roman"/>
                <w:b w:val="0"/>
                <w:color w:val="auto"/>
                <w:sz w:val="26"/>
                <w:szCs w:val="26"/>
                <w:highlight w:val="none"/>
              </w:rPr>
              <w:t>中等。</w:t>
            </w:r>
            <w:r>
              <w:rPr>
                <w:rFonts w:ascii="Times New Roman" w:hAnsi="Times New Roman" w:cs="Times New Roman"/>
                <w:b w:val="0"/>
                <w:color w:val="auto"/>
                <w:sz w:val="26"/>
                <w:szCs w:val="26"/>
                <w:highlight w:val="none"/>
              </w:rPr>
              <w:t>地下水位较深，地表及浅部无地下水。</w:t>
            </w:r>
          </w:p>
          <w:p w14:paraId="0C3F0430">
            <w:pPr>
              <w:pStyle w:val="1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cs="Times New Roman"/>
                <w:b w:val="0"/>
                <w:bCs w:val="0"/>
                <w:color w:val="auto"/>
                <w:sz w:val="26"/>
                <w:szCs w:val="26"/>
                <w:highlight w:val="none"/>
                <w:lang w:val="en-US" w:eastAsia="zh-CN" w:bidi="en-US"/>
              </w:rPr>
            </w:pPr>
            <w:r>
              <w:rPr>
                <w:rFonts w:hint="eastAsia" w:ascii="Times New Roman" w:hAnsi="Times New Roman" w:cs="Times New Roman"/>
                <w:b w:val="0"/>
                <w:color w:val="auto"/>
                <w:sz w:val="26"/>
                <w:szCs w:val="26"/>
                <w:highlight w:val="none"/>
                <w:lang w:eastAsia="zh-CN"/>
              </w:rPr>
              <w:t>（</w:t>
            </w:r>
            <w:r>
              <w:rPr>
                <w:rFonts w:hint="eastAsia" w:ascii="Times New Roman" w:hAnsi="Times New Roman" w:cs="Times New Roman"/>
                <w:b w:val="0"/>
                <w:color w:val="auto"/>
                <w:sz w:val="26"/>
                <w:szCs w:val="26"/>
                <w:highlight w:val="none"/>
                <w:lang w:val="en-US" w:eastAsia="zh-CN"/>
              </w:rPr>
              <w:t>3</w:t>
            </w:r>
            <w:r>
              <w:rPr>
                <w:rFonts w:hint="eastAsia" w:ascii="Times New Roman" w:hAnsi="Times New Roman" w:cs="Times New Roman"/>
                <w:b w:val="0"/>
                <w:color w:val="auto"/>
                <w:sz w:val="26"/>
                <w:szCs w:val="26"/>
                <w:highlight w:val="none"/>
                <w:lang w:eastAsia="zh-CN"/>
              </w:rPr>
              <w:t>）</w:t>
            </w:r>
            <w:r>
              <w:rPr>
                <w:rFonts w:hint="eastAsia" w:ascii="Times New Roman" w:hAnsi="Times New Roman" w:cs="Times New Roman"/>
                <w:b w:val="0"/>
                <w:color w:val="auto"/>
                <w:sz w:val="26"/>
                <w:szCs w:val="26"/>
                <w:highlight w:val="none"/>
              </w:rPr>
              <w:t>昆阳群美党组</w:t>
            </w:r>
            <w:r>
              <w:rPr>
                <w:rFonts w:ascii="Times New Roman" w:hAnsi="Times New Roman" w:cs="Times New Roman"/>
                <w:b w:val="0"/>
                <w:color w:val="auto"/>
                <w:sz w:val="26"/>
                <w:szCs w:val="26"/>
                <w:highlight w:val="none"/>
              </w:rPr>
              <w:t>（P</w:t>
            </w:r>
            <w:r>
              <w:rPr>
                <w:rFonts w:hint="eastAsia" w:ascii="Times New Roman" w:hAnsi="Times New Roman" w:cs="Times New Roman"/>
                <w:b w:val="0"/>
                <w:color w:val="auto"/>
                <w:sz w:val="26"/>
                <w:szCs w:val="26"/>
                <w:highlight w:val="none"/>
              </w:rPr>
              <w:t>tm</w:t>
            </w:r>
            <w:r>
              <w:rPr>
                <w:rFonts w:ascii="Times New Roman" w:hAnsi="Times New Roman" w:cs="Times New Roman"/>
                <w:b w:val="0"/>
                <w:color w:val="auto"/>
                <w:sz w:val="26"/>
                <w:szCs w:val="26"/>
                <w:highlight w:val="none"/>
              </w:rPr>
              <w:t>）</w:t>
            </w:r>
            <w:r>
              <w:rPr>
                <w:rFonts w:hint="eastAsia" w:ascii="Times New Roman" w:hAnsi="Times New Roman" w:cs="Times New Roman"/>
                <w:b w:val="0"/>
                <w:color w:val="auto"/>
                <w:sz w:val="26"/>
                <w:szCs w:val="26"/>
                <w:highlight w:val="none"/>
              </w:rPr>
              <w:t>为一套碳酸盐建造，</w:t>
            </w:r>
            <w:r>
              <w:rPr>
                <w:rFonts w:ascii="Times New Roman" w:hAnsi="Times New Roman" w:cs="Times New Roman"/>
                <w:b w:val="0"/>
                <w:color w:val="auto"/>
                <w:sz w:val="26"/>
                <w:szCs w:val="26"/>
                <w:highlight w:val="none"/>
              </w:rPr>
              <w:t>岩性为</w:t>
            </w:r>
            <w:r>
              <w:rPr>
                <w:rFonts w:ascii="Times New Roman" w:hAnsi="Times New Roman" w:cs="Times New Roman"/>
                <w:b w:val="0"/>
                <w:color w:val="auto"/>
                <w:sz w:val="26"/>
                <w:szCs w:val="26"/>
                <w:highlight w:val="none"/>
                <w:lang w:val="en-GB"/>
              </w:rPr>
              <w:t>灰色</w:t>
            </w:r>
            <w:r>
              <w:rPr>
                <w:rFonts w:hint="eastAsia" w:ascii="Times New Roman" w:hAnsi="Times New Roman" w:cs="Times New Roman"/>
                <w:b w:val="0"/>
                <w:color w:val="auto"/>
                <w:sz w:val="26"/>
                <w:szCs w:val="26"/>
                <w:highlight w:val="none"/>
                <w:lang w:val="en-GB"/>
              </w:rPr>
              <w:t>、深</w:t>
            </w:r>
            <w:r>
              <w:rPr>
                <w:rFonts w:ascii="Times New Roman" w:hAnsi="Times New Roman" w:cs="Times New Roman"/>
                <w:b w:val="0"/>
                <w:color w:val="auto"/>
                <w:sz w:val="26"/>
                <w:szCs w:val="26"/>
                <w:highlight w:val="none"/>
                <w:lang w:val="en-GB"/>
              </w:rPr>
              <w:t>灰岩</w:t>
            </w:r>
            <w:r>
              <w:rPr>
                <w:rFonts w:hint="eastAsia" w:ascii="Times New Roman" w:hAnsi="Times New Roman" w:cs="Times New Roman"/>
                <w:b w:val="0"/>
                <w:color w:val="auto"/>
                <w:sz w:val="26"/>
                <w:szCs w:val="26"/>
                <w:highlight w:val="none"/>
                <w:lang w:val="en-GB"/>
              </w:rPr>
              <w:t>灰</w:t>
            </w:r>
            <w:r>
              <w:rPr>
                <w:rFonts w:ascii="Times New Roman" w:hAnsi="Times New Roman" w:cs="Times New Roman"/>
                <w:b w:val="0"/>
                <w:color w:val="auto"/>
                <w:sz w:val="26"/>
                <w:szCs w:val="26"/>
                <w:highlight w:val="none"/>
                <w:lang w:val="en-GB"/>
              </w:rPr>
              <w:t>岩，</w:t>
            </w:r>
            <w:r>
              <w:rPr>
                <w:rFonts w:ascii="Times New Roman" w:hAnsi="Times New Roman" w:cs="Times New Roman"/>
                <w:b w:val="0"/>
                <w:color w:val="auto"/>
                <w:sz w:val="26"/>
                <w:szCs w:val="26"/>
                <w:highlight w:val="none"/>
              </w:rPr>
              <w:t>分布于矿区中部，地表</w:t>
            </w:r>
            <w:r>
              <w:rPr>
                <w:rFonts w:hint="eastAsia" w:ascii="Times New Roman" w:hAnsi="Times New Roman" w:cs="Times New Roman"/>
                <w:b w:val="0"/>
                <w:color w:val="auto"/>
                <w:sz w:val="26"/>
                <w:szCs w:val="26"/>
                <w:highlight w:val="none"/>
              </w:rPr>
              <w:t>多见</w:t>
            </w:r>
            <w:r>
              <w:rPr>
                <w:rFonts w:ascii="Times New Roman" w:hAnsi="Times New Roman" w:cs="Times New Roman"/>
                <w:b w:val="0"/>
                <w:color w:val="auto"/>
                <w:sz w:val="26"/>
                <w:szCs w:val="26"/>
                <w:highlight w:val="none"/>
              </w:rPr>
              <w:t>岩溶现象</w:t>
            </w:r>
            <w:r>
              <w:rPr>
                <w:rFonts w:hint="eastAsia" w:ascii="Times New Roman" w:hAnsi="Times New Roman" w:cs="Times New Roman"/>
                <w:b w:val="0"/>
                <w:color w:val="auto"/>
                <w:sz w:val="26"/>
                <w:szCs w:val="26"/>
                <w:highlight w:val="none"/>
              </w:rPr>
              <w:t>，</w:t>
            </w:r>
            <w:r>
              <w:rPr>
                <w:rFonts w:ascii="Times New Roman" w:hAnsi="Times New Roman" w:cs="Times New Roman"/>
                <w:b w:val="0"/>
                <w:color w:val="auto"/>
                <w:sz w:val="26"/>
                <w:szCs w:val="26"/>
                <w:highlight w:val="none"/>
              </w:rPr>
              <w:t>岩溶形态多为溶沟、溶槽；裂隙较发育，发育</w:t>
            </w:r>
            <w:r>
              <w:rPr>
                <w:rFonts w:hint="eastAsia" w:ascii="Times New Roman" w:hAnsi="Times New Roman" w:cs="Times New Roman"/>
                <w:b w:val="0"/>
                <w:color w:val="auto"/>
                <w:sz w:val="26"/>
                <w:szCs w:val="26"/>
                <w:highlight w:val="none"/>
              </w:rPr>
              <w:t>3</w:t>
            </w:r>
            <w:r>
              <w:rPr>
                <w:rFonts w:ascii="Times New Roman" w:hAnsi="Times New Roman" w:cs="Times New Roman"/>
                <w:b w:val="0"/>
                <w:color w:val="auto"/>
                <w:sz w:val="26"/>
                <w:szCs w:val="26"/>
                <w:highlight w:val="none"/>
              </w:rPr>
              <w:t>组节理</w:t>
            </w:r>
            <w:r>
              <w:rPr>
                <w:rFonts w:hint="eastAsia" w:ascii="Times New Roman" w:hAnsi="Times New Roman" w:cs="Times New Roman"/>
                <w:b w:val="0"/>
                <w:color w:val="auto"/>
                <w:sz w:val="26"/>
                <w:szCs w:val="26"/>
                <w:highlight w:val="none"/>
              </w:rPr>
              <w:t>，产状为J</w:t>
            </w:r>
            <w:r>
              <w:rPr>
                <w:rFonts w:ascii="Times New Roman" w:hAnsi="Times New Roman" w:cs="Times New Roman"/>
                <w:b w:val="0"/>
                <w:color w:val="auto"/>
                <w:sz w:val="26"/>
                <w:szCs w:val="26"/>
                <w:highlight w:val="none"/>
              </w:rPr>
              <w:t>1</w:t>
            </w:r>
            <w:r>
              <w:rPr>
                <w:rFonts w:hint="eastAsia" w:ascii="Times New Roman" w:hAnsi="Times New Roman" w:cs="Times New Roman"/>
                <w:b w:val="0"/>
                <w:color w:val="auto"/>
                <w:sz w:val="26"/>
                <w:szCs w:val="26"/>
                <w:highlight w:val="none"/>
              </w:rPr>
              <w:t>:203°～249°∠33°～65°，J</w:t>
            </w:r>
            <w:r>
              <w:rPr>
                <w:rFonts w:ascii="Times New Roman" w:hAnsi="Times New Roman" w:cs="Times New Roman"/>
                <w:b w:val="0"/>
                <w:color w:val="auto"/>
                <w:sz w:val="26"/>
                <w:szCs w:val="26"/>
                <w:highlight w:val="none"/>
              </w:rPr>
              <w:t>2</w:t>
            </w:r>
            <w:r>
              <w:rPr>
                <w:rFonts w:hint="eastAsia" w:ascii="Times New Roman" w:hAnsi="Times New Roman" w:cs="Times New Roman"/>
                <w:b w:val="0"/>
                <w:color w:val="auto"/>
                <w:sz w:val="26"/>
                <w:szCs w:val="26"/>
                <w:highlight w:val="none"/>
              </w:rPr>
              <w:t>：105°～118°∠66°～71°，J3：272°∠40°。</w:t>
            </w:r>
            <w:r>
              <w:rPr>
                <w:rFonts w:ascii="Times New Roman" w:hAnsi="Times New Roman" w:cs="Times New Roman"/>
                <w:b w:val="0"/>
                <w:color w:val="auto"/>
                <w:sz w:val="26"/>
                <w:szCs w:val="26"/>
                <w:highlight w:val="none"/>
              </w:rPr>
              <w:t>地下水赋存在岩溶裂隙中，为岩溶裂隙水</w:t>
            </w:r>
            <w:r>
              <w:rPr>
                <w:rFonts w:hint="eastAsia" w:ascii="Times New Roman" w:hAnsi="Times New Roman" w:cs="Times New Roman"/>
                <w:b w:val="0"/>
                <w:color w:val="auto"/>
                <w:sz w:val="26"/>
                <w:szCs w:val="26"/>
                <w:highlight w:val="none"/>
              </w:rPr>
              <w:t>。</w:t>
            </w:r>
            <w:r>
              <w:rPr>
                <w:rFonts w:ascii="Times New Roman" w:hAnsi="Times New Roman" w:cs="Times New Roman"/>
                <w:b w:val="0"/>
                <w:color w:val="auto"/>
                <w:sz w:val="26"/>
                <w:szCs w:val="26"/>
                <w:highlight w:val="none"/>
              </w:rPr>
              <w:t>矿区地形较陡，地表水排泄较快，岩溶裂隙发育，有利于下渗，不利于储水，综上所述该层富水性中等，</w:t>
            </w:r>
            <w:r>
              <w:rPr>
                <w:rFonts w:hint="eastAsia" w:ascii="Times New Roman" w:hAnsi="Times New Roman" w:cs="Times New Roman"/>
                <w:b w:val="0"/>
                <w:color w:val="auto"/>
                <w:sz w:val="26"/>
                <w:szCs w:val="26"/>
                <w:highlight w:val="none"/>
              </w:rPr>
              <w:t>透水性</w:t>
            </w:r>
            <w:r>
              <w:rPr>
                <w:rFonts w:ascii="Times New Roman" w:hAnsi="Times New Roman" w:cs="Times New Roman"/>
                <w:b w:val="0"/>
                <w:color w:val="auto"/>
                <w:sz w:val="26"/>
                <w:szCs w:val="26"/>
                <w:highlight w:val="none"/>
              </w:rPr>
              <w:t>一般～</w:t>
            </w:r>
            <w:r>
              <w:rPr>
                <w:rFonts w:hint="eastAsia" w:ascii="Times New Roman" w:hAnsi="Times New Roman" w:cs="Times New Roman"/>
                <w:b w:val="0"/>
                <w:color w:val="auto"/>
                <w:sz w:val="26"/>
                <w:szCs w:val="26"/>
                <w:highlight w:val="none"/>
              </w:rPr>
              <w:t>中等</w:t>
            </w:r>
            <w:r>
              <w:rPr>
                <w:rFonts w:ascii="Times New Roman" w:hAnsi="Times New Roman" w:cs="Times New Roman"/>
                <w:b w:val="0"/>
                <w:color w:val="auto"/>
                <w:sz w:val="26"/>
                <w:szCs w:val="26"/>
                <w:highlight w:val="none"/>
              </w:rPr>
              <w:t>，地下水位较深，地表及浅部无地下水。</w:t>
            </w:r>
          </w:p>
          <w:p w14:paraId="14A27143">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b/>
                <w:bCs/>
                <w:color w:val="auto"/>
                <w:sz w:val="26"/>
                <w:szCs w:val="26"/>
                <w:highlight w:val="none"/>
                <w:lang w:val="en-US" w:eastAsia="zh-CN" w:bidi="en-US"/>
              </w:rPr>
            </w:pPr>
            <w:r>
              <w:rPr>
                <w:rFonts w:hint="eastAsia" w:ascii="Times New Roman" w:hAnsi="Times New Roman"/>
                <w:b/>
                <w:bCs/>
                <w:color w:val="auto"/>
                <w:sz w:val="26"/>
                <w:szCs w:val="26"/>
                <w:highlight w:val="none"/>
                <w:lang w:val="en-US" w:eastAsia="zh-CN" w:bidi="en-US"/>
              </w:rPr>
              <w:t>5.7开拓方式、采矿方法</w:t>
            </w:r>
            <w:bookmarkEnd w:id="14"/>
            <w:bookmarkEnd w:id="15"/>
            <w:bookmarkEnd w:id="16"/>
            <w:r>
              <w:rPr>
                <w:rFonts w:hint="eastAsia" w:ascii="Times New Roman" w:hAnsi="Times New Roman"/>
                <w:b/>
                <w:bCs/>
                <w:color w:val="auto"/>
                <w:sz w:val="26"/>
                <w:szCs w:val="26"/>
                <w:highlight w:val="none"/>
                <w:lang w:val="en-US" w:eastAsia="zh-CN" w:bidi="en-US"/>
              </w:rPr>
              <w:t>及开采顺序</w:t>
            </w:r>
          </w:p>
          <w:p w14:paraId="52E9138B">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b w:val="0"/>
                <w:color w:val="auto"/>
                <w:sz w:val="26"/>
                <w:szCs w:val="26"/>
                <w:highlight w:val="none"/>
              </w:rPr>
            </w:pPr>
            <w:r>
              <w:rPr>
                <w:rFonts w:ascii="Times New Roman" w:hAnsi="Times New Roman" w:cs="Times New Roman"/>
                <w:b w:val="0"/>
                <w:color w:val="auto"/>
                <w:sz w:val="26"/>
                <w:szCs w:val="26"/>
                <w:highlight w:val="none"/>
              </w:rPr>
              <w:t>根据矿床埋藏条件，</w:t>
            </w:r>
            <w:r>
              <w:rPr>
                <w:rFonts w:hint="eastAsia" w:ascii="Times New Roman" w:hAnsi="Times New Roman" w:cs="Times New Roman"/>
                <w:b w:val="0"/>
                <w:color w:val="auto"/>
                <w:sz w:val="26"/>
                <w:szCs w:val="26"/>
                <w:highlight w:val="none"/>
              </w:rPr>
              <w:t>矿山</w:t>
            </w:r>
            <w:r>
              <w:rPr>
                <w:rFonts w:ascii="Times New Roman" w:hAnsi="Times New Roman" w:cs="Times New Roman"/>
                <w:b w:val="0"/>
                <w:color w:val="auto"/>
                <w:sz w:val="26"/>
                <w:szCs w:val="26"/>
                <w:highlight w:val="none"/>
              </w:rPr>
              <w:t>设计开采方式为露天斜坡开采。选择公路运输开拓方案，公路运输开拓的沟道采用直进布置方式，汽车直接进入采矿工作面。</w:t>
            </w:r>
          </w:p>
          <w:p w14:paraId="1BB3B1D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val="0"/>
                <w:bCs w:val="0"/>
                <w:color w:val="auto"/>
                <w:sz w:val="26"/>
                <w:szCs w:val="26"/>
                <w:highlight w:val="none"/>
              </w:rPr>
            </w:pPr>
            <w:r>
              <w:rPr>
                <w:rFonts w:hint="eastAsia" w:ascii="Times New Roman" w:hAnsi="Times New Roman"/>
                <w:b w:val="0"/>
                <w:bCs w:val="0"/>
                <w:color w:val="auto"/>
                <w:sz w:val="26"/>
                <w:szCs w:val="26"/>
                <w:highlight w:val="none"/>
              </w:rPr>
              <w:t>本矿区从1200m标高开采到1030m标高。露天采场境界范围面积为101422m</w:t>
            </w:r>
            <w:r>
              <w:rPr>
                <w:rFonts w:hint="eastAsia" w:ascii="Times New Roman" w:hAnsi="Times New Roman"/>
                <w:b w:val="0"/>
                <w:bCs w:val="0"/>
                <w:color w:val="auto"/>
                <w:sz w:val="26"/>
                <w:szCs w:val="26"/>
                <w:highlight w:val="none"/>
                <w:vertAlign w:val="superscript"/>
              </w:rPr>
              <w:t>2</w:t>
            </w:r>
            <w:r>
              <w:rPr>
                <w:rFonts w:hint="eastAsia" w:ascii="Times New Roman" w:hAnsi="Times New Roman"/>
                <w:b w:val="0"/>
                <w:bCs w:val="0"/>
                <w:color w:val="auto"/>
                <w:sz w:val="26"/>
                <w:szCs w:val="26"/>
                <w:highlight w:val="none"/>
              </w:rPr>
              <w:t>。开采从1190m台阶作为首采台阶开采，然后按1180m、1170m至1030m自上而下的顺序回采。</w:t>
            </w:r>
          </w:p>
          <w:p w14:paraId="79706FF0">
            <w:pPr>
              <w:pStyle w:val="8"/>
              <w:ind w:firstLine="562"/>
              <w:rPr>
                <w:color w:val="auto"/>
                <w:highlight w:val="none"/>
              </w:rPr>
            </w:pPr>
            <w:r>
              <w:rPr>
                <w:rFonts w:hint="eastAsia"/>
                <w:color w:val="auto"/>
                <w:highlight w:val="none"/>
                <w:lang w:val="en-US" w:eastAsia="zh-CN"/>
              </w:rPr>
              <w:t>5.8</w:t>
            </w:r>
            <w:r>
              <w:rPr>
                <w:rFonts w:hint="eastAsia"/>
                <w:color w:val="auto"/>
                <w:highlight w:val="none"/>
              </w:rPr>
              <w:t>采剥工艺</w:t>
            </w:r>
          </w:p>
          <w:p w14:paraId="2CAD266D">
            <w:pPr>
              <w:ind w:firstLine="560"/>
              <w:rPr>
                <w:rFonts w:hint="eastAsia"/>
                <w:color w:val="auto"/>
                <w:highlight w:val="none"/>
              </w:rPr>
            </w:pPr>
            <w:r>
              <w:rPr>
                <w:color w:val="auto"/>
                <w:highlight w:val="none"/>
              </w:rPr>
              <w:t>1、剥</w:t>
            </w:r>
            <w:r>
              <w:rPr>
                <w:rFonts w:hint="eastAsia"/>
                <w:color w:val="auto"/>
                <w:highlight w:val="none"/>
              </w:rPr>
              <w:t>离</w:t>
            </w:r>
            <w:r>
              <w:rPr>
                <w:color w:val="auto"/>
                <w:highlight w:val="none"/>
              </w:rPr>
              <w:t>方法</w:t>
            </w:r>
            <w:r>
              <w:rPr>
                <w:rFonts w:hint="eastAsia"/>
                <w:color w:val="auto"/>
                <w:highlight w:val="none"/>
                <w:lang w:eastAsia="zh-CN"/>
              </w:rPr>
              <w:t>：</w:t>
            </w:r>
            <w:r>
              <w:rPr>
                <w:rFonts w:hint="eastAsia"/>
                <w:color w:val="auto"/>
                <w:highlight w:val="none"/>
              </w:rPr>
              <w:t>依据矿区地层描述，矿区范围内大部分</w:t>
            </w:r>
            <w:r>
              <w:rPr>
                <w:rFonts w:hint="eastAsia"/>
                <w:color w:val="auto"/>
                <w:szCs w:val="28"/>
                <w:highlight w:val="none"/>
              </w:rPr>
              <w:t>石</w:t>
            </w:r>
            <w:r>
              <w:rPr>
                <w:rFonts w:hint="eastAsia"/>
                <w:color w:val="auto"/>
                <w:highlight w:val="none"/>
              </w:rPr>
              <w:t>灰岩直接裸露地表，不需要剥离。基建期间主要进行运输公路建设，完成基建工程施工后第一年即可达产，正常生产年限20年，第21年减产。采剥进度计划见表</w:t>
            </w:r>
            <w:r>
              <w:rPr>
                <w:rFonts w:hint="eastAsia"/>
                <w:color w:val="auto"/>
                <w:highlight w:val="none"/>
                <w:lang w:val="en-US" w:eastAsia="zh-CN"/>
              </w:rPr>
              <w:t>1-7</w:t>
            </w:r>
            <w:r>
              <w:rPr>
                <w:rFonts w:hint="eastAsia"/>
                <w:color w:val="auto"/>
                <w:highlight w:val="none"/>
              </w:rPr>
              <w:t>。</w:t>
            </w:r>
          </w:p>
          <w:p w14:paraId="35FA6C34">
            <w:pPr>
              <w:ind w:firstLine="482"/>
              <w:jc w:val="center"/>
              <w:rPr>
                <w:rFonts w:hint="eastAsia" w:ascii="Times New Roman" w:hAnsi="Times New Roman"/>
                <w:b/>
                <w:bCs/>
                <w:color w:val="auto"/>
                <w:kern w:val="0"/>
                <w:sz w:val="21"/>
                <w:szCs w:val="21"/>
                <w:highlight w:val="none"/>
              </w:rPr>
            </w:pPr>
            <w:r>
              <w:rPr>
                <w:rFonts w:ascii="Times New Roman" w:hAnsi="Times New Roman"/>
                <w:b/>
                <w:bCs/>
                <w:color w:val="auto"/>
                <w:kern w:val="0"/>
                <w:sz w:val="21"/>
                <w:szCs w:val="21"/>
                <w:highlight w:val="none"/>
              </w:rPr>
              <w:t>表</w:t>
            </w:r>
            <w:r>
              <w:rPr>
                <w:rFonts w:hint="eastAsia" w:ascii="Times New Roman" w:hAnsi="Times New Roman"/>
                <w:b/>
                <w:bCs/>
                <w:color w:val="auto"/>
                <w:kern w:val="0"/>
                <w:sz w:val="21"/>
                <w:szCs w:val="21"/>
                <w:highlight w:val="none"/>
                <w:lang w:val="en-US" w:eastAsia="zh-CN"/>
              </w:rPr>
              <w:t>1-</w:t>
            </w:r>
            <w:r>
              <w:rPr>
                <w:rFonts w:hint="eastAsia"/>
                <w:b/>
                <w:bCs/>
                <w:color w:val="auto"/>
                <w:kern w:val="0"/>
                <w:sz w:val="21"/>
                <w:szCs w:val="21"/>
                <w:highlight w:val="none"/>
                <w:lang w:val="en-US" w:eastAsia="zh-CN"/>
              </w:rPr>
              <w:t>7</w:t>
            </w:r>
            <w:r>
              <w:rPr>
                <w:rFonts w:ascii="Times New Roman" w:hAnsi="Times New Roman"/>
                <w:b/>
                <w:bCs/>
                <w:color w:val="auto"/>
                <w:kern w:val="0"/>
                <w:sz w:val="21"/>
                <w:szCs w:val="21"/>
                <w:highlight w:val="none"/>
              </w:rPr>
              <w:t xml:space="preserve">   采剥进度计划表</w:t>
            </w:r>
          </w:p>
          <w:tbl>
            <w:tblPr>
              <w:tblStyle w:val="22"/>
              <w:tblW w:w="5000" w:type="pct"/>
              <w:tblInd w:w="0" w:type="dxa"/>
              <w:tblLayout w:type="autofit"/>
              <w:tblCellMar>
                <w:top w:w="0" w:type="dxa"/>
                <w:left w:w="108" w:type="dxa"/>
                <w:bottom w:w="0" w:type="dxa"/>
                <w:right w:w="108" w:type="dxa"/>
              </w:tblCellMar>
            </w:tblPr>
            <w:tblGrid>
              <w:gridCol w:w="1419"/>
              <w:gridCol w:w="1721"/>
              <w:gridCol w:w="1723"/>
              <w:gridCol w:w="2024"/>
              <w:gridCol w:w="1419"/>
            </w:tblGrid>
            <w:tr w14:paraId="53A09340">
              <w:tblPrEx>
                <w:tblCellMar>
                  <w:top w:w="0" w:type="dxa"/>
                  <w:left w:w="108" w:type="dxa"/>
                  <w:bottom w:w="0" w:type="dxa"/>
                  <w:right w:w="108" w:type="dxa"/>
                </w:tblCellMar>
              </w:tblPrEx>
              <w:trPr>
                <w:trHeight w:val="285" w:hRule="atLeast"/>
              </w:trPr>
              <w:tc>
                <w:tcPr>
                  <w:tcW w:w="854" w:type="pct"/>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63F0373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年份</w:t>
                  </w:r>
                </w:p>
              </w:tc>
              <w:tc>
                <w:tcPr>
                  <w:tcW w:w="2073" w:type="pct"/>
                  <w:gridSpan w:val="2"/>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2D93C40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采出矿石量</w:t>
                  </w:r>
                </w:p>
              </w:tc>
              <w:tc>
                <w:tcPr>
                  <w:tcW w:w="1218" w:type="pct"/>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1C4A8DB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剥离废石量</w:t>
                  </w:r>
                </w:p>
              </w:tc>
              <w:tc>
                <w:tcPr>
                  <w:tcW w:w="854" w:type="pct"/>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1998473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备注</w:t>
                  </w:r>
                </w:p>
              </w:tc>
            </w:tr>
            <w:tr w14:paraId="022253D6">
              <w:tblPrEx>
                <w:tblCellMar>
                  <w:top w:w="0" w:type="dxa"/>
                  <w:left w:w="108" w:type="dxa"/>
                  <w:bottom w:w="0" w:type="dxa"/>
                  <w:right w:w="108" w:type="dxa"/>
                </w:tblCellMar>
              </w:tblPrEx>
              <w:trPr>
                <w:trHeight w:val="285" w:hRule="atLeast"/>
              </w:trPr>
              <w:tc>
                <w:tcPr>
                  <w:tcW w:w="854" w:type="pct"/>
                  <w:vMerge w:val="continue"/>
                  <w:tcBorders>
                    <w:top w:val="single" w:color="auto" w:sz="8" w:space="0"/>
                    <w:left w:val="single" w:color="auto" w:sz="8" w:space="0"/>
                    <w:bottom w:val="single" w:color="auto" w:sz="8" w:space="0"/>
                    <w:right w:val="single" w:color="auto" w:sz="8" w:space="0"/>
                  </w:tcBorders>
                  <w:noWrap w:val="0"/>
                  <w:vAlign w:val="center"/>
                </w:tcPr>
                <w:p w14:paraId="03EF03F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2073" w:type="pct"/>
                  <w:gridSpan w:val="2"/>
                  <w:vMerge w:val="continue"/>
                  <w:tcBorders>
                    <w:top w:val="single" w:color="auto" w:sz="8" w:space="0"/>
                    <w:left w:val="single" w:color="auto" w:sz="8" w:space="0"/>
                    <w:bottom w:val="single" w:color="auto" w:sz="8" w:space="0"/>
                    <w:right w:val="single" w:color="auto" w:sz="8" w:space="0"/>
                  </w:tcBorders>
                  <w:noWrap w:val="0"/>
                  <w:vAlign w:val="center"/>
                </w:tcPr>
                <w:p w14:paraId="04CFD0B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18" w:type="pct"/>
                  <w:vMerge w:val="continue"/>
                  <w:tcBorders>
                    <w:top w:val="single" w:color="auto" w:sz="8" w:space="0"/>
                    <w:left w:val="single" w:color="auto" w:sz="8" w:space="0"/>
                    <w:bottom w:val="single" w:color="auto" w:sz="8" w:space="0"/>
                    <w:right w:val="single" w:color="auto" w:sz="8" w:space="0"/>
                  </w:tcBorders>
                  <w:noWrap w:val="0"/>
                  <w:vAlign w:val="center"/>
                </w:tcPr>
                <w:p w14:paraId="423BA07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854" w:type="pct"/>
                  <w:vMerge w:val="continue"/>
                  <w:tcBorders>
                    <w:top w:val="single" w:color="auto" w:sz="8" w:space="0"/>
                    <w:left w:val="single" w:color="auto" w:sz="8" w:space="0"/>
                    <w:bottom w:val="single" w:color="auto" w:sz="8" w:space="0"/>
                    <w:right w:val="single" w:color="auto" w:sz="8" w:space="0"/>
                  </w:tcBorders>
                  <w:noWrap w:val="0"/>
                  <w:vAlign w:val="center"/>
                </w:tcPr>
                <w:p w14:paraId="6DC07E9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6D5DE04">
              <w:tblPrEx>
                <w:tblCellMar>
                  <w:top w:w="0" w:type="dxa"/>
                  <w:left w:w="108" w:type="dxa"/>
                  <w:bottom w:w="0" w:type="dxa"/>
                  <w:right w:w="108" w:type="dxa"/>
                </w:tblCellMar>
              </w:tblPrEx>
              <w:trPr>
                <w:trHeight w:val="20" w:hRule="atLeast"/>
              </w:trPr>
              <w:tc>
                <w:tcPr>
                  <w:tcW w:w="854" w:type="pct"/>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25D736C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36" w:type="pct"/>
                  <w:tcBorders>
                    <w:top w:val="nil"/>
                    <w:left w:val="nil"/>
                    <w:bottom w:val="single" w:color="auto" w:sz="8" w:space="0"/>
                    <w:right w:val="single" w:color="auto" w:sz="8" w:space="0"/>
                  </w:tcBorders>
                  <w:shd w:val="clear" w:color="auto" w:fill="auto"/>
                  <w:noWrap/>
                  <w:vAlign w:val="center"/>
                </w:tcPr>
                <w:p w14:paraId="666D522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万m</w:t>
                  </w:r>
                  <w:r>
                    <w:rPr>
                      <w:rFonts w:hint="eastAsia" w:ascii="Times New Roman" w:hAnsi="Times New Roman" w:cs="Times New Roman"/>
                      <w:color w:val="auto"/>
                      <w:kern w:val="0"/>
                      <w:sz w:val="22"/>
                      <w:szCs w:val="22"/>
                      <w:highlight w:val="none"/>
                      <w:vertAlign w:val="superscript"/>
                    </w:rPr>
                    <w:t>3</w:t>
                  </w:r>
                </w:p>
              </w:tc>
              <w:tc>
                <w:tcPr>
                  <w:tcW w:w="1036" w:type="pct"/>
                  <w:tcBorders>
                    <w:top w:val="nil"/>
                    <w:left w:val="nil"/>
                    <w:bottom w:val="single" w:color="auto" w:sz="8" w:space="0"/>
                    <w:right w:val="single" w:color="auto" w:sz="8" w:space="0"/>
                  </w:tcBorders>
                  <w:shd w:val="clear" w:color="auto" w:fill="auto"/>
                  <w:noWrap/>
                  <w:vAlign w:val="center"/>
                </w:tcPr>
                <w:p w14:paraId="3B41E20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万t</w:t>
                  </w:r>
                </w:p>
              </w:tc>
              <w:tc>
                <w:tcPr>
                  <w:tcW w:w="1218" w:type="pct"/>
                  <w:tcBorders>
                    <w:top w:val="nil"/>
                    <w:left w:val="nil"/>
                    <w:bottom w:val="single" w:color="auto" w:sz="8" w:space="0"/>
                    <w:right w:val="single" w:color="auto" w:sz="8" w:space="0"/>
                  </w:tcBorders>
                  <w:shd w:val="clear" w:color="auto" w:fill="auto"/>
                  <w:noWrap/>
                  <w:vAlign w:val="center"/>
                </w:tcPr>
                <w:p w14:paraId="1BD5F34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w:t>
                  </w:r>
                  <w:r>
                    <w:rPr>
                      <w:rFonts w:hint="eastAsia" w:ascii="Times New Roman" w:hAnsi="Times New Roman" w:cs="Times New Roman"/>
                      <w:color w:val="auto"/>
                      <w:kern w:val="0"/>
                      <w:sz w:val="22"/>
                      <w:szCs w:val="22"/>
                      <w:highlight w:val="none"/>
                      <w:vertAlign w:val="superscript"/>
                    </w:rPr>
                    <w:t>3</w:t>
                  </w:r>
                </w:p>
              </w:tc>
              <w:tc>
                <w:tcPr>
                  <w:tcW w:w="854" w:type="pct"/>
                  <w:vMerge w:val="continue"/>
                  <w:tcBorders>
                    <w:top w:val="single" w:color="auto" w:sz="8" w:space="0"/>
                    <w:left w:val="single" w:color="auto" w:sz="8" w:space="0"/>
                    <w:bottom w:val="single" w:color="auto" w:sz="8" w:space="0"/>
                    <w:right w:val="single" w:color="auto" w:sz="8" w:space="0"/>
                  </w:tcBorders>
                  <w:noWrap w:val="0"/>
                  <w:vAlign w:val="center"/>
                </w:tcPr>
                <w:p w14:paraId="06CC1BE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E83132E">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39AD459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基 建</w:t>
                  </w:r>
                </w:p>
              </w:tc>
              <w:tc>
                <w:tcPr>
                  <w:tcW w:w="1036" w:type="pct"/>
                  <w:tcBorders>
                    <w:top w:val="nil"/>
                    <w:left w:val="nil"/>
                    <w:bottom w:val="single" w:color="auto" w:sz="8" w:space="0"/>
                    <w:right w:val="single" w:color="auto" w:sz="8" w:space="0"/>
                  </w:tcBorders>
                  <w:shd w:val="clear" w:color="auto" w:fill="auto"/>
                  <w:noWrap/>
                  <w:vAlign w:val="center"/>
                </w:tcPr>
                <w:p w14:paraId="22BC5E9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3.80</w:t>
                  </w:r>
                </w:p>
              </w:tc>
              <w:tc>
                <w:tcPr>
                  <w:tcW w:w="1036" w:type="pct"/>
                  <w:tcBorders>
                    <w:top w:val="nil"/>
                    <w:left w:val="nil"/>
                    <w:bottom w:val="single" w:color="auto" w:sz="8" w:space="0"/>
                    <w:right w:val="single" w:color="auto" w:sz="8" w:space="0"/>
                  </w:tcBorders>
                  <w:shd w:val="clear" w:color="auto" w:fill="auto"/>
                  <w:noWrap/>
                  <w:vAlign w:val="center"/>
                </w:tcPr>
                <w:p w14:paraId="4FEC70B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10</w:t>
                  </w:r>
                </w:p>
              </w:tc>
              <w:tc>
                <w:tcPr>
                  <w:tcW w:w="1218" w:type="pct"/>
                  <w:tcBorders>
                    <w:top w:val="nil"/>
                    <w:left w:val="nil"/>
                    <w:bottom w:val="single" w:color="auto" w:sz="8" w:space="0"/>
                    <w:right w:val="single" w:color="auto" w:sz="8" w:space="0"/>
                  </w:tcBorders>
                  <w:shd w:val="clear" w:color="auto" w:fill="auto"/>
                  <w:noWrap/>
                  <w:vAlign w:val="center"/>
                </w:tcPr>
                <w:p w14:paraId="41B0CFF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09854D6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627E004">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4876260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第1年</w:t>
                  </w:r>
                </w:p>
              </w:tc>
              <w:tc>
                <w:tcPr>
                  <w:tcW w:w="1036" w:type="pct"/>
                  <w:tcBorders>
                    <w:top w:val="nil"/>
                    <w:left w:val="nil"/>
                    <w:bottom w:val="single" w:color="auto" w:sz="8" w:space="0"/>
                    <w:right w:val="single" w:color="auto" w:sz="8" w:space="0"/>
                  </w:tcBorders>
                  <w:shd w:val="clear" w:color="auto" w:fill="auto"/>
                  <w:noWrap/>
                  <w:vAlign w:val="center"/>
                </w:tcPr>
                <w:p w14:paraId="5D7FE18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20CCCA1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333C824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597FDA3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98D6FED">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42B87A6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第2年</w:t>
                  </w:r>
                </w:p>
              </w:tc>
              <w:tc>
                <w:tcPr>
                  <w:tcW w:w="1036" w:type="pct"/>
                  <w:tcBorders>
                    <w:top w:val="nil"/>
                    <w:left w:val="nil"/>
                    <w:bottom w:val="single" w:color="auto" w:sz="8" w:space="0"/>
                    <w:right w:val="single" w:color="auto" w:sz="8" w:space="0"/>
                  </w:tcBorders>
                  <w:shd w:val="clear" w:color="auto" w:fill="auto"/>
                  <w:noWrap/>
                  <w:vAlign w:val="center"/>
                </w:tcPr>
                <w:p w14:paraId="2644985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63B1ECA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76F2A54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05A13CB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2BBEFDC2">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272D312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第3年</w:t>
                  </w:r>
                </w:p>
              </w:tc>
              <w:tc>
                <w:tcPr>
                  <w:tcW w:w="1036" w:type="pct"/>
                  <w:tcBorders>
                    <w:top w:val="nil"/>
                    <w:left w:val="nil"/>
                    <w:bottom w:val="single" w:color="auto" w:sz="8" w:space="0"/>
                    <w:right w:val="single" w:color="auto" w:sz="8" w:space="0"/>
                  </w:tcBorders>
                  <w:shd w:val="clear" w:color="auto" w:fill="auto"/>
                  <w:noWrap/>
                  <w:vAlign w:val="center"/>
                </w:tcPr>
                <w:p w14:paraId="587A014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6DABA30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4054ABA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0F51FE8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C7B0062">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579CFB4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第4年</w:t>
                  </w:r>
                </w:p>
              </w:tc>
              <w:tc>
                <w:tcPr>
                  <w:tcW w:w="1036" w:type="pct"/>
                  <w:tcBorders>
                    <w:top w:val="nil"/>
                    <w:left w:val="nil"/>
                    <w:bottom w:val="single" w:color="auto" w:sz="8" w:space="0"/>
                    <w:right w:val="single" w:color="auto" w:sz="8" w:space="0"/>
                  </w:tcBorders>
                  <w:shd w:val="clear" w:color="auto" w:fill="auto"/>
                  <w:noWrap/>
                  <w:vAlign w:val="center"/>
                </w:tcPr>
                <w:p w14:paraId="6F946F5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266030E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05365A2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2353304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CB3E8E9">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7BFE01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第5年</w:t>
                  </w:r>
                </w:p>
              </w:tc>
              <w:tc>
                <w:tcPr>
                  <w:tcW w:w="1036" w:type="pct"/>
                  <w:tcBorders>
                    <w:top w:val="nil"/>
                    <w:left w:val="nil"/>
                    <w:bottom w:val="single" w:color="auto" w:sz="8" w:space="0"/>
                    <w:right w:val="single" w:color="auto" w:sz="8" w:space="0"/>
                  </w:tcBorders>
                  <w:shd w:val="clear" w:color="auto" w:fill="auto"/>
                  <w:noWrap/>
                  <w:vAlign w:val="center"/>
                </w:tcPr>
                <w:p w14:paraId="03D9AC7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23952BE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78A01F6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550872D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DA732FD">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0C0A2EA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第6年</w:t>
                  </w:r>
                </w:p>
              </w:tc>
              <w:tc>
                <w:tcPr>
                  <w:tcW w:w="1036" w:type="pct"/>
                  <w:tcBorders>
                    <w:top w:val="nil"/>
                    <w:left w:val="nil"/>
                    <w:bottom w:val="single" w:color="auto" w:sz="8" w:space="0"/>
                    <w:right w:val="single" w:color="auto" w:sz="8" w:space="0"/>
                  </w:tcBorders>
                  <w:shd w:val="clear" w:color="auto" w:fill="auto"/>
                  <w:noWrap/>
                  <w:vAlign w:val="center"/>
                </w:tcPr>
                <w:p w14:paraId="2E9E0F9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55C8CD3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0BD5236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683F888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D2B26CF">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04E8465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第7年</w:t>
                  </w:r>
                </w:p>
              </w:tc>
              <w:tc>
                <w:tcPr>
                  <w:tcW w:w="1036" w:type="pct"/>
                  <w:tcBorders>
                    <w:top w:val="nil"/>
                    <w:left w:val="nil"/>
                    <w:bottom w:val="single" w:color="auto" w:sz="8" w:space="0"/>
                    <w:right w:val="single" w:color="auto" w:sz="8" w:space="0"/>
                  </w:tcBorders>
                  <w:shd w:val="clear" w:color="auto" w:fill="auto"/>
                  <w:noWrap/>
                  <w:vAlign w:val="center"/>
                </w:tcPr>
                <w:p w14:paraId="39A3406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04F79D9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16D7C91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0FFD53C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85B3CAA">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49EC86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第8年</w:t>
                  </w:r>
                </w:p>
              </w:tc>
              <w:tc>
                <w:tcPr>
                  <w:tcW w:w="1036" w:type="pct"/>
                  <w:tcBorders>
                    <w:top w:val="nil"/>
                    <w:left w:val="nil"/>
                    <w:bottom w:val="single" w:color="auto" w:sz="8" w:space="0"/>
                    <w:right w:val="single" w:color="auto" w:sz="8" w:space="0"/>
                  </w:tcBorders>
                  <w:shd w:val="clear" w:color="auto" w:fill="auto"/>
                  <w:noWrap/>
                  <w:vAlign w:val="center"/>
                </w:tcPr>
                <w:p w14:paraId="4E87538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3F8E4A8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5EFA89A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279981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7969694">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7516AD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第9年</w:t>
                  </w:r>
                </w:p>
              </w:tc>
              <w:tc>
                <w:tcPr>
                  <w:tcW w:w="1036" w:type="pct"/>
                  <w:tcBorders>
                    <w:top w:val="nil"/>
                    <w:left w:val="nil"/>
                    <w:bottom w:val="single" w:color="auto" w:sz="8" w:space="0"/>
                    <w:right w:val="single" w:color="auto" w:sz="8" w:space="0"/>
                  </w:tcBorders>
                  <w:shd w:val="clear" w:color="auto" w:fill="auto"/>
                  <w:noWrap/>
                  <w:vAlign w:val="center"/>
                </w:tcPr>
                <w:p w14:paraId="08047C5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0E5265F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1EA3635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192BFB6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45B05F1">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FF8FE2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第10年</w:t>
                  </w:r>
                </w:p>
              </w:tc>
              <w:tc>
                <w:tcPr>
                  <w:tcW w:w="1036" w:type="pct"/>
                  <w:tcBorders>
                    <w:top w:val="nil"/>
                    <w:left w:val="nil"/>
                    <w:bottom w:val="single" w:color="auto" w:sz="8" w:space="0"/>
                    <w:right w:val="single" w:color="auto" w:sz="8" w:space="0"/>
                  </w:tcBorders>
                  <w:shd w:val="clear" w:color="auto" w:fill="auto"/>
                  <w:noWrap/>
                  <w:vAlign w:val="center"/>
                </w:tcPr>
                <w:p w14:paraId="4A9FAC3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047949E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0753BD7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073300B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AF40A67">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04D3CAA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第11年</w:t>
                  </w:r>
                </w:p>
              </w:tc>
              <w:tc>
                <w:tcPr>
                  <w:tcW w:w="1036" w:type="pct"/>
                  <w:tcBorders>
                    <w:top w:val="nil"/>
                    <w:left w:val="nil"/>
                    <w:bottom w:val="single" w:color="auto" w:sz="8" w:space="0"/>
                    <w:right w:val="single" w:color="auto" w:sz="8" w:space="0"/>
                  </w:tcBorders>
                  <w:shd w:val="clear" w:color="auto" w:fill="auto"/>
                  <w:noWrap/>
                  <w:vAlign w:val="center"/>
                </w:tcPr>
                <w:p w14:paraId="3B96B01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033EF33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143DBEF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1EFBB96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C18E427">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547D326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第12年</w:t>
                  </w:r>
                </w:p>
              </w:tc>
              <w:tc>
                <w:tcPr>
                  <w:tcW w:w="1036" w:type="pct"/>
                  <w:tcBorders>
                    <w:top w:val="nil"/>
                    <w:left w:val="nil"/>
                    <w:bottom w:val="single" w:color="auto" w:sz="8" w:space="0"/>
                    <w:right w:val="single" w:color="auto" w:sz="8" w:space="0"/>
                  </w:tcBorders>
                  <w:shd w:val="clear" w:color="auto" w:fill="auto"/>
                  <w:noWrap/>
                  <w:vAlign w:val="center"/>
                </w:tcPr>
                <w:p w14:paraId="70BB88B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6722550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5B6D049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16FF46C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22260CEE">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4C71B64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第13年</w:t>
                  </w:r>
                </w:p>
              </w:tc>
              <w:tc>
                <w:tcPr>
                  <w:tcW w:w="1036" w:type="pct"/>
                  <w:tcBorders>
                    <w:top w:val="nil"/>
                    <w:left w:val="nil"/>
                    <w:bottom w:val="single" w:color="auto" w:sz="8" w:space="0"/>
                    <w:right w:val="single" w:color="auto" w:sz="8" w:space="0"/>
                  </w:tcBorders>
                  <w:shd w:val="clear" w:color="auto" w:fill="auto"/>
                  <w:noWrap/>
                  <w:vAlign w:val="center"/>
                </w:tcPr>
                <w:p w14:paraId="0623EB4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53C3A3F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12332C9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3397CF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0AC8607">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1C46575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第14年</w:t>
                  </w:r>
                </w:p>
              </w:tc>
              <w:tc>
                <w:tcPr>
                  <w:tcW w:w="1036" w:type="pct"/>
                  <w:tcBorders>
                    <w:top w:val="nil"/>
                    <w:left w:val="nil"/>
                    <w:bottom w:val="single" w:color="auto" w:sz="8" w:space="0"/>
                    <w:right w:val="single" w:color="auto" w:sz="8" w:space="0"/>
                  </w:tcBorders>
                  <w:shd w:val="clear" w:color="auto" w:fill="auto"/>
                  <w:noWrap/>
                  <w:vAlign w:val="center"/>
                </w:tcPr>
                <w:p w14:paraId="7A297AF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427D3B7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33861AA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491821F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E8DB5C9">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69C1B98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第15年</w:t>
                  </w:r>
                </w:p>
              </w:tc>
              <w:tc>
                <w:tcPr>
                  <w:tcW w:w="1036" w:type="pct"/>
                  <w:tcBorders>
                    <w:top w:val="nil"/>
                    <w:left w:val="nil"/>
                    <w:bottom w:val="single" w:color="auto" w:sz="8" w:space="0"/>
                    <w:right w:val="single" w:color="auto" w:sz="8" w:space="0"/>
                  </w:tcBorders>
                  <w:shd w:val="clear" w:color="auto" w:fill="auto"/>
                  <w:noWrap/>
                  <w:vAlign w:val="center"/>
                </w:tcPr>
                <w:p w14:paraId="36285D6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71BBBD6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796BE8B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67A7548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1630679">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842DD6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第16年</w:t>
                  </w:r>
                </w:p>
              </w:tc>
              <w:tc>
                <w:tcPr>
                  <w:tcW w:w="1036" w:type="pct"/>
                  <w:tcBorders>
                    <w:top w:val="nil"/>
                    <w:left w:val="nil"/>
                    <w:bottom w:val="single" w:color="auto" w:sz="8" w:space="0"/>
                    <w:right w:val="single" w:color="auto" w:sz="8" w:space="0"/>
                  </w:tcBorders>
                  <w:shd w:val="clear" w:color="auto" w:fill="auto"/>
                  <w:noWrap/>
                  <w:vAlign w:val="center"/>
                </w:tcPr>
                <w:p w14:paraId="188FAB0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2EE69CA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2B0C3BC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7BB3BE1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DCCFE7B">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0088A6F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第17年</w:t>
                  </w:r>
                </w:p>
              </w:tc>
              <w:tc>
                <w:tcPr>
                  <w:tcW w:w="1036" w:type="pct"/>
                  <w:tcBorders>
                    <w:top w:val="nil"/>
                    <w:left w:val="nil"/>
                    <w:bottom w:val="single" w:color="auto" w:sz="8" w:space="0"/>
                    <w:right w:val="single" w:color="auto" w:sz="8" w:space="0"/>
                  </w:tcBorders>
                  <w:shd w:val="clear" w:color="auto" w:fill="auto"/>
                  <w:noWrap/>
                  <w:vAlign w:val="center"/>
                </w:tcPr>
                <w:p w14:paraId="7FB978F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4F69987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2136A9E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6AED92F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0F20E26F">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66B79A7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第18年</w:t>
                  </w:r>
                </w:p>
              </w:tc>
              <w:tc>
                <w:tcPr>
                  <w:tcW w:w="1036" w:type="pct"/>
                  <w:tcBorders>
                    <w:top w:val="nil"/>
                    <w:left w:val="nil"/>
                    <w:bottom w:val="single" w:color="auto" w:sz="8" w:space="0"/>
                    <w:right w:val="single" w:color="auto" w:sz="8" w:space="0"/>
                  </w:tcBorders>
                  <w:shd w:val="clear" w:color="auto" w:fill="auto"/>
                  <w:noWrap/>
                  <w:vAlign w:val="center"/>
                </w:tcPr>
                <w:p w14:paraId="7617C78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5D9EDFC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513D03F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43069E7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6155DBD">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61F0793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第19年</w:t>
                  </w:r>
                </w:p>
              </w:tc>
              <w:tc>
                <w:tcPr>
                  <w:tcW w:w="1036" w:type="pct"/>
                  <w:tcBorders>
                    <w:top w:val="nil"/>
                    <w:left w:val="nil"/>
                    <w:bottom w:val="single" w:color="auto" w:sz="8" w:space="0"/>
                    <w:right w:val="single" w:color="auto" w:sz="8" w:space="0"/>
                  </w:tcBorders>
                  <w:shd w:val="clear" w:color="auto" w:fill="auto"/>
                  <w:noWrap/>
                  <w:vAlign w:val="center"/>
                </w:tcPr>
                <w:p w14:paraId="4FA8D9E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679F4A9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308EF9D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2958A3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D409241">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6158CE6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第20年</w:t>
                  </w:r>
                </w:p>
              </w:tc>
              <w:tc>
                <w:tcPr>
                  <w:tcW w:w="1036" w:type="pct"/>
                  <w:tcBorders>
                    <w:top w:val="nil"/>
                    <w:left w:val="nil"/>
                    <w:bottom w:val="single" w:color="auto" w:sz="8" w:space="0"/>
                    <w:right w:val="single" w:color="auto" w:sz="8" w:space="0"/>
                  </w:tcBorders>
                  <w:shd w:val="clear" w:color="auto" w:fill="auto"/>
                  <w:noWrap/>
                  <w:vAlign w:val="center"/>
                </w:tcPr>
                <w:p w14:paraId="4152BE2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w:t>
                  </w:r>
                </w:p>
              </w:tc>
              <w:tc>
                <w:tcPr>
                  <w:tcW w:w="1036" w:type="pct"/>
                  <w:tcBorders>
                    <w:top w:val="nil"/>
                    <w:left w:val="nil"/>
                    <w:bottom w:val="single" w:color="auto" w:sz="8" w:space="0"/>
                    <w:right w:val="single" w:color="auto" w:sz="8" w:space="0"/>
                  </w:tcBorders>
                  <w:shd w:val="clear" w:color="auto" w:fill="auto"/>
                  <w:noWrap/>
                  <w:vAlign w:val="center"/>
                </w:tcPr>
                <w:p w14:paraId="5D75759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218" w:type="pct"/>
                  <w:tcBorders>
                    <w:top w:val="nil"/>
                    <w:left w:val="nil"/>
                    <w:bottom w:val="single" w:color="auto" w:sz="8" w:space="0"/>
                    <w:right w:val="single" w:color="auto" w:sz="8" w:space="0"/>
                  </w:tcBorders>
                  <w:shd w:val="clear" w:color="auto" w:fill="auto"/>
                  <w:noWrap/>
                  <w:vAlign w:val="center"/>
                </w:tcPr>
                <w:p w14:paraId="1BE7B12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40FF40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2EBC5A6B">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054250D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第21年</w:t>
                  </w:r>
                </w:p>
              </w:tc>
              <w:tc>
                <w:tcPr>
                  <w:tcW w:w="1036" w:type="pct"/>
                  <w:tcBorders>
                    <w:top w:val="nil"/>
                    <w:left w:val="nil"/>
                    <w:bottom w:val="single" w:color="auto" w:sz="8" w:space="0"/>
                    <w:right w:val="single" w:color="auto" w:sz="8" w:space="0"/>
                  </w:tcBorders>
                  <w:shd w:val="clear" w:color="auto" w:fill="auto"/>
                  <w:noWrap/>
                  <w:vAlign w:val="center"/>
                </w:tcPr>
                <w:p w14:paraId="77F6BD2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6.81</w:t>
                  </w:r>
                </w:p>
              </w:tc>
              <w:tc>
                <w:tcPr>
                  <w:tcW w:w="1036" w:type="pct"/>
                  <w:tcBorders>
                    <w:top w:val="nil"/>
                    <w:left w:val="nil"/>
                    <w:bottom w:val="single" w:color="auto" w:sz="8" w:space="0"/>
                    <w:right w:val="single" w:color="auto" w:sz="8" w:space="0"/>
                  </w:tcBorders>
                  <w:shd w:val="clear" w:color="auto" w:fill="auto"/>
                  <w:noWrap/>
                  <w:vAlign w:val="center"/>
                </w:tcPr>
                <w:p w14:paraId="4DCDA5E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18.52</w:t>
                  </w:r>
                </w:p>
              </w:tc>
              <w:tc>
                <w:tcPr>
                  <w:tcW w:w="1218" w:type="pct"/>
                  <w:tcBorders>
                    <w:top w:val="nil"/>
                    <w:left w:val="nil"/>
                    <w:bottom w:val="single" w:color="auto" w:sz="8" w:space="0"/>
                    <w:right w:val="single" w:color="auto" w:sz="8" w:space="0"/>
                  </w:tcBorders>
                  <w:shd w:val="clear" w:color="auto" w:fill="auto"/>
                  <w:noWrap/>
                  <w:vAlign w:val="center"/>
                </w:tcPr>
                <w:p w14:paraId="434503C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5AA30B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00EBBAEA">
              <w:tblPrEx>
                <w:tblCellMar>
                  <w:top w:w="0" w:type="dxa"/>
                  <w:left w:w="108" w:type="dxa"/>
                  <w:bottom w:w="0" w:type="dxa"/>
                  <w:right w:w="108" w:type="dxa"/>
                </w:tblCellMar>
              </w:tblPrEx>
              <w:trPr>
                <w:trHeight w:val="20" w:hRule="atLeast"/>
              </w:trPr>
              <w:tc>
                <w:tcPr>
                  <w:tcW w:w="854" w:type="pct"/>
                  <w:tcBorders>
                    <w:top w:val="nil"/>
                    <w:left w:val="single" w:color="auto" w:sz="8" w:space="0"/>
                    <w:bottom w:val="single" w:color="auto" w:sz="8" w:space="0"/>
                    <w:right w:val="single" w:color="auto" w:sz="8" w:space="0"/>
                  </w:tcBorders>
                  <w:shd w:val="clear" w:color="auto" w:fill="auto"/>
                  <w:noWrap/>
                  <w:vAlign w:val="center"/>
                </w:tcPr>
                <w:p w14:paraId="78A2B89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合计</w:t>
                  </w:r>
                </w:p>
              </w:tc>
              <w:tc>
                <w:tcPr>
                  <w:tcW w:w="1036" w:type="pct"/>
                  <w:tcBorders>
                    <w:top w:val="nil"/>
                    <w:left w:val="nil"/>
                    <w:bottom w:val="single" w:color="auto" w:sz="8" w:space="0"/>
                    <w:right w:val="single" w:color="auto" w:sz="8" w:space="0"/>
                  </w:tcBorders>
                  <w:shd w:val="clear" w:color="auto" w:fill="auto"/>
                  <w:noWrap/>
                  <w:vAlign w:val="center"/>
                </w:tcPr>
                <w:p w14:paraId="00C1D68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231.20</w:t>
                  </w:r>
                </w:p>
              </w:tc>
              <w:tc>
                <w:tcPr>
                  <w:tcW w:w="1036" w:type="pct"/>
                  <w:tcBorders>
                    <w:top w:val="nil"/>
                    <w:left w:val="nil"/>
                    <w:bottom w:val="single" w:color="auto" w:sz="8" w:space="0"/>
                    <w:right w:val="single" w:color="auto" w:sz="8" w:space="0"/>
                  </w:tcBorders>
                  <w:shd w:val="clear" w:color="auto" w:fill="auto"/>
                  <w:noWrap/>
                  <w:vAlign w:val="center"/>
                </w:tcPr>
                <w:p w14:paraId="3DD8A7E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628.86</w:t>
                  </w:r>
                </w:p>
              </w:tc>
              <w:tc>
                <w:tcPr>
                  <w:tcW w:w="1218" w:type="pct"/>
                  <w:tcBorders>
                    <w:top w:val="nil"/>
                    <w:left w:val="nil"/>
                    <w:bottom w:val="single" w:color="auto" w:sz="8" w:space="0"/>
                    <w:right w:val="single" w:color="auto" w:sz="8" w:space="0"/>
                  </w:tcBorders>
                  <w:shd w:val="clear" w:color="auto" w:fill="auto"/>
                  <w:noWrap/>
                  <w:vAlign w:val="center"/>
                </w:tcPr>
                <w:p w14:paraId="1AA04AF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854" w:type="pct"/>
                  <w:tcBorders>
                    <w:top w:val="nil"/>
                    <w:left w:val="nil"/>
                    <w:bottom w:val="single" w:color="auto" w:sz="8" w:space="0"/>
                    <w:right w:val="single" w:color="auto" w:sz="8" w:space="0"/>
                  </w:tcBorders>
                  <w:shd w:val="clear" w:color="auto" w:fill="auto"/>
                  <w:noWrap/>
                  <w:vAlign w:val="center"/>
                </w:tcPr>
                <w:p w14:paraId="3CD3B55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bl>
          <w:p w14:paraId="06EFEE0C">
            <w:pPr>
              <w:ind w:firstLine="560"/>
              <w:rPr>
                <w:rFonts w:hint="eastAsia"/>
                <w:color w:val="auto"/>
                <w:highlight w:val="none"/>
              </w:rPr>
            </w:pPr>
            <w:r>
              <w:rPr>
                <w:rFonts w:hint="eastAsia"/>
                <w:color w:val="auto"/>
                <w:highlight w:val="none"/>
              </w:rPr>
              <w:t>2、采矿方法</w:t>
            </w:r>
            <w:r>
              <w:rPr>
                <w:rFonts w:hint="eastAsia"/>
                <w:color w:val="auto"/>
                <w:highlight w:val="none"/>
                <w:lang w:eastAsia="zh-CN"/>
              </w:rPr>
              <w:t>：</w:t>
            </w:r>
            <w:r>
              <w:rPr>
                <w:rFonts w:hint="eastAsia"/>
                <w:color w:val="auto"/>
                <w:highlight w:val="none"/>
              </w:rPr>
              <w:t>采场垂直地形线布置工作面，采用缓帮作业的采矿方法。由于矿体为坚硬岩组，采用凿岩爆破。</w:t>
            </w:r>
          </w:p>
          <w:p w14:paraId="2B699966">
            <w:pPr>
              <w:pStyle w:val="15"/>
              <w:keepNext w:val="0"/>
              <w:keepLines w:val="0"/>
              <w:pageBreakBefore w:val="0"/>
              <w:widowControl w:val="0"/>
              <w:kinsoku/>
              <w:wordWrap/>
              <w:overflowPunct/>
              <w:topLinePunct w:val="0"/>
              <w:autoSpaceDE/>
              <w:autoSpaceDN/>
              <w:bidi w:val="0"/>
              <w:adjustRightInd/>
              <w:snapToGrid/>
              <w:spacing w:line="480" w:lineRule="atLeast"/>
              <w:textAlignment w:val="auto"/>
              <w:rPr>
                <w:rFonts w:hint="default" w:ascii="Times New Roman" w:hAnsi="Times New Roman"/>
                <w:b/>
                <w:bCs/>
                <w:color w:val="auto"/>
                <w:sz w:val="26"/>
                <w:szCs w:val="26"/>
                <w:highlight w:val="none"/>
                <w:lang w:val="en-US" w:eastAsia="zh-CN" w:bidi="en-US"/>
              </w:rPr>
            </w:pPr>
            <w:bookmarkStart w:id="17" w:name="_Toc288510370"/>
            <w:bookmarkStart w:id="18" w:name="_Toc360891661"/>
            <w:bookmarkStart w:id="19" w:name="_Toc409185281"/>
            <w:bookmarkStart w:id="20" w:name="_Toc289500159"/>
            <w:bookmarkStart w:id="21" w:name="_Toc50468709"/>
            <w:bookmarkStart w:id="22" w:name="_Toc285834575"/>
            <w:bookmarkStart w:id="23" w:name="_Toc285811786"/>
            <w:r>
              <w:rPr>
                <w:rFonts w:hint="eastAsia" w:ascii="Times New Roman" w:hAnsi="Times New Roman"/>
                <w:b/>
                <w:bCs/>
                <w:color w:val="auto"/>
                <w:sz w:val="26"/>
                <w:szCs w:val="26"/>
                <w:highlight w:val="none"/>
                <w:lang w:val="en-US" w:eastAsia="zh-CN" w:bidi="en-US"/>
              </w:rPr>
              <w:t>5.</w:t>
            </w:r>
            <w:bookmarkEnd w:id="17"/>
            <w:bookmarkEnd w:id="18"/>
            <w:bookmarkEnd w:id="19"/>
            <w:bookmarkEnd w:id="20"/>
            <w:bookmarkEnd w:id="21"/>
            <w:bookmarkEnd w:id="22"/>
            <w:bookmarkEnd w:id="23"/>
            <w:r>
              <w:rPr>
                <w:rFonts w:hint="eastAsia" w:ascii="Times New Roman" w:hAnsi="Times New Roman"/>
                <w:b/>
                <w:bCs/>
                <w:color w:val="auto"/>
                <w:sz w:val="26"/>
                <w:szCs w:val="26"/>
                <w:highlight w:val="none"/>
                <w:lang w:val="en-US" w:eastAsia="zh-CN" w:bidi="en-US"/>
              </w:rPr>
              <w:t>9保有资源储量</w:t>
            </w:r>
          </w:p>
          <w:p w14:paraId="2F9C01C9">
            <w:pPr>
              <w:ind w:firstLine="560"/>
              <w:rPr>
                <w:rFonts w:hint="eastAsia"/>
                <w:color w:val="auto"/>
                <w:highlight w:val="none"/>
              </w:rPr>
            </w:pPr>
            <w:r>
              <w:rPr>
                <w:rFonts w:hint="eastAsia"/>
                <w:color w:val="auto"/>
                <w:highlight w:val="none"/>
              </w:rPr>
              <w:t>根据</w:t>
            </w:r>
            <w:r>
              <w:rPr>
                <w:color w:val="auto"/>
                <w:highlight w:val="none"/>
              </w:rPr>
              <w:t>《云南省昆明市东川区排子田普通建筑材料用石灰岩矿勘查报告》</w:t>
            </w:r>
            <w:r>
              <w:rPr>
                <w:rFonts w:hint="eastAsia" w:ascii="宋体" w:hAnsi="宋体"/>
                <w:color w:val="auto"/>
                <w:highlight w:val="none"/>
              </w:rPr>
              <w:t>（2020年）</w:t>
            </w:r>
            <w:r>
              <w:rPr>
                <w:rFonts w:hint="eastAsia"/>
                <w:color w:val="auto"/>
                <w:highlight w:val="none"/>
              </w:rPr>
              <w:t>评审意见书</w:t>
            </w:r>
            <w:r>
              <w:rPr>
                <w:color w:val="auto"/>
                <w:highlight w:val="none"/>
              </w:rPr>
              <w:t>，</w:t>
            </w:r>
            <w:r>
              <w:rPr>
                <w:rFonts w:hint="eastAsia"/>
                <w:color w:val="auto"/>
                <w:kern w:val="0"/>
                <w:szCs w:val="28"/>
                <w:highlight w:val="none"/>
              </w:rPr>
              <w:t>东川区</w:t>
            </w:r>
            <w:r>
              <w:rPr>
                <w:rFonts w:hint="eastAsia"/>
                <w:color w:val="auto"/>
                <w:highlight w:val="none"/>
              </w:rPr>
              <w:t>拟出让</w:t>
            </w:r>
            <w:r>
              <w:rPr>
                <w:rFonts w:hint="eastAsia"/>
                <w:color w:val="auto"/>
                <w:kern w:val="0"/>
                <w:szCs w:val="28"/>
                <w:highlight w:val="none"/>
              </w:rPr>
              <w:t>排子田矿</w:t>
            </w:r>
            <w:r>
              <w:rPr>
                <w:rFonts w:hint="eastAsia"/>
                <w:color w:val="auto"/>
                <w:highlight w:val="none"/>
              </w:rPr>
              <w:t>区范围内推断的资源量为828.39万m</w:t>
            </w:r>
            <w:r>
              <w:rPr>
                <w:rFonts w:hint="eastAsia"/>
                <w:color w:val="auto"/>
                <w:highlight w:val="none"/>
                <w:vertAlign w:val="superscript"/>
              </w:rPr>
              <w:t>3</w:t>
            </w:r>
            <w:r>
              <w:rPr>
                <w:rFonts w:hint="eastAsia"/>
                <w:color w:val="auto"/>
                <w:highlight w:val="none"/>
              </w:rPr>
              <w:t>（2253.22万t），其中推断的可采资源量243.37万m</w:t>
            </w:r>
            <w:r>
              <w:rPr>
                <w:rFonts w:hint="eastAsia"/>
                <w:color w:val="auto"/>
                <w:highlight w:val="none"/>
                <w:vertAlign w:val="superscript"/>
              </w:rPr>
              <w:t>3</w:t>
            </w:r>
            <w:r>
              <w:rPr>
                <w:rFonts w:hint="eastAsia"/>
                <w:color w:val="auto"/>
                <w:highlight w:val="none"/>
              </w:rPr>
              <w:t>（661.96万t），</w:t>
            </w:r>
            <w:r>
              <w:rPr>
                <w:rFonts w:hint="eastAsia"/>
                <w:color w:val="auto"/>
                <w:highlight w:val="none"/>
                <w:lang w:val="en-US" w:eastAsia="zh-CN"/>
              </w:rPr>
              <w:t>采出矿石资源量628.86</w:t>
            </w:r>
            <w:r>
              <w:rPr>
                <w:rFonts w:hint="eastAsia"/>
                <w:color w:val="auto"/>
                <w:highlight w:val="none"/>
              </w:rPr>
              <w:t>万t，推断的边坡影响资源量585.02万m</w:t>
            </w:r>
            <w:r>
              <w:rPr>
                <w:rFonts w:hint="eastAsia"/>
                <w:color w:val="auto"/>
                <w:highlight w:val="none"/>
                <w:vertAlign w:val="superscript"/>
              </w:rPr>
              <w:t>3</w:t>
            </w:r>
            <w:r>
              <w:rPr>
                <w:rFonts w:hint="eastAsia"/>
                <w:color w:val="auto"/>
                <w:highlight w:val="none"/>
              </w:rPr>
              <w:t>（1591.26万t）。</w:t>
            </w:r>
          </w:p>
          <w:p w14:paraId="3E4B0C0F">
            <w:pPr>
              <w:tabs>
                <w:tab w:val="left" w:pos="2395"/>
              </w:tabs>
              <w:spacing w:line="360" w:lineRule="auto"/>
              <w:ind w:left="0" w:leftChars="0" w:right="130" w:rightChars="50" w:firstLine="0" w:firstLineChars="0"/>
              <w:rPr>
                <w:rFonts w:hint="eastAsia" w:ascii="Times New Roman" w:hAnsi="Times New Roman"/>
                <w:b/>
                <w:bCs/>
                <w:color w:val="auto"/>
                <w:sz w:val="28"/>
                <w:szCs w:val="28"/>
                <w:highlight w:val="none"/>
              </w:rPr>
            </w:pPr>
            <w:r>
              <w:rPr>
                <w:rFonts w:hint="eastAsia" w:ascii="Times New Roman" w:hAnsi="Times New Roman"/>
                <w:b/>
                <w:bCs/>
                <w:color w:val="auto"/>
                <w:sz w:val="28"/>
                <w:szCs w:val="28"/>
                <w:highlight w:val="none"/>
                <w:lang w:val="en-US" w:eastAsia="zh-CN"/>
              </w:rPr>
              <w:t>6</w:t>
            </w:r>
            <w:r>
              <w:rPr>
                <w:rFonts w:hint="eastAsia" w:ascii="Times New Roman" w:hAnsi="Times New Roman"/>
                <w:b/>
                <w:bCs/>
                <w:color w:val="auto"/>
                <w:sz w:val="28"/>
                <w:szCs w:val="28"/>
                <w:highlight w:val="none"/>
              </w:rPr>
              <w:t>、装备水平</w:t>
            </w:r>
          </w:p>
          <w:p w14:paraId="714C0EBE">
            <w:pPr>
              <w:ind w:firstLine="560"/>
              <w:rPr>
                <w:rFonts w:hint="eastAsia"/>
                <w:color w:val="auto"/>
                <w:highlight w:val="none"/>
              </w:rPr>
            </w:pPr>
            <w:r>
              <w:rPr>
                <w:rFonts w:hint="eastAsia"/>
                <w:color w:val="auto"/>
                <w:highlight w:val="none"/>
              </w:rPr>
              <w:t>按矿山年采剥量要求，露天采场装备水平如下：铲装采用2</w:t>
            </w:r>
            <w:r>
              <w:rPr>
                <w:color w:val="auto"/>
                <w:highlight w:val="none"/>
              </w:rPr>
              <w:t>m</w:t>
            </w:r>
            <w:r>
              <w:rPr>
                <w:color w:val="auto"/>
                <w:highlight w:val="none"/>
                <w:vertAlign w:val="superscript"/>
              </w:rPr>
              <w:t>3</w:t>
            </w:r>
            <w:r>
              <w:rPr>
                <w:rFonts w:hint="eastAsia"/>
                <w:color w:val="auto"/>
                <w:highlight w:val="none"/>
              </w:rPr>
              <w:t>卡特320C挖掘机</w:t>
            </w:r>
            <w:r>
              <w:rPr>
                <w:color w:val="auto"/>
                <w:highlight w:val="none"/>
              </w:rPr>
              <w:t>，</w:t>
            </w:r>
            <w:r>
              <w:rPr>
                <w:rFonts w:hint="eastAsia"/>
                <w:color w:val="auto"/>
                <w:highlight w:val="none"/>
              </w:rPr>
              <w:t>20t矿用自卸汽车运输矿岩</w:t>
            </w:r>
            <w:r>
              <w:rPr>
                <w:color w:val="auto"/>
                <w:highlight w:val="none"/>
              </w:rPr>
              <w:t>。配</w:t>
            </w:r>
            <w:r>
              <w:rPr>
                <w:rFonts w:hint="eastAsia"/>
                <w:color w:val="auto"/>
                <w:highlight w:val="none"/>
              </w:rPr>
              <w:t>装载机</w:t>
            </w:r>
            <w:r>
              <w:rPr>
                <w:color w:val="auto"/>
                <w:highlight w:val="none"/>
              </w:rPr>
              <w:t>完成矿体三角带的清理、装载及场地平整、辅助装载</w:t>
            </w:r>
            <w:r>
              <w:rPr>
                <w:rFonts w:hint="eastAsia"/>
                <w:color w:val="auto"/>
                <w:highlight w:val="none"/>
              </w:rPr>
              <w:t>、破碎站上料</w:t>
            </w:r>
            <w:r>
              <w:rPr>
                <w:color w:val="auto"/>
                <w:highlight w:val="none"/>
              </w:rPr>
              <w:t>等作业。</w:t>
            </w:r>
            <w:r>
              <w:rPr>
                <w:rFonts w:hint="eastAsia"/>
                <w:color w:val="auto"/>
                <w:highlight w:val="none"/>
              </w:rPr>
              <w:t>矿山</w:t>
            </w:r>
            <w:r>
              <w:rPr>
                <w:color w:val="auto"/>
                <w:highlight w:val="none"/>
              </w:rPr>
              <w:t>主要设备配置见表</w:t>
            </w:r>
            <w:r>
              <w:rPr>
                <w:rFonts w:hint="eastAsia"/>
                <w:color w:val="auto"/>
                <w:highlight w:val="none"/>
                <w:lang w:val="en-US" w:eastAsia="zh-CN"/>
              </w:rPr>
              <w:t>1</w:t>
            </w:r>
            <w:r>
              <w:rPr>
                <w:color w:val="auto"/>
                <w:highlight w:val="none"/>
              </w:rPr>
              <w:t>-</w:t>
            </w:r>
            <w:r>
              <w:rPr>
                <w:rFonts w:hint="eastAsia"/>
                <w:color w:val="auto"/>
                <w:highlight w:val="none"/>
                <w:lang w:val="en-US" w:eastAsia="zh-CN"/>
              </w:rPr>
              <w:t>8</w:t>
            </w:r>
            <w:r>
              <w:rPr>
                <w:rFonts w:hint="eastAsia"/>
                <w:color w:val="auto"/>
                <w:highlight w:val="none"/>
              </w:rPr>
              <w:t>。</w:t>
            </w:r>
          </w:p>
          <w:p w14:paraId="472052F6">
            <w:pPr>
              <w:ind w:firstLine="560"/>
              <w:jc w:val="center"/>
              <w:rPr>
                <w:rFonts w:hint="eastAsia"/>
                <w:b/>
                <w:bCs/>
                <w:color w:val="auto"/>
                <w:sz w:val="21"/>
                <w:szCs w:val="21"/>
                <w:highlight w:val="none"/>
              </w:rPr>
            </w:pPr>
            <w:r>
              <w:rPr>
                <w:rFonts w:hint="eastAsia"/>
                <w:b/>
                <w:bCs/>
                <w:color w:val="auto"/>
                <w:sz w:val="21"/>
                <w:szCs w:val="21"/>
                <w:highlight w:val="none"/>
              </w:rPr>
              <w:t>表</w:t>
            </w:r>
            <w:r>
              <w:rPr>
                <w:rFonts w:hint="eastAsia"/>
                <w:b/>
                <w:bCs/>
                <w:color w:val="auto"/>
                <w:sz w:val="21"/>
                <w:szCs w:val="21"/>
                <w:highlight w:val="none"/>
                <w:lang w:val="en-US" w:eastAsia="zh-CN"/>
              </w:rPr>
              <w:t>1</w:t>
            </w:r>
            <w:r>
              <w:rPr>
                <w:rFonts w:hint="eastAsia"/>
                <w:b/>
                <w:bCs/>
                <w:color w:val="auto"/>
                <w:sz w:val="21"/>
                <w:szCs w:val="21"/>
                <w:highlight w:val="none"/>
              </w:rPr>
              <w:t>-</w:t>
            </w:r>
            <w:r>
              <w:rPr>
                <w:rFonts w:hint="eastAsia"/>
                <w:b/>
                <w:bCs/>
                <w:color w:val="auto"/>
                <w:sz w:val="21"/>
                <w:szCs w:val="21"/>
                <w:highlight w:val="none"/>
                <w:lang w:val="en-US" w:eastAsia="zh-CN"/>
              </w:rPr>
              <w:t>8</w:t>
            </w:r>
            <w:r>
              <w:rPr>
                <w:rFonts w:hint="eastAsia"/>
                <w:b/>
                <w:bCs/>
                <w:color w:val="auto"/>
                <w:sz w:val="21"/>
                <w:szCs w:val="21"/>
                <w:highlight w:val="none"/>
              </w:rPr>
              <w:t xml:space="preserve">  露天矿山主要设备表</w:t>
            </w:r>
          </w:p>
          <w:tbl>
            <w:tblPr>
              <w:tblStyle w:val="22"/>
              <w:tblW w:w="8296" w:type="dxa"/>
              <w:tblInd w:w="0" w:type="dxa"/>
              <w:tblLayout w:type="autofit"/>
              <w:tblCellMar>
                <w:top w:w="0" w:type="dxa"/>
                <w:left w:w="108" w:type="dxa"/>
                <w:bottom w:w="0" w:type="dxa"/>
                <w:right w:w="108" w:type="dxa"/>
              </w:tblCellMar>
            </w:tblPr>
            <w:tblGrid>
              <w:gridCol w:w="790"/>
              <w:gridCol w:w="1617"/>
              <w:gridCol w:w="2847"/>
              <w:gridCol w:w="1044"/>
              <w:gridCol w:w="954"/>
              <w:gridCol w:w="1044"/>
            </w:tblGrid>
            <w:tr w14:paraId="42D2F3DD">
              <w:tblPrEx>
                <w:tblCellMar>
                  <w:top w:w="0" w:type="dxa"/>
                  <w:left w:w="108" w:type="dxa"/>
                  <w:bottom w:w="0" w:type="dxa"/>
                  <w:right w:w="108" w:type="dxa"/>
                </w:tblCellMar>
              </w:tblPrEx>
              <w:trPr>
                <w:trHeight w:val="228" w:hRule="atLeast"/>
              </w:trPr>
              <w:tc>
                <w:tcPr>
                  <w:tcW w:w="790" w:type="dxa"/>
                  <w:tcBorders>
                    <w:top w:val="single" w:color="auto" w:sz="8" w:space="0"/>
                    <w:left w:val="single" w:color="auto" w:sz="8" w:space="0"/>
                    <w:bottom w:val="single" w:color="auto" w:sz="4" w:space="0"/>
                    <w:right w:val="single" w:color="auto" w:sz="8" w:space="0"/>
                  </w:tcBorders>
                  <w:noWrap w:val="0"/>
                  <w:vAlign w:val="center"/>
                </w:tcPr>
                <w:p w14:paraId="3D7D9FD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序号</w:t>
                  </w:r>
                </w:p>
              </w:tc>
              <w:tc>
                <w:tcPr>
                  <w:tcW w:w="1617" w:type="dxa"/>
                  <w:tcBorders>
                    <w:top w:val="single" w:color="auto" w:sz="8" w:space="0"/>
                    <w:left w:val="nil"/>
                    <w:bottom w:val="single" w:color="auto" w:sz="4" w:space="0"/>
                    <w:right w:val="single" w:color="auto" w:sz="8" w:space="0"/>
                  </w:tcBorders>
                  <w:noWrap w:val="0"/>
                  <w:vAlign w:val="top"/>
                </w:tcPr>
                <w:p w14:paraId="77ACBC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设备名称</w:t>
                  </w:r>
                </w:p>
              </w:tc>
              <w:tc>
                <w:tcPr>
                  <w:tcW w:w="2847" w:type="dxa"/>
                  <w:tcBorders>
                    <w:top w:val="single" w:color="auto" w:sz="8" w:space="0"/>
                    <w:left w:val="nil"/>
                    <w:bottom w:val="single" w:color="auto" w:sz="4" w:space="0"/>
                    <w:right w:val="single" w:color="auto" w:sz="8" w:space="0"/>
                  </w:tcBorders>
                  <w:noWrap w:val="0"/>
                  <w:vAlign w:val="top"/>
                </w:tcPr>
                <w:p w14:paraId="3DA770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型号</w:t>
                  </w:r>
                </w:p>
              </w:tc>
              <w:tc>
                <w:tcPr>
                  <w:tcW w:w="1044" w:type="dxa"/>
                  <w:tcBorders>
                    <w:top w:val="single" w:color="auto" w:sz="8" w:space="0"/>
                    <w:left w:val="nil"/>
                    <w:bottom w:val="single" w:color="auto" w:sz="4" w:space="0"/>
                    <w:right w:val="single" w:color="auto" w:sz="8" w:space="0"/>
                  </w:tcBorders>
                  <w:noWrap w:val="0"/>
                  <w:vAlign w:val="top"/>
                </w:tcPr>
                <w:p w14:paraId="7AF8004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单位</w:t>
                  </w:r>
                </w:p>
              </w:tc>
              <w:tc>
                <w:tcPr>
                  <w:tcW w:w="954" w:type="dxa"/>
                  <w:tcBorders>
                    <w:top w:val="single" w:color="auto" w:sz="8" w:space="0"/>
                    <w:left w:val="nil"/>
                    <w:bottom w:val="single" w:color="auto" w:sz="4" w:space="0"/>
                    <w:right w:val="single" w:color="auto" w:sz="8" w:space="0"/>
                  </w:tcBorders>
                  <w:noWrap w:val="0"/>
                  <w:vAlign w:val="center"/>
                </w:tcPr>
                <w:p w14:paraId="315A4B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数量</w:t>
                  </w:r>
                </w:p>
              </w:tc>
              <w:tc>
                <w:tcPr>
                  <w:tcW w:w="1044" w:type="dxa"/>
                  <w:tcBorders>
                    <w:top w:val="single" w:color="auto" w:sz="8" w:space="0"/>
                    <w:left w:val="nil"/>
                    <w:bottom w:val="single" w:color="auto" w:sz="4" w:space="0"/>
                    <w:right w:val="single" w:color="auto" w:sz="8" w:space="0"/>
                  </w:tcBorders>
                  <w:noWrap w:val="0"/>
                  <w:vAlign w:val="center"/>
                </w:tcPr>
                <w:p w14:paraId="781F54D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备注</w:t>
                  </w:r>
                </w:p>
              </w:tc>
            </w:tr>
            <w:tr w14:paraId="030FF7E1">
              <w:tblPrEx>
                <w:tblCellMar>
                  <w:top w:w="0" w:type="dxa"/>
                  <w:left w:w="108" w:type="dxa"/>
                  <w:bottom w:w="0" w:type="dxa"/>
                  <w:right w:w="108" w:type="dxa"/>
                </w:tblCellMar>
              </w:tblPrEx>
              <w:trPr>
                <w:trHeight w:val="228"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31D940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617" w:type="dxa"/>
                  <w:tcBorders>
                    <w:top w:val="single" w:color="auto" w:sz="4" w:space="0"/>
                    <w:left w:val="single" w:color="auto" w:sz="4" w:space="0"/>
                    <w:bottom w:val="single" w:color="auto" w:sz="4" w:space="0"/>
                    <w:right w:val="single" w:color="auto" w:sz="4" w:space="0"/>
                  </w:tcBorders>
                  <w:noWrap w:val="0"/>
                  <w:vAlign w:val="top"/>
                </w:tcPr>
                <w:p w14:paraId="030098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潜孔凿岩机</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45225E1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KQD-80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B149E3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D169F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721E26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454D01F3">
              <w:tblPrEx>
                <w:tblCellMar>
                  <w:top w:w="0" w:type="dxa"/>
                  <w:left w:w="108" w:type="dxa"/>
                  <w:bottom w:w="0" w:type="dxa"/>
                  <w:right w:w="108" w:type="dxa"/>
                </w:tblCellMar>
              </w:tblPrEx>
              <w:trPr>
                <w:trHeight w:val="232"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4679E76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48A305B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移动式空压机</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058CA9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移动式空压机（DVY－9/7）</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01CA6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4D524B0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4CD2DE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12A58DC0">
              <w:tblPrEx>
                <w:tblCellMar>
                  <w:top w:w="0" w:type="dxa"/>
                  <w:left w:w="108" w:type="dxa"/>
                  <w:bottom w:w="0" w:type="dxa"/>
                  <w:right w:w="108" w:type="dxa"/>
                </w:tblCellMar>
              </w:tblPrEx>
              <w:trPr>
                <w:trHeight w:val="222"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1FFCCAC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2F22927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挖掘机</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1A8081B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卡特320C</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9D32D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F114D6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7C355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4AED0EAC">
              <w:tblPrEx>
                <w:tblCellMar>
                  <w:top w:w="0" w:type="dxa"/>
                  <w:left w:w="108" w:type="dxa"/>
                  <w:bottom w:w="0" w:type="dxa"/>
                  <w:right w:w="108" w:type="dxa"/>
                </w:tblCellMar>
              </w:tblPrEx>
              <w:trPr>
                <w:trHeight w:val="226"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7643E7F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w:t>
                  </w:r>
                </w:p>
              </w:tc>
              <w:tc>
                <w:tcPr>
                  <w:tcW w:w="1617" w:type="dxa"/>
                  <w:tcBorders>
                    <w:top w:val="single" w:color="auto" w:sz="4" w:space="0"/>
                    <w:left w:val="single" w:color="auto" w:sz="4" w:space="0"/>
                    <w:bottom w:val="single" w:color="auto" w:sz="4" w:space="0"/>
                    <w:right w:val="single" w:color="auto" w:sz="4" w:space="0"/>
                  </w:tcBorders>
                  <w:noWrap w:val="0"/>
                  <w:vAlign w:val="center"/>
                </w:tcPr>
                <w:p w14:paraId="73D0524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装载机</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1EF155C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柳工ZL50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CF9242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7FBE28C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57C90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4703F03F">
              <w:tblPrEx>
                <w:tblCellMar>
                  <w:top w:w="0" w:type="dxa"/>
                  <w:left w:w="108" w:type="dxa"/>
                  <w:bottom w:w="0" w:type="dxa"/>
                  <w:right w:w="108" w:type="dxa"/>
                </w:tblCellMar>
              </w:tblPrEx>
              <w:trPr>
                <w:trHeight w:val="244"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0288F90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w:t>
                  </w:r>
                </w:p>
              </w:tc>
              <w:tc>
                <w:tcPr>
                  <w:tcW w:w="1617" w:type="dxa"/>
                  <w:tcBorders>
                    <w:top w:val="single" w:color="auto" w:sz="4" w:space="0"/>
                    <w:left w:val="single" w:color="auto" w:sz="4" w:space="0"/>
                    <w:bottom w:val="single" w:color="auto" w:sz="4" w:space="0"/>
                    <w:right w:val="single" w:color="auto" w:sz="4" w:space="0"/>
                  </w:tcBorders>
                  <w:noWrap w:val="0"/>
                  <w:vAlign w:val="top"/>
                </w:tcPr>
                <w:p w14:paraId="48F48A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自卸汽车</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7F51C9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东风20t自卸汽车</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87BD02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辆</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859053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51719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343D0CF7">
              <w:tblPrEx>
                <w:tblCellMar>
                  <w:top w:w="0" w:type="dxa"/>
                  <w:left w:w="108" w:type="dxa"/>
                  <w:bottom w:w="0" w:type="dxa"/>
                  <w:right w:w="108" w:type="dxa"/>
                </w:tblCellMar>
              </w:tblPrEx>
              <w:trPr>
                <w:trHeight w:val="234"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0C0150F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w:t>
                  </w:r>
                </w:p>
              </w:tc>
              <w:tc>
                <w:tcPr>
                  <w:tcW w:w="1617" w:type="dxa"/>
                  <w:tcBorders>
                    <w:top w:val="single" w:color="auto" w:sz="4" w:space="0"/>
                    <w:left w:val="single" w:color="auto" w:sz="4" w:space="0"/>
                    <w:bottom w:val="single" w:color="auto" w:sz="4" w:space="0"/>
                    <w:right w:val="single" w:color="auto" w:sz="4" w:space="0"/>
                  </w:tcBorders>
                  <w:noWrap w:val="0"/>
                  <w:vAlign w:val="top"/>
                </w:tcPr>
                <w:p w14:paraId="621F475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破碎机</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274EC6B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PE-600×900</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46497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0B13DB9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59387A2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r w14:paraId="564F6447">
              <w:tblPrEx>
                <w:tblCellMar>
                  <w:top w:w="0" w:type="dxa"/>
                  <w:left w:w="108" w:type="dxa"/>
                  <w:bottom w:w="0" w:type="dxa"/>
                  <w:right w:w="108" w:type="dxa"/>
                </w:tblCellMar>
              </w:tblPrEx>
              <w:trPr>
                <w:trHeight w:val="300" w:hRule="atLeast"/>
              </w:trPr>
              <w:tc>
                <w:tcPr>
                  <w:tcW w:w="790" w:type="dxa"/>
                  <w:tcBorders>
                    <w:top w:val="single" w:color="auto" w:sz="4" w:space="0"/>
                    <w:left w:val="single" w:color="auto" w:sz="4" w:space="0"/>
                    <w:bottom w:val="single" w:color="auto" w:sz="4" w:space="0"/>
                    <w:right w:val="single" w:color="auto" w:sz="4" w:space="0"/>
                  </w:tcBorders>
                  <w:noWrap w:val="0"/>
                  <w:vAlign w:val="top"/>
                </w:tcPr>
                <w:p w14:paraId="11504A8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8</w:t>
                  </w:r>
                </w:p>
              </w:tc>
              <w:tc>
                <w:tcPr>
                  <w:tcW w:w="1617" w:type="dxa"/>
                  <w:tcBorders>
                    <w:top w:val="single" w:color="auto" w:sz="4" w:space="0"/>
                    <w:left w:val="single" w:color="auto" w:sz="4" w:space="0"/>
                    <w:bottom w:val="single" w:color="auto" w:sz="4" w:space="0"/>
                    <w:right w:val="single" w:color="auto" w:sz="4" w:space="0"/>
                  </w:tcBorders>
                  <w:noWrap w:val="0"/>
                  <w:vAlign w:val="top"/>
                </w:tcPr>
                <w:p w14:paraId="4A87D7D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取水泵</w:t>
                  </w:r>
                </w:p>
              </w:tc>
              <w:tc>
                <w:tcPr>
                  <w:tcW w:w="2847" w:type="dxa"/>
                  <w:tcBorders>
                    <w:top w:val="single" w:color="auto" w:sz="4" w:space="0"/>
                    <w:left w:val="single" w:color="auto" w:sz="4" w:space="0"/>
                    <w:bottom w:val="single" w:color="auto" w:sz="4" w:space="0"/>
                    <w:right w:val="single" w:color="auto" w:sz="4" w:space="0"/>
                  </w:tcBorders>
                  <w:noWrap w:val="0"/>
                  <w:vAlign w:val="center"/>
                </w:tcPr>
                <w:p w14:paraId="476317D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5kW</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0440A4C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4711BFF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DBF3B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新增</w:t>
                  </w:r>
                </w:p>
              </w:tc>
            </w:tr>
          </w:tbl>
          <w:p w14:paraId="6A4734D3">
            <w:pPr>
              <w:tabs>
                <w:tab w:val="left" w:pos="2395"/>
              </w:tabs>
              <w:spacing w:line="360" w:lineRule="auto"/>
              <w:ind w:left="0" w:leftChars="0" w:right="130" w:rightChars="50" w:firstLine="0" w:firstLineChars="0"/>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7总平面布置</w:t>
            </w:r>
          </w:p>
          <w:p w14:paraId="5534945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b w:val="0"/>
                <w:bCs w:val="0"/>
                <w:color w:val="auto"/>
                <w:sz w:val="26"/>
                <w:szCs w:val="26"/>
                <w:highlight w:val="none"/>
                <w:lang w:val="en-US" w:eastAsia="zh-CN" w:bidi="en-US"/>
              </w:rPr>
            </w:pPr>
            <w:r>
              <w:rPr>
                <w:rFonts w:hint="eastAsia" w:ascii="Times New Roman" w:hAnsi="Times New Roman"/>
                <w:b w:val="0"/>
                <w:bCs w:val="0"/>
                <w:color w:val="auto"/>
                <w:sz w:val="26"/>
                <w:szCs w:val="26"/>
                <w:highlight w:val="none"/>
                <w:lang w:val="en-US" w:eastAsia="zh-CN" w:bidi="en-US"/>
              </w:rPr>
              <w:t>（1）</w:t>
            </w:r>
            <w:r>
              <w:rPr>
                <w:rFonts w:hint="default" w:ascii="Times New Roman" w:hAnsi="Times New Roman"/>
                <w:b w:val="0"/>
                <w:bCs w:val="0"/>
                <w:color w:val="auto"/>
                <w:sz w:val="26"/>
                <w:szCs w:val="26"/>
                <w:highlight w:val="none"/>
                <w:lang w:val="en-US" w:eastAsia="zh-CN" w:bidi="en-US"/>
              </w:rPr>
              <w:t>矿区总平面布置内容主要有采矿场、矿山公路、工业场地等。矿山运输方式采用汽车运输。办公生活区位于矿区东</w:t>
            </w:r>
            <w:r>
              <w:rPr>
                <w:rFonts w:hint="eastAsia" w:ascii="Times New Roman" w:hAnsi="Times New Roman"/>
                <w:b w:val="0"/>
                <w:bCs w:val="0"/>
                <w:color w:val="auto"/>
                <w:sz w:val="26"/>
                <w:szCs w:val="26"/>
                <w:highlight w:val="none"/>
                <w:lang w:val="en-US" w:eastAsia="zh-CN" w:bidi="en-US"/>
              </w:rPr>
              <w:t>侧</w:t>
            </w:r>
            <w:r>
              <w:rPr>
                <w:rFonts w:hint="default" w:ascii="Times New Roman" w:hAnsi="Times New Roman"/>
                <w:b w:val="0"/>
                <w:bCs w:val="0"/>
                <w:color w:val="auto"/>
                <w:sz w:val="26"/>
                <w:szCs w:val="26"/>
                <w:highlight w:val="none"/>
                <w:lang w:val="en-US" w:eastAsia="zh-CN" w:bidi="en-US"/>
              </w:rPr>
              <w:t>的</w:t>
            </w:r>
            <w:r>
              <w:rPr>
                <w:rFonts w:hint="eastAsia" w:ascii="Times New Roman" w:hAnsi="Times New Roman"/>
                <w:b w:val="0"/>
                <w:bCs w:val="0"/>
                <w:color w:val="auto"/>
                <w:sz w:val="26"/>
                <w:szCs w:val="26"/>
                <w:highlight w:val="none"/>
                <w:lang w:val="en-US" w:eastAsia="zh-CN" w:bidi="en-US"/>
              </w:rPr>
              <w:t>龙东格国道</w:t>
            </w:r>
            <w:r>
              <w:rPr>
                <w:rFonts w:hint="default" w:ascii="Times New Roman" w:hAnsi="Times New Roman"/>
                <w:b w:val="0"/>
                <w:bCs w:val="0"/>
                <w:color w:val="auto"/>
                <w:sz w:val="26"/>
                <w:szCs w:val="26"/>
                <w:highlight w:val="none"/>
                <w:lang w:val="en-US" w:eastAsia="zh-CN" w:bidi="en-US"/>
              </w:rPr>
              <w:t>下侧</w:t>
            </w:r>
            <w:r>
              <w:rPr>
                <w:rFonts w:hint="eastAsia" w:ascii="Times New Roman" w:hAnsi="Times New Roman"/>
                <w:b w:val="0"/>
                <w:bCs w:val="0"/>
                <w:color w:val="auto"/>
                <w:sz w:val="26"/>
                <w:szCs w:val="26"/>
                <w:highlight w:val="none"/>
                <w:lang w:val="en-US" w:eastAsia="zh-CN" w:bidi="en-US"/>
              </w:rPr>
              <w:t>约230m</w:t>
            </w:r>
            <w:r>
              <w:rPr>
                <w:rFonts w:hint="default" w:ascii="Times New Roman" w:hAnsi="Times New Roman"/>
                <w:b w:val="0"/>
                <w:bCs w:val="0"/>
                <w:color w:val="auto"/>
                <w:sz w:val="26"/>
                <w:szCs w:val="26"/>
                <w:highlight w:val="none"/>
                <w:lang w:val="en-US" w:eastAsia="zh-CN" w:bidi="en-US"/>
              </w:rPr>
              <w:t>，办公生活区离300m爆破警戒范围的最近距离还有7</w:t>
            </w:r>
            <w:r>
              <w:rPr>
                <w:rFonts w:hint="eastAsia" w:ascii="Times New Roman" w:hAnsi="Times New Roman"/>
                <w:b w:val="0"/>
                <w:bCs w:val="0"/>
                <w:color w:val="auto"/>
                <w:sz w:val="26"/>
                <w:szCs w:val="26"/>
                <w:highlight w:val="none"/>
                <w:lang w:val="en-US" w:eastAsia="zh-CN" w:bidi="en-US"/>
              </w:rPr>
              <w:t>5</w:t>
            </w:r>
            <w:r>
              <w:rPr>
                <w:rFonts w:hint="default" w:ascii="Times New Roman" w:hAnsi="Times New Roman"/>
                <w:b w:val="0"/>
                <w:bCs w:val="0"/>
                <w:color w:val="auto"/>
                <w:sz w:val="26"/>
                <w:szCs w:val="26"/>
                <w:highlight w:val="none"/>
                <w:lang w:val="en-US" w:eastAsia="zh-CN" w:bidi="en-US"/>
              </w:rPr>
              <w:t>m</w:t>
            </w:r>
            <w:r>
              <w:rPr>
                <w:rFonts w:hint="eastAsia" w:ascii="Times New Roman" w:hAnsi="Times New Roman"/>
                <w:b w:val="0"/>
                <w:bCs w:val="0"/>
                <w:color w:val="auto"/>
                <w:sz w:val="26"/>
                <w:szCs w:val="26"/>
                <w:highlight w:val="none"/>
                <w:lang w:val="en-US" w:eastAsia="zh-CN" w:bidi="en-US"/>
              </w:rPr>
              <w:t>，</w:t>
            </w:r>
            <w:r>
              <w:rPr>
                <w:rFonts w:hint="default" w:ascii="Times New Roman" w:hAnsi="Times New Roman"/>
                <w:b w:val="0"/>
                <w:bCs w:val="0"/>
                <w:color w:val="auto"/>
                <w:sz w:val="26"/>
                <w:szCs w:val="26"/>
                <w:highlight w:val="none"/>
                <w:lang w:val="en-US" w:eastAsia="zh-CN" w:bidi="en-US"/>
              </w:rPr>
              <w:t>符合爆破安全相关规定。机修房、配电房位于矿区东北方向的公路下侧（932m标高），位于爆破警戒范围外。</w:t>
            </w:r>
            <w:r>
              <w:rPr>
                <w:rFonts w:hint="eastAsia" w:ascii="Times New Roman" w:hAnsi="Times New Roman"/>
                <w:b w:val="0"/>
                <w:bCs w:val="0"/>
                <w:color w:val="auto"/>
                <w:sz w:val="26"/>
                <w:szCs w:val="26"/>
                <w:highlight w:val="none"/>
                <w:lang w:val="en-US" w:eastAsia="zh-CN" w:bidi="en-US"/>
              </w:rPr>
              <w:t>一号</w:t>
            </w:r>
            <w:r>
              <w:rPr>
                <w:rFonts w:hint="default" w:ascii="Times New Roman" w:hAnsi="Times New Roman"/>
                <w:b w:val="0"/>
                <w:bCs w:val="0"/>
                <w:color w:val="auto"/>
                <w:sz w:val="26"/>
                <w:szCs w:val="26"/>
                <w:highlight w:val="none"/>
                <w:lang w:val="en-US" w:eastAsia="zh-CN" w:bidi="en-US"/>
              </w:rPr>
              <w:t>破碎站位于矿区范围1号拐点附件，离采矿境界边界最近距离135m，</w:t>
            </w:r>
            <w:r>
              <w:rPr>
                <w:rFonts w:hint="eastAsia" w:ascii="Times New Roman" w:hAnsi="Times New Roman"/>
                <w:b w:val="0"/>
                <w:bCs w:val="0"/>
                <w:color w:val="auto"/>
                <w:sz w:val="26"/>
                <w:szCs w:val="26"/>
                <w:highlight w:val="none"/>
                <w:lang w:val="en-US" w:eastAsia="zh-CN" w:bidi="en-US"/>
              </w:rPr>
              <w:t>二号</w:t>
            </w:r>
            <w:r>
              <w:rPr>
                <w:rFonts w:hint="default" w:ascii="Times New Roman" w:hAnsi="Times New Roman"/>
                <w:b w:val="0"/>
                <w:bCs w:val="0"/>
                <w:color w:val="auto"/>
                <w:sz w:val="26"/>
                <w:szCs w:val="26"/>
                <w:highlight w:val="none"/>
                <w:lang w:val="en-US" w:eastAsia="zh-CN" w:bidi="en-US"/>
              </w:rPr>
              <w:t>破碎站位于矿区范围1号拐点</w:t>
            </w:r>
            <w:r>
              <w:rPr>
                <w:rFonts w:hint="eastAsia" w:ascii="Times New Roman" w:hAnsi="Times New Roman"/>
                <w:b w:val="0"/>
                <w:bCs w:val="0"/>
                <w:color w:val="auto"/>
                <w:sz w:val="26"/>
                <w:szCs w:val="26"/>
                <w:highlight w:val="none"/>
                <w:lang w:val="en-US" w:eastAsia="zh-CN" w:bidi="en-US"/>
              </w:rPr>
              <w:t>东侧，</w:t>
            </w:r>
            <w:r>
              <w:rPr>
                <w:rFonts w:hint="default" w:ascii="Times New Roman" w:hAnsi="Times New Roman"/>
                <w:b w:val="0"/>
                <w:bCs w:val="0"/>
                <w:color w:val="auto"/>
                <w:sz w:val="26"/>
                <w:szCs w:val="26"/>
                <w:highlight w:val="none"/>
                <w:lang w:val="en-US" w:eastAsia="zh-CN" w:bidi="en-US"/>
              </w:rPr>
              <w:t>离采矿境界边界最近距离</w:t>
            </w:r>
            <w:r>
              <w:rPr>
                <w:rFonts w:hint="eastAsia" w:ascii="Times New Roman" w:hAnsi="Times New Roman"/>
                <w:b w:val="0"/>
                <w:bCs w:val="0"/>
                <w:color w:val="auto"/>
                <w:sz w:val="26"/>
                <w:szCs w:val="26"/>
                <w:highlight w:val="none"/>
                <w:lang w:val="en-US" w:eastAsia="zh-CN" w:bidi="en-US"/>
              </w:rPr>
              <w:t>330</w:t>
            </w:r>
            <w:r>
              <w:rPr>
                <w:rFonts w:hint="default" w:ascii="Times New Roman" w:hAnsi="Times New Roman"/>
                <w:b w:val="0"/>
                <w:bCs w:val="0"/>
                <w:color w:val="auto"/>
                <w:sz w:val="26"/>
                <w:szCs w:val="26"/>
                <w:highlight w:val="none"/>
                <w:lang w:val="en-US" w:eastAsia="zh-CN" w:bidi="en-US"/>
              </w:rPr>
              <w:t>m，符合爆破安全相关规定。由于地表地形较陡，矿区北东角的破碎站及北部的公路上方需建设3m高，宽1m的拦挡墙等防滚石安全措施；在主干公路内侧设置柔性防滚石安全设施预防滚石。</w:t>
            </w:r>
            <w:r>
              <w:rPr>
                <w:rFonts w:hint="eastAsia" w:ascii="Times New Roman" w:hAnsi="Times New Roman"/>
                <w:b w:val="0"/>
                <w:bCs w:val="0"/>
                <w:color w:val="auto"/>
                <w:sz w:val="26"/>
                <w:szCs w:val="26"/>
                <w:highlight w:val="none"/>
                <w:lang w:val="en-US" w:eastAsia="zh-CN" w:bidi="en-US"/>
              </w:rPr>
              <w:t>本项目初期雨水收集池、化粪池设在项目区的地势较低处，车辆清洗池设在进出口地势低处，环保设施设置较合理。项目总平面布置图见附图2。</w:t>
            </w:r>
          </w:p>
          <w:p w14:paraId="473E288F">
            <w:pPr>
              <w:pStyle w:val="20"/>
              <w:spacing w:after="0" w:line="480" w:lineRule="exact"/>
              <w:ind w:firstLine="520"/>
              <w:rPr>
                <w:rFonts w:ascii="Times New Roman" w:hAnsi="Times New Roman"/>
                <w:color w:val="auto"/>
                <w:highlight w:val="none"/>
              </w:rPr>
            </w:pPr>
            <w:r>
              <w:rPr>
                <w:rFonts w:hint="eastAsia" w:ascii="Times New Roman" w:hAnsi="Times New Roman"/>
                <w:color w:val="auto"/>
                <w:highlight w:val="none"/>
              </w:rPr>
              <w:t>（2）拆迁</w:t>
            </w:r>
            <w:r>
              <w:rPr>
                <w:rFonts w:hint="eastAsia"/>
                <w:color w:val="auto"/>
                <w:highlight w:val="none"/>
                <w:lang w:eastAsia="zh-CN"/>
              </w:rPr>
              <w:t>：</w:t>
            </w:r>
            <w:r>
              <w:rPr>
                <w:rFonts w:ascii="Times New Roman" w:hAnsi="Times New Roman"/>
                <w:color w:val="auto"/>
                <w:highlight w:val="none"/>
              </w:rPr>
              <w:t>经与</w:t>
            </w:r>
            <w:r>
              <w:rPr>
                <w:rFonts w:hint="eastAsia" w:ascii="Times New Roman" w:hAnsi="Times New Roman"/>
                <w:color w:val="auto"/>
                <w:highlight w:val="none"/>
              </w:rPr>
              <w:t>建设单位</w:t>
            </w:r>
            <w:r>
              <w:rPr>
                <w:rFonts w:ascii="Times New Roman" w:hAnsi="Times New Roman"/>
                <w:color w:val="auto"/>
                <w:highlight w:val="none"/>
              </w:rPr>
              <w:t>核实，本项目不涉及拆迁安置。</w:t>
            </w:r>
          </w:p>
          <w:p w14:paraId="10D67BF2">
            <w:pPr>
              <w:tabs>
                <w:tab w:val="left" w:pos="2395"/>
              </w:tabs>
              <w:spacing w:line="360" w:lineRule="auto"/>
              <w:ind w:left="0" w:leftChars="0" w:right="130" w:rightChars="50" w:firstLine="0" w:firstLineChars="0"/>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8</w:t>
            </w:r>
            <w:r>
              <w:rPr>
                <w:rFonts w:hint="eastAsia"/>
                <w:b/>
                <w:bCs/>
                <w:color w:val="auto"/>
                <w:sz w:val="28"/>
                <w:szCs w:val="28"/>
                <w:highlight w:val="none"/>
                <w:lang w:val="en-US" w:eastAsia="zh-CN"/>
              </w:rPr>
              <w:t>进度安排</w:t>
            </w:r>
          </w:p>
          <w:p w14:paraId="7557A2A6">
            <w:pPr>
              <w:pStyle w:val="20"/>
              <w:spacing w:after="0" w:line="480" w:lineRule="exact"/>
              <w:ind w:firstLine="520"/>
              <w:rPr>
                <w:rFonts w:hint="default" w:ascii="Times New Roman" w:hAnsi="Times New Roman" w:eastAsia="宋体"/>
                <w:color w:val="auto"/>
                <w:highlight w:val="none"/>
                <w:lang w:val="en-US" w:eastAsia="zh-CN"/>
              </w:rPr>
            </w:pPr>
            <w:r>
              <w:rPr>
                <w:rFonts w:hint="eastAsia"/>
                <w:color w:val="auto"/>
                <w:highlight w:val="none"/>
                <w:lang w:val="en-US" w:eastAsia="zh-CN"/>
              </w:rPr>
              <w:t>根据本项目的开发利用方案可知，本项目基建期为6个月，具体安排如下：</w:t>
            </w:r>
          </w:p>
          <w:p w14:paraId="12C2B84A">
            <w:pPr>
              <w:pStyle w:val="20"/>
              <w:spacing w:after="0" w:line="480" w:lineRule="exact"/>
              <w:ind w:firstLine="520"/>
              <w:rPr>
                <w:rFonts w:hint="eastAsia"/>
                <w:color w:val="auto"/>
                <w:highlight w:val="none"/>
                <w:lang w:val="en-US" w:eastAsia="zh-CN"/>
              </w:rPr>
            </w:pPr>
            <w:r>
              <w:rPr>
                <w:rFonts w:hint="eastAsia"/>
                <w:color w:val="auto"/>
                <w:highlight w:val="none"/>
                <w:lang w:val="en-US" w:eastAsia="zh-CN"/>
              </w:rPr>
              <w:t>2020年12月~2021年3月完成项目的设计报批工作；</w:t>
            </w:r>
          </w:p>
          <w:p w14:paraId="53B09775">
            <w:pPr>
              <w:pStyle w:val="20"/>
              <w:spacing w:after="0" w:line="480" w:lineRule="exact"/>
              <w:ind w:firstLine="520"/>
              <w:rPr>
                <w:rFonts w:hint="default"/>
                <w:color w:val="auto"/>
                <w:highlight w:val="none"/>
                <w:lang w:val="en-US" w:eastAsia="zh-CN"/>
              </w:rPr>
            </w:pPr>
            <w:r>
              <w:rPr>
                <w:rFonts w:hint="eastAsia"/>
                <w:color w:val="auto"/>
                <w:highlight w:val="none"/>
                <w:lang w:val="en-US" w:eastAsia="zh-CN"/>
              </w:rPr>
              <w:t>2021年4月购进设备及施工准备；</w:t>
            </w:r>
          </w:p>
          <w:p w14:paraId="2533E737">
            <w:pPr>
              <w:pStyle w:val="20"/>
              <w:spacing w:after="0" w:line="480" w:lineRule="exact"/>
              <w:ind w:firstLine="520"/>
              <w:rPr>
                <w:rFonts w:hint="default"/>
                <w:color w:val="auto"/>
                <w:highlight w:val="none"/>
                <w:lang w:val="en-US" w:eastAsia="zh-CN"/>
              </w:rPr>
            </w:pPr>
            <w:r>
              <w:rPr>
                <w:rFonts w:hint="eastAsia"/>
                <w:color w:val="auto"/>
                <w:highlight w:val="none"/>
                <w:lang w:val="en-US" w:eastAsia="zh-CN"/>
              </w:rPr>
              <w:t>2021年4月~2021年9月完成项目的基建工作。</w:t>
            </w:r>
          </w:p>
          <w:p w14:paraId="5BEDF889">
            <w:pPr>
              <w:tabs>
                <w:tab w:val="left" w:pos="2395"/>
              </w:tabs>
              <w:spacing w:line="360" w:lineRule="auto"/>
              <w:ind w:left="0" w:leftChars="0" w:right="130" w:rightChars="50" w:firstLine="0" w:firstLineChars="0"/>
              <w:rPr>
                <w:rFonts w:hint="eastAsia" w:ascii="Times New Roman" w:hAnsi="Times New Roman"/>
                <w:b/>
                <w:bCs/>
                <w:color w:val="auto"/>
                <w:sz w:val="28"/>
                <w:szCs w:val="28"/>
                <w:highlight w:val="none"/>
                <w:lang w:val="en-US" w:eastAsia="zh-CN"/>
              </w:rPr>
            </w:pPr>
            <w:bookmarkStart w:id="24" w:name="_Toc199403634"/>
            <w:bookmarkStart w:id="25" w:name="_Toc377740333"/>
            <w:bookmarkStart w:id="26" w:name="_Toc117591043"/>
            <w:bookmarkStart w:id="27" w:name="_Toc57045397"/>
            <w:bookmarkStart w:id="28" w:name="_Toc124159339"/>
            <w:bookmarkStart w:id="29" w:name="_Toc48969136"/>
            <w:bookmarkStart w:id="30" w:name="_Toc229999747"/>
            <w:bookmarkStart w:id="31" w:name="_Toc229998657"/>
            <w:r>
              <w:rPr>
                <w:rFonts w:hint="eastAsia"/>
                <w:b/>
                <w:bCs/>
                <w:color w:val="auto"/>
                <w:sz w:val="28"/>
                <w:szCs w:val="28"/>
                <w:highlight w:val="none"/>
                <w:lang w:val="en-US" w:eastAsia="zh-CN"/>
              </w:rPr>
              <w:t>9</w:t>
            </w:r>
            <w:r>
              <w:rPr>
                <w:rFonts w:hint="eastAsia" w:ascii="Times New Roman" w:hAnsi="Times New Roman"/>
                <w:b/>
                <w:bCs/>
                <w:color w:val="auto"/>
                <w:sz w:val="28"/>
                <w:szCs w:val="28"/>
                <w:highlight w:val="none"/>
                <w:lang w:val="en-US" w:eastAsia="zh-CN"/>
              </w:rPr>
              <w:t>劳动定员</w:t>
            </w:r>
            <w:bookmarkEnd w:id="24"/>
            <w:bookmarkEnd w:id="25"/>
            <w:bookmarkEnd w:id="26"/>
            <w:bookmarkEnd w:id="27"/>
            <w:bookmarkEnd w:id="28"/>
            <w:bookmarkEnd w:id="29"/>
            <w:bookmarkEnd w:id="30"/>
            <w:bookmarkEnd w:id="31"/>
          </w:p>
          <w:p w14:paraId="14D29736">
            <w:pPr>
              <w:ind w:firstLine="560"/>
              <w:rPr>
                <w:color w:val="auto"/>
                <w:highlight w:val="none"/>
                <w:lang w:val="zh-CN"/>
              </w:rPr>
            </w:pPr>
            <w:r>
              <w:rPr>
                <w:color w:val="auto"/>
                <w:highlight w:val="none"/>
              </w:rPr>
              <w:t>本企业年工作日3</w:t>
            </w:r>
            <w:r>
              <w:rPr>
                <w:rFonts w:hint="eastAsia"/>
                <w:color w:val="auto"/>
                <w:highlight w:val="none"/>
              </w:rPr>
              <w:t>0</w:t>
            </w:r>
            <w:r>
              <w:rPr>
                <w:color w:val="auto"/>
                <w:highlight w:val="none"/>
              </w:rPr>
              <w:t>0天，每天一班，工作制度为8小时。</w:t>
            </w:r>
            <w:r>
              <w:rPr>
                <w:color w:val="auto"/>
                <w:highlight w:val="none"/>
                <w:lang w:val="zh-CN"/>
              </w:rPr>
              <w:t>根据矿山的工作制度和设备运转需要。在册职工总数为</w:t>
            </w:r>
            <w:r>
              <w:rPr>
                <w:rFonts w:hint="eastAsia"/>
                <w:color w:val="auto"/>
                <w:highlight w:val="none"/>
                <w:lang w:val="zh-CN"/>
              </w:rPr>
              <w:t>33</w:t>
            </w:r>
            <w:r>
              <w:rPr>
                <w:color w:val="auto"/>
                <w:highlight w:val="none"/>
                <w:lang w:val="zh-CN"/>
              </w:rPr>
              <w:t>人，企业可根据生产发展和实际需要增减相应部门和岗位职工人数。劳动定员见表</w:t>
            </w:r>
            <w:r>
              <w:rPr>
                <w:rFonts w:hint="eastAsia"/>
                <w:color w:val="auto"/>
                <w:highlight w:val="none"/>
                <w:lang w:val="en-US" w:eastAsia="zh-CN"/>
              </w:rPr>
              <w:t>1-9</w:t>
            </w:r>
            <w:r>
              <w:rPr>
                <w:color w:val="auto"/>
                <w:highlight w:val="none"/>
                <w:lang w:val="zh-CN"/>
              </w:rPr>
              <w:t>。</w:t>
            </w:r>
          </w:p>
          <w:p w14:paraId="1918D072">
            <w:pPr>
              <w:ind w:firstLine="560"/>
              <w:jc w:val="center"/>
              <w:rPr>
                <w:b/>
                <w:bCs/>
                <w:color w:val="auto"/>
                <w:sz w:val="21"/>
                <w:szCs w:val="21"/>
                <w:highlight w:val="none"/>
                <w:lang w:val="zh-CN"/>
              </w:rPr>
            </w:pPr>
            <w:r>
              <w:rPr>
                <w:b/>
                <w:bCs/>
                <w:color w:val="auto"/>
                <w:sz w:val="21"/>
                <w:szCs w:val="21"/>
                <w:highlight w:val="none"/>
                <w:lang w:val="zh-CN"/>
              </w:rPr>
              <w:t>表</w:t>
            </w:r>
            <w:r>
              <w:rPr>
                <w:rFonts w:hint="eastAsia"/>
                <w:b/>
                <w:bCs/>
                <w:color w:val="auto"/>
                <w:sz w:val="21"/>
                <w:szCs w:val="21"/>
                <w:highlight w:val="none"/>
                <w:lang w:val="en-US" w:eastAsia="zh-CN"/>
              </w:rPr>
              <w:t>1-9</w:t>
            </w:r>
            <w:r>
              <w:rPr>
                <w:rFonts w:hint="eastAsia"/>
                <w:b/>
                <w:bCs/>
                <w:color w:val="auto"/>
                <w:sz w:val="21"/>
                <w:szCs w:val="21"/>
                <w:highlight w:val="none"/>
                <w:lang w:val="zh-CN"/>
              </w:rPr>
              <w:t xml:space="preserve">  </w:t>
            </w:r>
            <w:r>
              <w:rPr>
                <w:b/>
                <w:bCs/>
                <w:color w:val="auto"/>
                <w:sz w:val="21"/>
                <w:szCs w:val="21"/>
                <w:highlight w:val="none"/>
                <w:lang w:val="zh-CN"/>
              </w:rPr>
              <w:t>劳动定员表</w:t>
            </w:r>
          </w:p>
          <w:tbl>
            <w:tblPr>
              <w:tblStyle w:val="22"/>
              <w:tblW w:w="4998" w:type="pct"/>
              <w:jc w:val="center"/>
              <w:tblLayout w:type="autofit"/>
              <w:tblCellMar>
                <w:top w:w="0" w:type="dxa"/>
                <w:left w:w="108" w:type="dxa"/>
                <w:bottom w:w="0" w:type="dxa"/>
                <w:right w:w="108" w:type="dxa"/>
              </w:tblCellMar>
            </w:tblPr>
            <w:tblGrid>
              <w:gridCol w:w="1221"/>
              <w:gridCol w:w="5017"/>
              <w:gridCol w:w="2065"/>
            </w:tblGrid>
            <w:tr w14:paraId="00AA5226">
              <w:tblPrEx>
                <w:tblCellMar>
                  <w:top w:w="0" w:type="dxa"/>
                  <w:left w:w="108" w:type="dxa"/>
                  <w:bottom w:w="0" w:type="dxa"/>
                  <w:right w:w="108" w:type="dxa"/>
                </w:tblCellMar>
              </w:tblPrEx>
              <w:trPr>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5191F801">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rPr>
                  </w:pPr>
                  <w:r>
                    <w:rPr>
                      <w:rFonts w:ascii="Times New Roman" w:hAnsi="Times New Roman"/>
                      <w:color w:val="auto"/>
                      <w:sz w:val="22"/>
                      <w:szCs w:val="22"/>
                      <w:highlight w:val="none"/>
                      <w:lang w:val="zh-CN"/>
                    </w:rPr>
                    <w:t>序号</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3E421FFB">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rPr>
                  </w:pPr>
                  <w:r>
                    <w:rPr>
                      <w:rFonts w:ascii="Times New Roman" w:hAnsi="Times New Roman"/>
                      <w:color w:val="auto"/>
                      <w:sz w:val="22"/>
                      <w:szCs w:val="22"/>
                      <w:highlight w:val="none"/>
                      <w:lang w:val="zh-CN"/>
                    </w:rPr>
                    <w:t>人员配置</w:t>
                  </w:r>
                </w:p>
              </w:tc>
              <w:tc>
                <w:tcPr>
                  <w:tcW w:w="1243" w:type="pct"/>
                  <w:tcBorders>
                    <w:top w:val="single" w:color="auto" w:sz="6" w:space="0"/>
                    <w:left w:val="single" w:color="auto" w:sz="6" w:space="0"/>
                    <w:bottom w:val="single" w:color="auto" w:sz="6" w:space="0"/>
                    <w:right w:val="single" w:color="auto" w:sz="6" w:space="0"/>
                  </w:tcBorders>
                  <w:noWrap w:val="0"/>
                  <w:vAlign w:val="center"/>
                </w:tcPr>
                <w:p w14:paraId="2A18FFCF">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rPr>
                  </w:pPr>
                  <w:r>
                    <w:rPr>
                      <w:rFonts w:ascii="Times New Roman" w:hAnsi="Times New Roman"/>
                      <w:color w:val="auto"/>
                      <w:sz w:val="22"/>
                      <w:szCs w:val="22"/>
                      <w:highlight w:val="none"/>
                      <w:lang w:val="zh-CN"/>
                    </w:rPr>
                    <w:t>基本定员</w:t>
                  </w:r>
                </w:p>
              </w:tc>
            </w:tr>
            <w:tr w14:paraId="31434AC7">
              <w:tblPrEx>
                <w:tblCellMar>
                  <w:top w:w="0" w:type="dxa"/>
                  <w:left w:w="108" w:type="dxa"/>
                  <w:bottom w:w="0" w:type="dxa"/>
                  <w:right w:w="108" w:type="dxa"/>
                </w:tblCellMar>
              </w:tblPrEx>
              <w:trPr>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07820540">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一</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441B6692">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b/>
                      <w:bCs/>
                      <w:color w:val="auto"/>
                      <w:sz w:val="22"/>
                      <w:szCs w:val="22"/>
                      <w:highlight w:val="none"/>
                      <w:lang w:val="zh-CN"/>
                    </w:rPr>
                  </w:pPr>
                  <w:r>
                    <w:rPr>
                      <w:rFonts w:ascii="Times New Roman" w:hAnsi="Times New Roman"/>
                      <w:color w:val="auto"/>
                      <w:sz w:val="22"/>
                      <w:szCs w:val="22"/>
                      <w:highlight w:val="none"/>
                      <w:lang w:val="zh-CN"/>
                    </w:rPr>
                    <w:t>采矿工作人员</w:t>
                  </w:r>
                </w:p>
              </w:tc>
              <w:tc>
                <w:tcPr>
                  <w:tcW w:w="1243" w:type="pct"/>
                  <w:tcBorders>
                    <w:top w:val="single" w:color="auto" w:sz="6" w:space="0"/>
                    <w:left w:val="single" w:color="auto" w:sz="6" w:space="0"/>
                    <w:bottom w:val="single" w:color="auto" w:sz="6" w:space="0"/>
                    <w:right w:val="single" w:color="auto" w:sz="6" w:space="0"/>
                  </w:tcBorders>
                  <w:noWrap w:val="0"/>
                  <w:vAlign w:val="center"/>
                </w:tcPr>
                <w:p w14:paraId="0DE02AF7">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hint="eastAsia" w:ascii="Times New Roman" w:hAnsi="Times New Roman"/>
                      <w:color w:val="auto"/>
                      <w:sz w:val="22"/>
                      <w:szCs w:val="22"/>
                      <w:highlight w:val="none"/>
                      <w:lang w:val="zh-CN"/>
                    </w:rPr>
                    <w:t>15</w:t>
                  </w:r>
                </w:p>
              </w:tc>
            </w:tr>
            <w:tr w14:paraId="1D9C9FEE">
              <w:tblPrEx>
                <w:tblCellMar>
                  <w:top w:w="0" w:type="dxa"/>
                  <w:left w:w="108" w:type="dxa"/>
                  <w:bottom w:w="0" w:type="dxa"/>
                  <w:right w:w="108" w:type="dxa"/>
                </w:tblCellMar>
              </w:tblPrEx>
              <w:trPr>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72F90758">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二</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6ACF0393">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后勤服务部</w:t>
                  </w:r>
                </w:p>
              </w:tc>
              <w:tc>
                <w:tcPr>
                  <w:tcW w:w="1243" w:type="pct"/>
                  <w:tcBorders>
                    <w:top w:val="single" w:color="auto" w:sz="6" w:space="0"/>
                    <w:left w:val="single" w:color="auto" w:sz="6" w:space="0"/>
                    <w:bottom w:val="single" w:color="auto" w:sz="6" w:space="0"/>
                    <w:right w:val="single" w:color="auto" w:sz="6" w:space="0"/>
                  </w:tcBorders>
                  <w:noWrap w:val="0"/>
                  <w:vAlign w:val="center"/>
                </w:tcPr>
                <w:p w14:paraId="59BED5A7">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hint="eastAsia" w:ascii="Times New Roman" w:hAnsi="Times New Roman"/>
                      <w:color w:val="auto"/>
                      <w:sz w:val="22"/>
                      <w:szCs w:val="22"/>
                      <w:highlight w:val="none"/>
                      <w:lang w:val="zh-CN"/>
                    </w:rPr>
                    <w:t>5</w:t>
                  </w:r>
                </w:p>
              </w:tc>
            </w:tr>
            <w:tr w14:paraId="3BC7EC31">
              <w:tblPrEx>
                <w:tblCellMar>
                  <w:top w:w="0" w:type="dxa"/>
                  <w:left w:w="108" w:type="dxa"/>
                  <w:bottom w:w="0" w:type="dxa"/>
                  <w:right w:w="108" w:type="dxa"/>
                </w:tblCellMar>
              </w:tblPrEx>
              <w:trPr>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660ADB98">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三</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1168FA61">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管理人员</w:t>
                  </w:r>
                </w:p>
              </w:tc>
              <w:tc>
                <w:tcPr>
                  <w:tcW w:w="1243" w:type="pct"/>
                  <w:tcBorders>
                    <w:top w:val="single" w:color="auto" w:sz="6" w:space="0"/>
                    <w:left w:val="single" w:color="auto" w:sz="6" w:space="0"/>
                    <w:bottom w:val="single" w:color="auto" w:sz="6" w:space="0"/>
                    <w:right w:val="single" w:color="auto" w:sz="6" w:space="0"/>
                  </w:tcBorders>
                  <w:noWrap w:val="0"/>
                  <w:vAlign w:val="center"/>
                </w:tcPr>
                <w:p w14:paraId="34FD31B4">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3</w:t>
                  </w:r>
                </w:p>
              </w:tc>
            </w:tr>
            <w:tr w14:paraId="168DA805">
              <w:tblPrEx>
                <w:tblCellMar>
                  <w:top w:w="0" w:type="dxa"/>
                  <w:left w:w="108" w:type="dxa"/>
                  <w:bottom w:w="0" w:type="dxa"/>
                  <w:right w:w="108" w:type="dxa"/>
                </w:tblCellMar>
              </w:tblPrEx>
              <w:trPr>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0DA6A9D5">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四</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587CB403">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破碎筛分</w:t>
                  </w:r>
                </w:p>
              </w:tc>
              <w:tc>
                <w:tcPr>
                  <w:tcW w:w="1243" w:type="pct"/>
                  <w:tcBorders>
                    <w:top w:val="single" w:color="auto" w:sz="6" w:space="0"/>
                    <w:left w:val="single" w:color="auto" w:sz="6" w:space="0"/>
                    <w:bottom w:val="single" w:color="auto" w:sz="6" w:space="0"/>
                    <w:right w:val="single" w:color="auto" w:sz="6" w:space="0"/>
                  </w:tcBorders>
                  <w:noWrap w:val="0"/>
                  <w:vAlign w:val="center"/>
                </w:tcPr>
                <w:p w14:paraId="109B1092">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hint="eastAsia" w:ascii="Times New Roman" w:hAnsi="Times New Roman"/>
                      <w:color w:val="auto"/>
                      <w:sz w:val="22"/>
                      <w:szCs w:val="22"/>
                      <w:highlight w:val="none"/>
                      <w:lang w:val="zh-CN"/>
                    </w:rPr>
                    <w:t>10</w:t>
                  </w:r>
                </w:p>
              </w:tc>
            </w:tr>
            <w:tr w14:paraId="679F9166">
              <w:tblPrEx>
                <w:tblCellMar>
                  <w:top w:w="0" w:type="dxa"/>
                  <w:left w:w="108" w:type="dxa"/>
                  <w:bottom w:w="0" w:type="dxa"/>
                  <w:right w:w="108" w:type="dxa"/>
                </w:tblCellMar>
              </w:tblPrEx>
              <w:trPr>
                <w:trHeight w:val="254" w:hRule="atLeast"/>
                <w:jc w:val="center"/>
              </w:trPr>
              <w:tc>
                <w:tcPr>
                  <w:tcW w:w="735" w:type="pct"/>
                  <w:tcBorders>
                    <w:top w:val="single" w:color="auto" w:sz="6" w:space="0"/>
                    <w:left w:val="single" w:color="auto" w:sz="6" w:space="0"/>
                    <w:bottom w:val="single" w:color="auto" w:sz="6" w:space="0"/>
                    <w:right w:val="single" w:color="auto" w:sz="6" w:space="0"/>
                  </w:tcBorders>
                  <w:noWrap w:val="0"/>
                  <w:vAlign w:val="center"/>
                </w:tcPr>
                <w:p w14:paraId="3F6DA976">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ascii="Times New Roman" w:hAnsi="Times New Roman"/>
                      <w:color w:val="auto"/>
                      <w:sz w:val="22"/>
                      <w:szCs w:val="22"/>
                      <w:highlight w:val="none"/>
                      <w:lang w:val="zh-CN"/>
                    </w:rPr>
                    <w:t>合计</w:t>
                  </w:r>
                </w:p>
              </w:tc>
              <w:tc>
                <w:tcPr>
                  <w:tcW w:w="3020" w:type="pct"/>
                  <w:tcBorders>
                    <w:top w:val="single" w:color="auto" w:sz="6" w:space="0"/>
                    <w:left w:val="single" w:color="auto" w:sz="6" w:space="0"/>
                    <w:bottom w:val="single" w:color="auto" w:sz="6" w:space="0"/>
                    <w:right w:val="single" w:color="auto" w:sz="6" w:space="0"/>
                  </w:tcBorders>
                  <w:noWrap w:val="0"/>
                  <w:vAlign w:val="center"/>
                </w:tcPr>
                <w:p w14:paraId="2E3154C9">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b/>
                      <w:bCs/>
                      <w:color w:val="auto"/>
                      <w:sz w:val="22"/>
                      <w:szCs w:val="22"/>
                      <w:highlight w:val="none"/>
                      <w:lang w:val="zh-CN"/>
                    </w:rPr>
                  </w:pPr>
                </w:p>
              </w:tc>
              <w:tc>
                <w:tcPr>
                  <w:tcW w:w="1243" w:type="pct"/>
                  <w:tcBorders>
                    <w:top w:val="single" w:color="auto" w:sz="6" w:space="0"/>
                    <w:left w:val="single" w:color="auto" w:sz="6" w:space="0"/>
                    <w:bottom w:val="single" w:color="auto" w:sz="6" w:space="0"/>
                    <w:right w:val="single" w:color="auto" w:sz="6" w:space="0"/>
                  </w:tcBorders>
                  <w:noWrap w:val="0"/>
                  <w:vAlign w:val="center"/>
                </w:tcPr>
                <w:p w14:paraId="5B73315B">
                  <w:pPr>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center"/>
                    <w:textAlignment w:val="auto"/>
                    <w:rPr>
                      <w:rFonts w:ascii="Times New Roman" w:hAnsi="Times New Roman"/>
                      <w:color w:val="auto"/>
                      <w:sz w:val="22"/>
                      <w:szCs w:val="22"/>
                      <w:highlight w:val="none"/>
                      <w:lang w:val="zh-CN"/>
                    </w:rPr>
                  </w:pPr>
                  <w:r>
                    <w:rPr>
                      <w:rFonts w:hint="eastAsia" w:ascii="Times New Roman" w:hAnsi="Times New Roman"/>
                      <w:color w:val="auto"/>
                      <w:sz w:val="22"/>
                      <w:szCs w:val="22"/>
                      <w:highlight w:val="none"/>
                      <w:lang w:val="zh-CN"/>
                    </w:rPr>
                    <w:t>33</w:t>
                  </w:r>
                </w:p>
              </w:tc>
            </w:tr>
          </w:tbl>
          <w:p w14:paraId="623CE882">
            <w:pPr>
              <w:tabs>
                <w:tab w:val="left" w:pos="2395"/>
              </w:tabs>
              <w:spacing w:line="360" w:lineRule="auto"/>
              <w:ind w:left="0" w:leftChars="0" w:right="130" w:rightChars="50" w:firstLine="0" w:firstLineChars="0"/>
              <w:rPr>
                <w:rFonts w:hint="eastAsia" w:ascii="Times New Roman" w:hAnsi="Times New Roman"/>
                <w:b/>
                <w:bCs/>
                <w:color w:val="auto"/>
                <w:sz w:val="28"/>
                <w:szCs w:val="28"/>
                <w:highlight w:val="none"/>
                <w:lang w:val="en-US" w:eastAsia="zh-CN"/>
              </w:rPr>
            </w:pPr>
            <w:bookmarkStart w:id="32" w:name="_Toc57045398"/>
            <w:bookmarkStart w:id="33" w:name="_Toc479751179"/>
            <w:r>
              <w:rPr>
                <w:rFonts w:hint="eastAsia" w:ascii="Times New Roman" w:hAnsi="Times New Roman"/>
                <w:b/>
                <w:bCs/>
                <w:color w:val="auto"/>
                <w:sz w:val="28"/>
                <w:szCs w:val="28"/>
                <w:highlight w:val="none"/>
                <w:lang w:val="en-US" w:eastAsia="zh-CN"/>
              </w:rPr>
              <w:t>10劳动生产率</w:t>
            </w:r>
            <w:bookmarkEnd w:id="32"/>
            <w:bookmarkEnd w:id="33"/>
          </w:p>
          <w:p w14:paraId="223746A3">
            <w:pPr>
              <w:ind w:firstLine="560"/>
              <w:rPr>
                <w:color w:val="auto"/>
                <w:highlight w:val="none"/>
                <w:lang w:val="zh-CN"/>
              </w:rPr>
            </w:pPr>
            <w:r>
              <w:rPr>
                <w:rFonts w:hint="eastAsia"/>
                <w:color w:val="auto"/>
                <w:highlight w:val="none"/>
                <w:lang w:val="zh-CN"/>
              </w:rPr>
              <w:t>矿山开采生产规模为30万</w:t>
            </w:r>
            <w:r>
              <w:rPr>
                <w:color w:val="auto"/>
                <w:highlight w:val="none"/>
                <w:lang w:val="zh-CN"/>
              </w:rPr>
              <w:t>t/a</w:t>
            </w:r>
            <w:r>
              <w:rPr>
                <w:rFonts w:hint="eastAsia"/>
                <w:color w:val="auto"/>
                <w:highlight w:val="none"/>
                <w:lang w:val="zh-CN"/>
              </w:rPr>
              <w:t>，生产人员实物劳动生产率为</w:t>
            </w:r>
            <w:r>
              <w:rPr>
                <w:color w:val="auto"/>
                <w:highlight w:val="none"/>
                <w:lang w:val="zh-CN"/>
              </w:rPr>
              <w:fldChar w:fldCharType="begin"/>
            </w:r>
            <w:r>
              <w:rPr>
                <w:color w:val="auto"/>
                <w:highlight w:val="none"/>
                <w:lang w:val="zh-CN"/>
              </w:rPr>
              <w:instrText xml:space="preserve"> 955.75/144 \# "0.00" </w:instrText>
            </w:r>
            <w:r>
              <w:rPr>
                <w:color w:val="auto"/>
                <w:highlight w:val="none"/>
                <w:lang w:val="zh-CN"/>
              </w:rPr>
              <w:fldChar w:fldCharType="end"/>
            </w:r>
            <w:r>
              <w:rPr>
                <w:rFonts w:hint="eastAsia"/>
                <w:color w:val="auto"/>
                <w:highlight w:val="none"/>
                <w:lang w:val="zh-CN"/>
              </w:rPr>
              <w:t>12000</w:t>
            </w:r>
            <w:r>
              <w:rPr>
                <w:color w:val="auto"/>
                <w:highlight w:val="none"/>
                <w:lang w:val="zh-CN"/>
              </w:rPr>
              <w:t>t/</w:t>
            </w:r>
            <w:r>
              <w:rPr>
                <w:rFonts w:hint="eastAsia"/>
                <w:color w:val="auto"/>
                <w:highlight w:val="none"/>
                <w:lang w:val="zh-CN"/>
              </w:rPr>
              <w:t>人</w:t>
            </w:r>
            <w:r>
              <w:rPr>
                <w:color w:val="auto"/>
                <w:highlight w:val="none"/>
                <w:lang w:val="zh-CN"/>
              </w:rPr>
              <w:t>·a</w:t>
            </w:r>
            <w:r>
              <w:rPr>
                <w:rFonts w:hint="eastAsia"/>
                <w:color w:val="auto"/>
                <w:highlight w:val="none"/>
                <w:lang w:val="zh-CN"/>
              </w:rPr>
              <w:t>，全厂人员实物劳动生产率为9090</w:t>
            </w:r>
            <w:r>
              <w:rPr>
                <w:color w:val="auto"/>
                <w:highlight w:val="none"/>
                <w:lang w:val="zh-CN"/>
              </w:rPr>
              <w:t>t/</w:t>
            </w:r>
            <w:r>
              <w:rPr>
                <w:rFonts w:hint="eastAsia"/>
                <w:color w:val="auto"/>
                <w:highlight w:val="none"/>
                <w:lang w:val="zh-CN"/>
              </w:rPr>
              <w:t>人</w:t>
            </w:r>
            <w:r>
              <w:rPr>
                <w:color w:val="auto"/>
                <w:highlight w:val="none"/>
                <w:lang w:val="zh-CN"/>
              </w:rPr>
              <w:t>·a</w:t>
            </w:r>
            <w:r>
              <w:rPr>
                <w:rFonts w:hint="eastAsia"/>
                <w:color w:val="auto"/>
                <w:highlight w:val="none"/>
                <w:lang w:val="zh-CN"/>
              </w:rPr>
              <w:t>。</w:t>
            </w:r>
          </w:p>
          <w:p w14:paraId="7B38EF1A">
            <w:pPr>
              <w:ind w:firstLineChars="83"/>
              <w:jc w:val="center"/>
              <w:rPr>
                <w:rFonts w:hint="eastAsia" w:ascii="宋体" w:hAnsi="宋体"/>
                <w:b/>
                <w:color w:val="auto"/>
                <w:sz w:val="21"/>
                <w:szCs w:val="21"/>
                <w:highlight w:val="none"/>
              </w:rPr>
            </w:pPr>
            <w:r>
              <w:rPr>
                <w:rFonts w:hint="eastAsia" w:ascii="宋体" w:hAnsi="宋体"/>
                <w:b/>
                <w:color w:val="auto"/>
                <w:sz w:val="21"/>
                <w:szCs w:val="21"/>
                <w:highlight w:val="none"/>
              </w:rPr>
              <w:t>表</w:t>
            </w:r>
            <w:r>
              <w:rPr>
                <w:rFonts w:hint="eastAsia" w:ascii="宋体" w:hAnsi="宋体"/>
                <w:b/>
                <w:color w:val="auto"/>
                <w:sz w:val="21"/>
                <w:szCs w:val="21"/>
                <w:highlight w:val="none"/>
                <w:lang w:val="en-US" w:eastAsia="zh-CN"/>
              </w:rPr>
              <w:t>1-10</w:t>
            </w:r>
            <w:r>
              <w:rPr>
                <w:rFonts w:hint="eastAsia" w:ascii="宋体" w:hAnsi="宋体"/>
                <w:b/>
                <w:color w:val="auto"/>
                <w:sz w:val="21"/>
                <w:szCs w:val="21"/>
                <w:highlight w:val="none"/>
              </w:rPr>
              <w:t xml:space="preserve">   综合技术经济指标表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070"/>
              <w:gridCol w:w="888"/>
              <w:gridCol w:w="2511"/>
              <w:gridCol w:w="1739"/>
            </w:tblGrid>
            <w:tr w14:paraId="339A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1CF644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序号</w:t>
                  </w:r>
                </w:p>
              </w:tc>
              <w:tc>
                <w:tcPr>
                  <w:tcW w:w="1247" w:type="pct"/>
                  <w:noWrap w:val="0"/>
                  <w:vAlign w:val="center"/>
                </w:tcPr>
                <w:p w14:paraId="015D8E3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指标名称</w:t>
                  </w:r>
                </w:p>
              </w:tc>
              <w:tc>
                <w:tcPr>
                  <w:tcW w:w="535" w:type="pct"/>
                  <w:noWrap w:val="0"/>
                  <w:vAlign w:val="center"/>
                </w:tcPr>
                <w:p w14:paraId="369AB50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单位</w:t>
                  </w:r>
                </w:p>
              </w:tc>
              <w:tc>
                <w:tcPr>
                  <w:tcW w:w="1513" w:type="pct"/>
                  <w:noWrap w:val="0"/>
                  <w:vAlign w:val="center"/>
                </w:tcPr>
                <w:p w14:paraId="57C4145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数量</w:t>
                  </w:r>
                </w:p>
              </w:tc>
              <w:tc>
                <w:tcPr>
                  <w:tcW w:w="1048" w:type="pct"/>
                  <w:noWrap w:val="0"/>
                  <w:vAlign w:val="center"/>
                </w:tcPr>
                <w:p w14:paraId="65CACA6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备注</w:t>
                  </w:r>
                </w:p>
              </w:tc>
            </w:tr>
            <w:tr w14:paraId="4AD8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876E55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一</w:t>
                  </w:r>
                </w:p>
              </w:tc>
              <w:tc>
                <w:tcPr>
                  <w:tcW w:w="1247" w:type="pct"/>
                  <w:noWrap w:val="0"/>
                  <w:vAlign w:val="center"/>
                </w:tcPr>
                <w:p w14:paraId="425D682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地质资源及储量</w:t>
                  </w:r>
                </w:p>
              </w:tc>
              <w:tc>
                <w:tcPr>
                  <w:tcW w:w="535" w:type="pct"/>
                  <w:noWrap w:val="0"/>
                  <w:vAlign w:val="center"/>
                </w:tcPr>
                <w:p w14:paraId="4BCC845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55A477E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2372FB2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00B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B9EBDC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247" w:type="pct"/>
                  <w:noWrap w:val="0"/>
                  <w:vAlign w:val="center"/>
                </w:tcPr>
                <w:p w14:paraId="58D22E9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保有矿石量</w:t>
                  </w:r>
                </w:p>
              </w:tc>
              <w:tc>
                <w:tcPr>
                  <w:tcW w:w="535" w:type="pct"/>
                  <w:noWrap w:val="0"/>
                  <w:vAlign w:val="center"/>
                </w:tcPr>
                <w:p w14:paraId="747D8AE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万t</w:t>
                  </w:r>
                </w:p>
              </w:tc>
              <w:tc>
                <w:tcPr>
                  <w:tcW w:w="1513" w:type="pct"/>
                  <w:noWrap w:val="0"/>
                  <w:vAlign w:val="center"/>
                </w:tcPr>
                <w:p w14:paraId="47FD56E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sz w:val="22"/>
                      <w:szCs w:val="22"/>
                      <w:highlight w:val="none"/>
                    </w:rPr>
                    <w:t>2253.22</w:t>
                  </w:r>
                </w:p>
              </w:tc>
              <w:tc>
                <w:tcPr>
                  <w:tcW w:w="1048" w:type="pct"/>
                  <w:noWrap w:val="0"/>
                  <w:vAlign w:val="center"/>
                </w:tcPr>
                <w:p w14:paraId="7930D64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2557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7C3492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247" w:type="pct"/>
                  <w:noWrap w:val="0"/>
                  <w:vAlign w:val="center"/>
                </w:tcPr>
                <w:p w14:paraId="375D4C1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设计利用资源量</w:t>
                  </w:r>
                </w:p>
              </w:tc>
              <w:tc>
                <w:tcPr>
                  <w:tcW w:w="535" w:type="pct"/>
                  <w:noWrap w:val="0"/>
                  <w:vAlign w:val="center"/>
                </w:tcPr>
                <w:p w14:paraId="5A0C4A1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万t</w:t>
                  </w:r>
                </w:p>
              </w:tc>
              <w:tc>
                <w:tcPr>
                  <w:tcW w:w="1513" w:type="pct"/>
                  <w:noWrap w:val="0"/>
                  <w:vAlign w:val="center"/>
                </w:tcPr>
                <w:p w14:paraId="62886DF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661.96</w:t>
                  </w:r>
                </w:p>
              </w:tc>
              <w:tc>
                <w:tcPr>
                  <w:tcW w:w="1048" w:type="pct"/>
                  <w:noWrap w:val="0"/>
                  <w:vAlign w:val="center"/>
                </w:tcPr>
                <w:p w14:paraId="344171E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资源可信度</w:t>
                  </w:r>
                  <w:r>
                    <w:rPr>
                      <w:rFonts w:hint="eastAsia" w:ascii="Times New Roman" w:hAnsi="Times New Roman" w:cs="Times New Roman"/>
                      <w:color w:val="auto"/>
                      <w:sz w:val="22"/>
                      <w:szCs w:val="22"/>
                      <w:highlight w:val="none"/>
                    </w:rPr>
                    <w:t>系数取</w:t>
                  </w:r>
                  <w:r>
                    <w:rPr>
                      <w:rFonts w:hint="eastAsia" w:ascii="Times New Roman" w:hAnsi="Times New Roman" w:cs="Times New Roman"/>
                      <w:color w:val="auto"/>
                      <w:kern w:val="0"/>
                      <w:sz w:val="22"/>
                      <w:szCs w:val="22"/>
                      <w:highlight w:val="none"/>
                    </w:rPr>
                    <w:t>1</w:t>
                  </w:r>
                </w:p>
              </w:tc>
            </w:tr>
            <w:tr w14:paraId="4095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6F60D0D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w:t>
                  </w:r>
                </w:p>
              </w:tc>
              <w:tc>
                <w:tcPr>
                  <w:tcW w:w="1247" w:type="pct"/>
                  <w:noWrap w:val="0"/>
                  <w:vAlign w:val="center"/>
                </w:tcPr>
                <w:p w14:paraId="2FA40A7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采出矿石量</w:t>
                  </w:r>
                </w:p>
              </w:tc>
              <w:tc>
                <w:tcPr>
                  <w:tcW w:w="535" w:type="pct"/>
                  <w:noWrap w:val="0"/>
                  <w:vAlign w:val="center"/>
                </w:tcPr>
                <w:p w14:paraId="5D65542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万t</w:t>
                  </w:r>
                </w:p>
              </w:tc>
              <w:tc>
                <w:tcPr>
                  <w:tcW w:w="1513" w:type="pct"/>
                  <w:noWrap w:val="0"/>
                  <w:vAlign w:val="center"/>
                </w:tcPr>
                <w:p w14:paraId="7D20E06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628.86</w:t>
                  </w:r>
                </w:p>
              </w:tc>
              <w:tc>
                <w:tcPr>
                  <w:tcW w:w="1048" w:type="pct"/>
                  <w:noWrap w:val="0"/>
                  <w:vAlign w:val="center"/>
                </w:tcPr>
                <w:p w14:paraId="2436157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r>
            <w:tr w14:paraId="2DE1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61DC46C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二</w:t>
                  </w:r>
                </w:p>
              </w:tc>
              <w:tc>
                <w:tcPr>
                  <w:tcW w:w="1247" w:type="pct"/>
                  <w:noWrap w:val="0"/>
                  <w:vAlign w:val="center"/>
                </w:tcPr>
                <w:p w14:paraId="58D8A66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采矿</w:t>
                  </w:r>
                </w:p>
              </w:tc>
              <w:tc>
                <w:tcPr>
                  <w:tcW w:w="535" w:type="pct"/>
                  <w:noWrap w:val="0"/>
                  <w:vAlign w:val="center"/>
                </w:tcPr>
                <w:p w14:paraId="1EE56F3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70403A8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33BDE7F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E69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3C1D8D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247" w:type="pct"/>
                  <w:noWrap w:val="0"/>
                  <w:vAlign w:val="center"/>
                </w:tcPr>
                <w:p w14:paraId="128ECDF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开采方式</w:t>
                  </w:r>
                </w:p>
              </w:tc>
              <w:tc>
                <w:tcPr>
                  <w:tcW w:w="535" w:type="pct"/>
                  <w:noWrap w:val="0"/>
                  <w:vAlign w:val="center"/>
                </w:tcPr>
                <w:p w14:paraId="046CC7E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2A564DA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露天开采</w:t>
                  </w:r>
                </w:p>
              </w:tc>
              <w:tc>
                <w:tcPr>
                  <w:tcW w:w="1048" w:type="pct"/>
                  <w:noWrap w:val="0"/>
                  <w:vAlign w:val="center"/>
                </w:tcPr>
                <w:p w14:paraId="3206A92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0376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A57B55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247" w:type="pct"/>
                  <w:noWrap w:val="0"/>
                  <w:vAlign w:val="center"/>
                </w:tcPr>
                <w:p w14:paraId="7179AE2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开拓方式</w:t>
                  </w:r>
                </w:p>
              </w:tc>
              <w:tc>
                <w:tcPr>
                  <w:tcW w:w="535" w:type="pct"/>
                  <w:noWrap w:val="0"/>
                  <w:vAlign w:val="center"/>
                </w:tcPr>
                <w:p w14:paraId="0B3E850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419135F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移动坑线公路开拓-汽车运输</w:t>
                  </w:r>
                </w:p>
              </w:tc>
              <w:tc>
                <w:tcPr>
                  <w:tcW w:w="1048" w:type="pct"/>
                  <w:noWrap w:val="0"/>
                  <w:vAlign w:val="center"/>
                </w:tcPr>
                <w:p w14:paraId="0E245B0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9DA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67E633F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w:t>
                  </w:r>
                </w:p>
              </w:tc>
              <w:tc>
                <w:tcPr>
                  <w:tcW w:w="1247" w:type="pct"/>
                  <w:noWrap w:val="0"/>
                  <w:vAlign w:val="center"/>
                </w:tcPr>
                <w:p w14:paraId="2B88704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台阶高度</w:t>
                  </w:r>
                </w:p>
              </w:tc>
              <w:tc>
                <w:tcPr>
                  <w:tcW w:w="535" w:type="pct"/>
                  <w:noWrap w:val="0"/>
                  <w:vAlign w:val="center"/>
                </w:tcPr>
                <w:p w14:paraId="3190983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w:t>
                  </w:r>
                </w:p>
              </w:tc>
              <w:tc>
                <w:tcPr>
                  <w:tcW w:w="1513" w:type="pct"/>
                  <w:noWrap w:val="0"/>
                  <w:vAlign w:val="center"/>
                </w:tcPr>
                <w:p w14:paraId="2391CB9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10</w:t>
                  </w:r>
                </w:p>
              </w:tc>
              <w:tc>
                <w:tcPr>
                  <w:tcW w:w="1048" w:type="pct"/>
                  <w:noWrap w:val="0"/>
                  <w:vAlign w:val="center"/>
                </w:tcPr>
                <w:p w14:paraId="5F5FF61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AE2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9A2841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w:t>
                  </w:r>
                </w:p>
              </w:tc>
              <w:tc>
                <w:tcPr>
                  <w:tcW w:w="1247" w:type="pct"/>
                  <w:noWrap w:val="0"/>
                  <w:vAlign w:val="center"/>
                </w:tcPr>
                <w:p w14:paraId="0D3F655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终了台阶坡面角</w:t>
                  </w:r>
                </w:p>
              </w:tc>
              <w:tc>
                <w:tcPr>
                  <w:tcW w:w="535" w:type="pct"/>
                  <w:noWrap w:val="0"/>
                  <w:vAlign w:val="center"/>
                </w:tcPr>
                <w:p w14:paraId="65E43B2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度</w:t>
                  </w:r>
                </w:p>
              </w:tc>
              <w:tc>
                <w:tcPr>
                  <w:tcW w:w="1513" w:type="pct"/>
                  <w:noWrap w:val="0"/>
                  <w:vAlign w:val="center"/>
                </w:tcPr>
                <w:p w14:paraId="221A9EB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65</w:t>
                  </w:r>
                </w:p>
              </w:tc>
              <w:tc>
                <w:tcPr>
                  <w:tcW w:w="1048" w:type="pct"/>
                  <w:noWrap w:val="0"/>
                  <w:vAlign w:val="center"/>
                </w:tcPr>
                <w:p w14:paraId="39D5BF7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8B1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619407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w:t>
                  </w:r>
                </w:p>
              </w:tc>
              <w:tc>
                <w:tcPr>
                  <w:tcW w:w="1247" w:type="pct"/>
                  <w:noWrap w:val="0"/>
                  <w:vAlign w:val="center"/>
                </w:tcPr>
                <w:p w14:paraId="10D9A6C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最终边坡角</w:t>
                  </w:r>
                </w:p>
              </w:tc>
              <w:tc>
                <w:tcPr>
                  <w:tcW w:w="535" w:type="pct"/>
                  <w:noWrap w:val="0"/>
                  <w:vAlign w:val="center"/>
                </w:tcPr>
                <w:p w14:paraId="43640B4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度</w:t>
                  </w:r>
                </w:p>
              </w:tc>
              <w:tc>
                <w:tcPr>
                  <w:tcW w:w="1513" w:type="pct"/>
                  <w:noWrap w:val="0"/>
                  <w:vAlign w:val="center"/>
                </w:tcPr>
                <w:p w14:paraId="25FE8AE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spacing w:val="16"/>
                      <w:kern w:val="0"/>
                      <w:sz w:val="22"/>
                      <w:szCs w:val="22"/>
                      <w:highlight w:val="none"/>
                    </w:rPr>
                    <w:t>50</w:t>
                  </w:r>
                </w:p>
              </w:tc>
              <w:tc>
                <w:tcPr>
                  <w:tcW w:w="1048" w:type="pct"/>
                  <w:noWrap w:val="0"/>
                  <w:vAlign w:val="center"/>
                </w:tcPr>
                <w:p w14:paraId="52DF6FC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BC4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60C3B3C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w:t>
                  </w:r>
                </w:p>
              </w:tc>
              <w:tc>
                <w:tcPr>
                  <w:tcW w:w="1247" w:type="pct"/>
                  <w:noWrap w:val="0"/>
                  <w:vAlign w:val="center"/>
                </w:tcPr>
                <w:p w14:paraId="5941195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安全平台宽</w:t>
                  </w:r>
                </w:p>
              </w:tc>
              <w:tc>
                <w:tcPr>
                  <w:tcW w:w="535" w:type="pct"/>
                  <w:noWrap w:val="0"/>
                  <w:vAlign w:val="center"/>
                </w:tcPr>
                <w:p w14:paraId="318450B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ascii="Times New Roman" w:hAnsi="Times New Roman" w:cs="Times New Roman"/>
                      <w:color w:val="auto"/>
                      <w:kern w:val="0"/>
                      <w:sz w:val="22"/>
                      <w:szCs w:val="22"/>
                      <w:highlight w:val="none"/>
                    </w:rPr>
                    <w:t>m</w:t>
                  </w:r>
                </w:p>
              </w:tc>
              <w:tc>
                <w:tcPr>
                  <w:tcW w:w="1513" w:type="pct"/>
                  <w:noWrap w:val="0"/>
                  <w:vAlign w:val="center"/>
                </w:tcPr>
                <w:p w14:paraId="297DB84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w:t>
                  </w:r>
                </w:p>
              </w:tc>
              <w:tc>
                <w:tcPr>
                  <w:tcW w:w="1048" w:type="pct"/>
                  <w:noWrap w:val="0"/>
                  <w:vAlign w:val="center"/>
                </w:tcPr>
                <w:p w14:paraId="516F302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CEB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4EB6B0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7</w:t>
                  </w:r>
                </w:p>
              </w:tc>
              <w:tc>
                <w:tcPr>
                  <w:tcW w:w="1247" w:type="pct"/>
                  <w:noWrap w:val="0"/>
                  <w:vAlign w:val="center"/>
                </w:tcPr>
                <w:p w14:paraId="1834342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清扫平台宽</w:t>
                  </w:r>
                </w:p>
              </w:tc>
              <w:tc>
                <w:tcPr>
                  <w:tcW w:w="535" w:type="pct"/>
                  <w:noWrap w:val="0"/>
                  <w:vAlign w:val="center"/>
                </w:tcPr>
                <w:p w14:paraId="76C6433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w:t>
                  </w:r>
                </w:p>
              </w:tc>
              <w:tc>
                <w:tcPr>
                  <w:tcW w:w="1513" w:type="pct"/>
                  <w:noWrap w:val="0"/>
                  <w:vAlign w:val="center"/>
                </w:tcPr>
                <w:p w14:paraId="01C5948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6</w:t>
                  </w:r>
                </w:p>
              </w:tc>
              <w:tc>
                <w:tcPr>
                  <w:tcW w:w="1048" w:type="pct"/>
                  <w:noWrap w:val="0"/>
                  <w:vAlign w:val="center"/>
                </w:tcPr>
                <w:p w14:paraId="71A7755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FA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89A618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8</w:t>
                  </w:r>
                </w:p>
              </w:tc>
              <w:tc>
                <w:tcPr>
                  <w:tcW w:w="1247" w:type="pct"/>
                  <w:noWrap w:val="0"/>
                  <w:vAlign w:val="center"/>
                </w:tcPr>
                <w:p w14:paraId="529E63A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最高开采标高</w:t>
                  </w:r>
                </w:p>
              </w:tc>
              <w:tc>
                <w:tcPr>
                  <w:tcW w:w="535" w:type="pct"/>
                  <w:noWrap w:val="0"/>
                  <w:vAlign w:val="center"/>
                </w:tcPr>
                <w:p w14:paraId="06952E5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w:t>
                  </w:r>
                </w:p>
              </w:tc>
              <w:tc>
                <w:tcPr>
                  <w:tcW w:w="1513" w:type="pct"/>
                  <w:noWrap w:val="0"/>
                  <w:vAlign w:val="center"/>
                </w:tcPr>
                <w:p w14:paraId="1428C17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1200</w:t>
                  </w:r>
                </w:p>
              </w:tc>
              <w:tc>
                <w:tcPr>
                  <w:tcW w:w="1048" w:type="pct"/>
                  <w:noWrap w:val="0"/>
                  <w:vAlign w:val="center"/>
                </w:tcPr>
                <w:p w14:paraId="690999A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87E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C7D7F4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9</w:t>
                  </w:r>
                </w:p>
              </w:tc>
              <w:tc>
                <w:tcPr>
                  <w:tcW w:w="1247" w:type="pct"/>
                  <w:noWrap w:val="0"/>
                  <w:vAlign w:val="center"/>
                </w:tcPr>
                <w:p w14:paraId="6889CD5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最低开采标高</w:t>
                  </w:r>
                </w:p>
              </w:tc>
              <w:tc>
                <w:tcPr>
                  <w:tcW w:w="535" w:type="pct"/>
                  <w:noWrap w:val="0"/>
                  <w:vAlign w:val="center"/>
                </w:tcPr>
                <w:p w14:paraId="6F00A63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w:t>
                  </w:r>
                </w:p>
              </w:tc>
              <w:tc>
                <w:tcPr>
                  <w:tcW w:w="1513" w:type="pct"/>
                  <w:noWrap w:val="0"/>
                  <w:vAlign w:val="center"/>
                </w:tcPr>
                <w:p w14:paraId="56B101F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1030</w:t>
                  </w:r>
                </w:p>
              </w:tc>
              <w:tc>
                <w:tcPr>
                  <w:tcW w:w="1048" w:type="pct"/>
                  <w:noWrap w:val="0"/>
                  <w:vAlign w:val="center"/>
                </w:tcPr>
                <w:p w14:paraId="0D54A7F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4F1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69A1A67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10</w:t>
                  </w:r>
                </w:p>
              </w:tc>
              <w:tc>
                <w:tcPr>
                  <w:tcW w:w="1247" w:type="pct"/>
                  <w:noWrap w:val="0"/>
                  <w:vAlign w:val="center"/>
                </w:tcPr>
                <w:p w14:paraId="50642E4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上部开采范围</w:t>
                  </w:r>
                </w:p>
              </w:tc>
              <w:tc>
                <w:tcPr>
                  <w:tcW w:w="535" w:type="pct"/>
                  <w:noWrap w:val="0"/>
                  <w:vAlign w:val="center"/>
                </w:tcPr>
                <w:p w14:paraId="55B91E8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m×m</w:t>
                  </w:r>
                </w:p>
              </w:tc>
              <w:tc>
                <w:tcPr>
                  <w:tcW w:w="1513" w:type="pct"/>
                  <w:noWrap w:val="0"/>
                  <w:vAlign w:val="center"/>
                </w:tcPr>
                <w:p w14:paraId="09A26FD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500</w:t>
                  </w:r>
                  <w:r>
                    <w:rPr>
                      <w:rFonts w:ascii="Times New Roman" w:hAnsi="Times New Roman" w:cs="Times New Roman"/>
                      <w:color w:val="auto"/>
                      <w:kern w:val="0"/>
                      <w:sz w:val="22"/>
                      <w:szCs w:val="22"/>
                      <w:highlight w:val="none"/>
                    </w:rPr>
                    <w:t>m</w:t>
                  </w:r>
                  <w:r>
                    <w:rPr>
                      <w:rFonts w:hint="eastAsia" w:ascii="Times New Roman" w:hAnsi="Times New Roman" w:cs="Times New Roman"/>
                      <w:color w:val="auto"/>
                      <w:kern w:val="0"/>
                      <w:sz w:val="22"/>
                      <w:szCs w:val="22"/>
                      <w:highlight w:val="none"/>
                    </w:rPr>
                    <w:t>×200</w:t>
                  </w:r>
                  <w:r>
                    <w:rPr>
                      <w:rFonts w:ascii="Times New Roman" w:hAnsi="Times New Roman" w:cs="Times New Roman"/>
                      <w:color w:val="auto"/>
                      <w:kern w:val="0"/>
                      <w:sz w:val="22"/>
                      <w:szCs w:val="22"/>
                      <w:highlight w:val="none"/>
                    </w:rPr>
                    <w:t>m</w:t>
                  </w:r>
                </w:p>
              </w:tc>
              <w:tc>
                <w:tcPr>
                  <w:tcW w:w="1048" w:type="pct"/>
                  <w:noWrap w:val="0"/>
                  <w:vAlign w:val="center"/>
                </w:tcPr>
                <w:p w14:paraId="07ECA64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059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73CA13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w:t>
                  </w:r>
                </w:p>
              </w:tc>
              <w:tc>
                <w:tcPr>
                  <w:tcW w:w="1247" w:type="pct"/>
                  <w:noWrap w:val="0"/>
                  <w:vAlign w:val="center"/>
                </w:tcPr>
                <w:p w14:paraId="0F5C64D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最低开采范围</w:t>
                  </w:r>
                </w:p>
              </w:tc>
              <w:tc>
                <w:tcPr>
                  <w:tcW w:w="535" w:type="pct"/>
                  <w:noWrap w:val="0"/>
                  <w:vAlign w:val="center"/>
                </w:tcPr>
                <w:p w14:paraId="3F4FBED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m×m</w:t>
                  </w:r>
                </w:p>
              </w:tc>
              <w:tc>
                <w:tcPr>
                  <w:tcW w:w="1513" w:type="pct"/>
                  <w:noWrap w:val="0"/>
                  <w:vAlign w:val="center"/>
                </w:tcPr>
                <w:p w14:paraId="609F27E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490</w:t>
                  </w:r>
                  <w:r>
                    <w:rPr>
                      <w:rFonts w:ascii="Times New Roman" w:hAnsi="Times New Roman" w:cs="Times New Roman"/>
                      <w:color w:val="auto"/>
                      <w:kern w:val="0"/>
                      <w:sz w:val="22"/>
                      <w:szCs w:val="22"/>
                      <w:highlight w:val="none"/>
                    </w:rPr>
                    <w:t>m</w:t>
                  </w:r>
                  <w:r>
                    <w:rPr>
                      <w:rFonts w:hint="eastAsia" w:ascii="Times New Roman" w:hAnsi="Times New Roman" w:cs="Times New Roman"/>
                      <w:color w:val="auto"/>
                      <w:kern w:val="0"/>
                      <w:sz w:val="22"/>
                      <w:szCs w:val="22"/>
                      <w:highlight w:val="none"/>
                    </w:rPr>
                    <w:t>×60</w:t>
                  </w:r>
                  <w:r>
                    <w:rPr>
                      <w:rFonts w:ascii="Times New Roman" w:hAnsi="Times New Roman" w:cs="Times New Roman"/>
                      <w:color w:val="auto"/>
                      <w:kern w:val="0"/>
                      <w:sz w:val="22"/>
                      <w:szCs w:val="22"/>
                      <w:highlight w:val="none"/>
                    </w:rPr>
                    <w:t>m</w:t>
                  </w:r>
                </w:p>
              </w:tc>
              <w:tc>
                <w:tcPr>
                  <w:tcW w:w="1048" w:type="pct"/>
                  <w:noWrap w:val="0"/>
                  <w:vAlign w:val="center"/>
                </w:tcPr>
                <w:p w14:paraId="4822749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4CE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7C1886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12</w:t>
                  </w:r>
                </w:p>
              </w:tc>
              <w:tc>
                <w:tcPr>
                  <w:tcW w:w="1247" w:type="pct"/>
                  <w:noWrap w:val="0"/>
                  <w:vAlign w:val="center"/>
                </w:tcPr>
                <w:p w14:paraId="18CF571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采矿损失率</w:t>
                  </w:r>
                </w:p>
              </w:tc>
              <w:tc>
                <w:tcPr>
                  <w:tcW w:w="535" w:type="pct"/>
                  <w:noWrap w:val="0"/>
                  <w:vAlign w:val="center"/>
                </w:tcPr>
                <w:p w14:paraId="73BDF95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w:t>
                  </w:r>
                </w:p>
              </w:tc>
              <w:tc>
                <w:tcPr>
                  <w:tcW w:w="1513" w:type="pct"/>
                  <w:noWrap w:val="0"/>
                  <w:vAlign w:val="center"/>
                </w:tcPr>
                <w:p w14:paraId="7CC6C37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w:t>
                  </w:r>
                </w:p>
              </w:tc>
              <w:tc>
                <w:tcPr>
                  <w:tcW w:w="1048" w:type="pct"/>
                  <w:noWrap w:val="0"/>
                  <w:vAlign w:val="center"/>
                </w:tcPr>
                <w:p w14:paraId="6276AE0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0D3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CA703D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13</w:t>
                  </w:r>
                </w:p>
              </w:tc>
              <w:tc>
                <w:tcPr>
                  <w:tcW w:w="1247" w:type="pct"/>
                  <w:noWrap w:val="0"/>
                  <w:vAlign w:val="center"/>
                </w:tcPr>
                <w:p w14:paraId="244E022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采矿回采率</w:t>
                  </w:r>
                </w:p>
              </w:tc>
              <w:tc>
                <w:tcPr>
                  <w:tcW w:w="535" w:type="pct"/>
                  <w:noWrap w:val="0"/>
                  <w:vAlign w:val="center"/>
                </w:tcPr>
                <w:p w14:paraId="62A02DD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w:t>
                  </w:r>
                </w:p>
              </w:tc>
              <w:tc>
                <w:tcPr>
                  <w:tcW w:w="1513" w:type="pct"/>
                  <w:noWrap w:val="0"/>
                  <w:vAlign w:val="center"/>
                </w:tcPr>
                <w:p w14:paraId="6B54C11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95</w:t>
                  </w:r>
                </w:p>
              </w:tc>
              <w:tc>
                <w:tcPr>
                  <w:tcW w:w="1048" w:type="pct"/>
                  <w:noWrap w:val="0"/>
                  <w:vAlign w:val="center"/>
                </w:tcPr>
                <w:p w14:paraId="5E62616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0D72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8BBAE6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14</w:t>
                  </w:r>
                </w:p>
              </w:tc>
              <w:tc>
                <w:tcPr>
                  <w:tcW w:w="1247" w:type="pct"/>
                  <w:noWrap w:val="0"/>
                  <w:vAlign w:val="center"/>
                </w:tcPr>
                <w:p w14:paraId="5DBE29A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平均剥采比</w:t>
                  </w:r>
                </w:p>
              </w:tc>
              <w:tc>
                <w:tcPr>
                  <w:tcW w:w="535" w:type="pct"/>
                  <w:noWrap w:val="0"/>
                  <w:vAlign w:val="center"/>
                </w:tcPr>
                <w:p w14:paraId="43C7DA3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spacing w:val="16"/>
                      <w:kern w:val="0"/>
                      <w:sz w:val="22"/>
                      <w:szCs w:val="22"/>
                      <w:highlight w:val="none"/>
                    </w:rPr>
                    <w:t>m</w:t>
                  </w:r>
                  <w:r>
                    <w:rPr>
                      <w:rFonts w:hint="eastAsia" w:ascii="Times New Roman" w:hAnsi="Times New Roman" w:cs="Times New Roman"/>
                      <w:color w:val="auto"/>
                      <w:spacing w:val="16"/>
                      <w:kern w:val="0"/>
                      <w:sz w:val="22"/>
                      <w:szCs w:val="22"/>
                      <w:highlight w:val="none"/>
                      <w:vertAlign w:val="superscript"/>
                    </w:rPr>
                    <w:t>3</w:t>
                  </w:r>
                  <w:r>
                    <w:rPr>
                      <w:rFonts w:hint="eastAsia" w:ascii="Times New Roman" w:hAnsi="Times New Roman" w:cs="Times New Roman"/>
                      <w:color w:val="auto"/>
                      <w:spacing w:val="16"/>
                      <w:kern w:val="0"/>
                      <w:sz w:val="22"/>
                      <w:szCs w:val="22"/>
                      <w:highlight w:val="none"/>
                    </w:rPr>
                    <w:t>/ m</w:t>
                  </w:r>
                  <w:r>
                    <w:rPr>
                      <w:rFonts w:hint="eastAsia" w:ascii="Times New Roman" w:hAnsi="Times New Roman" w:cs="Times New Roman"/>
                      <w:color w:val="auto"/>
                      <w:spacing w:val="16"/>
                      <w:kern w:val="0"/>
                      <w:sz w:val="22"/>
                      <w:szCs w:val="22"/>
                      <w:highlight w:val="none"/>
                      <w:vertAlign w:val="superscript"/>
                    </w:rPr>
                    <w:t>3</w:t>
                  </w:r>
                </w:p>
              </w:tc>
              <w:tc>
                <w:tcPr>
                  <w:tcW w:w="1513" w:type="pct"/>
                  <w:noWrap w:val="0"/>
                  <w:vAlign w:val="center"/>
                </w:tcPr>
                <w:p w14:paraId="7DFD702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w:t>
                  </w:r>
                </w:p>
              </w:tc>
              <w:tc>
                <w:tcPr>
                  <w:tcW w:w="1048" w:type="pct"/>
                  <w:noWrap w:val="0"/>
                  <w:vAlign w:val="center"/>
                </w:tcPr>
                <w:p w14:paraId="303A4D8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AAE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A41221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15</w:t>
                  </w:r>
                </w:p>
              </w:tc>
              <w:tc>
                <w:tcPr>
                  <w:tcW w:w="1247" w:type="pct"/>
                  <w:noWrap w:val="0"/>
                  <w:vAlign w:val="center"/>
                </w:tcPr>
                <w:p w14:paraId="1F08D92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基建时间</w:t>
                  </w:r>
                </w:p>
              </w:tc>
              <w:tc>
                <w:tcPr>
                  <w:tcW w:w="535" w:type="pct"/>
                  <w:noWrap w:val="0"/>
                  <w:vAlign w:val="center"/>
                </w:tcPr>
                <w:p w14:paraId="795864A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w w:val="90"/>
                      <w:sz w:val="22"/>
                      <w:szCs w:val="22"/>
                      <w:highlight w:val="none"/>
                    </w:rPr>
                  </w:pPr>
                  <w:r>
                    <w:rPr>
                      <w:rFonts w:hint="eastAsia" w:ascii="Times New Roman" w:hAnsi="Times New Roman" w:cs="Times New Roman"/>
                      <w:color w:val="auto"/>
                      <w:w w:val="90"/>
                      <w:sz w:val="22"/>
                      <w:szCs w:val="22"/>
                      <w:highlight w:val="none"/>
                    </w:rPr>
                    <w:t>年</w:t>
                  </w:r>
                </w:p>
              </w:tc>
              <w:tc>
                <w:tcPr>
                  <w:tcW w:w="1513" w:type="pct"/>
                  <w:noWrap w:val="0"/>
                  <w:vAlign w:val="center"/>
                </w:tcPr>
                <w:p w14:paraId="03F30C5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0.5</w:t>
                  </w:r>
                </w:p>
              </w:tc>
              <w:tc>
                <w:tcPr>
                  <w:tcW w:w="1048" w:type="pct"/>
                  <w:noWrap w:val="0"/>
                  <w:vAlign w:val="center"/>
                </w:tcPr>
                <w:p w14:paraId="3C88148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757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214FD6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16</w:t>
                  </w:r>
                </w:p>
              </w:tc>
              <w:tc>
                <w:tcPr>
                  <w:tcW w:w="1247" w:type="pct"/>
                  <w:noWrap w:val="0"/>
                  <w:vAlign w:val="center"/>
                </w:tcPr>
                <w:p w14:paraId="5E5F8E7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矿山生产规模</w:t>
                  </w:r>
                </w:p>
              </w:tc>
              <w:tc>
                <w:tcPr>
                  <w:tcW w:w="535" w:type="pct"/>
                  <w:noWrap w:val="0"/>
                  <w:vAlign w:val="center"/>
                </w:tcPr>
                <w:p w14:paraId="3F931F4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万t/年</w:t>
                  </w:r>
                </w:p>
              </w:tc>
              <w:tc>
                <w:tcPr>
                  <w:tcW w:w="1513" w:type="pct"/>
                  <w:noWrap w:val="0"/>
                  <w:vAlign w:val="center"/>
                </w:tcPr>
                <w:p w14:paraId="0E54DF1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w:t>
                  </w:r>
                </w:p>
              </w:tc>
              <w:tc>
                <w:tcPr>
                  <w:tcW w:w="1048" w:type="pct"/>
                  <w:noWrap w:val="0"/>
                  <w:vAlign w:val="center"/>
                </w:tcPr>
                <w:p w14:paraId="61BDC0A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11.03万m</w:t>
                  </w:r>
                  <w:r>
                    <w:rPr>
                      <w:rFonts w:hint="eastAsia" w:ascii="Times New Roman" w:hAnsi="Times New Roman" w:cs="Times New Roman"/>
                      <w:color w:val="auto"/>
                      <w:kern w:val="0"/>
                      <w:sz w:val="22"/>
                      <w:szCs w:val="22"/>
                      <w:highlight w:val="none"/>
                      <w:vertAlign w:val="superscript"/>
                    </w:rPr>
                    <w:t>3</w:t>
                  </w:r>
                  <w:r>
                    <w:rPr>
                      <w:rFonts w:hint="eastAsia" w:ascii="Times New Roman" w:hAnsi="Times New Roman" w:cs="Times New Roman"/>
                      <w:color w:val="auto"/>
                      <w:kern w:val="0"/>
                      <w:sz w:val="22"/>
                      <w:szCs w:val="22"/>
                      <w:highlight w:val="none"/>
                    </w:rPr>
                    <w:t>/年</w:t>
                  </w:r>
                </w:p>
              </w:tc>
            </w:tr>
            <w:tr w14:paraId="5B3E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12FCCC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17</w:t>
                  </w:r>
                </w:p>
              </w:tc>
              <w:tc>
                <w:tcPr>
                  <w:tcW w:w="1247" w:type="pct"/>
                  <w:noWrap w:val="0"/>
                  <w:vAlign w:val="center"/>
                </w:tcPr>
                <w:p w14:paraId="172095F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矿山服务年限</w:t>
                  </w:r>
                </w:p>
              </w:tc>
              <w:tc>
                <w:tcPr>
                  <w:tcW w:w="535" w:type="pct"/>
                  <w:noWrap w:val="0"/>
                  <w:vAlign w:val="center"/>
                </w:tcPr>
                <w:p w14:paraId="3A5CFF1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年</w:t>
                  </w:r>
                </w:p>
              </w:tc>
              <w:tc>
                <w:tcPr>
                  <w:tcW w:w="1513" w:type="pct"/>
                  <w:noWrap w:val="0"/>
                  <w:vAlign w:val="center"/>
                </w:tcPr>
                <w:p w14:paraId="501398F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20.96年</w:t>
                  </w:r>
                </w:p>
              </w:tc>
              <w:tc>
                <w:tcPr>
                  <w:tcW w:w="1048" w:type="pct"/>
                  <w:noWrap w:val="0"/>
                  <w:vAlign w:val="center"/>
                </w:tcPr>
                <w:p w14:paraId="639545E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718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57D41B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18</w:t>
                  </w:r>
                </w:p>
              </w:tc>
              <w:tc>
                <w:tcPr>
                  <w:tcW w:w="1247" w:type="pct"/>
                  <w:noWrap w:val="0"/>
                  <w:vAlign w:val="center"/>
                </w:tcPr>
                <w:p w14:paraId="3E34331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矿山工作制度</w:t>
                  </w:r>
                </w:p>
              </w:tc>
              <w:tc>
                <w:tcPr>
                  <w:tcW w:w="535" w:type="pct"/>
                  <w:noWrap w:val="0"/>
                  <w:vAlign w:val="center"/>
                </w:tcPr>
                <w:p w14:paraId="69B9614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0E5FA47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554383A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EE6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19FB25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1247" w:type="pct"/>
                  <w:noWrap w:val="0"/>
                  <w:vAlign w:val="center"/>
                </w:tcPr>
                <w:p w14:paraId="52808C2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535" w:type="pct"/>
                  <w:noWrap w:val="0"/>
                  <w:vAlign w:val="center"/>
                </w:tcPr>
                <w:p w14:paraId="2CE3928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天/年</w:t>
                  </w:r>
                </w:p>
              </w:tc>
              <w:tc>
                <w:tcPr>
                  <w:tcW w:w="1513" w:type="pct"/>
                  <w:noWrap w:val="0"/>
                  <w:vAlign w:val="center"/>
                </w:tcPr>
                <w:p w14:paraId="612C57D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300</w:t>
                  </w:r>
                </w:p>
              </w:tc>
              <w:tc>
                <w:tcPr>
                  <w:tcW w:w="1048" w:type="pct"/>
                  <w:noWrap w:val="0"/>
                  <w:vAlign w:val="center"/>
                </w:tcPr>
                <w:p w14:paraId="2C2C289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F29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654" w:type="pct"/>
                  <w:noWrap w:val="0"/>
                  <w:vAlign w:val="center"/>
                </w:tcPr>
                <w:p w14:paraId="44412EA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1247" w:type="pct"/>
                  <w:noWrap w:val="0"/>
                  <w:vAlign w:val="center"/>
                </w:tcPr>
                <w:p w14:paraId="3CB0B68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535" w:type="pct"/>
                  <w:noWrap w:val="0"/>
                  <w:vAlign w:val="center"/>
                </w:tcPr>
                <w:p w14:paraId="6C7EA57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班/天</w:t>
                  </w:r>
                </w:p>
              </w:tc>
              <w:tc>
                <w:tcPr>
                  <w:tcW w:w="1513" w:type="pct"/>
                  <w:noWrap w:val="0"/>
                  <w:vAlign w:val="center"/>
                </w:tcPr>
                <w:p w14:paraId="3C905DE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048" w:type="pct"/>
                  <w:noWrap w:val="0"/>
                  <w:vAlign w:val="center"/>
                </w:tcPr>
                <w:p w14:paraId="0DA584E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A96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9DC84E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1247" w:type="pct"/>
                  <w:noWrap w:val="0"/>
                  <w:vAlign w:val="center"/>
                </w:tcPr>
                <w:p w14:paraId="0508F97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535" w:type="pct"/>
                  <w:noWrap w:val="0"/>
                  <w:vAlign w:val="center"/>
                </w:tcPr>
                <w:p w14:paraId="2BBA9B3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小时/班</w:t>
                  </w:r>
                </w:p>
              </w:tc>
              <w:tc>
                <w:tcPr>
                  <w:tcW w:w="1513" w:type="pct"/>
                  <w:noWrap w:val="0"/>
                  <w:vAlign w:val="center"/>
                </w:tcPr>
                <w:p w14:paraId="52504BA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8</w:t>
                  </w:r>
                </w:p>
              </w:tc>
              <w:tc>
                <w:tcPr>
                  <w:tcW w:w="1048" w:type="pct"/>
                  <w:noWrap w:val="0"/>
                  <w:vAlign w:val="center"/>
                </w:tcPr>
                <w:p w14:paraId="411189E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EF1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3187D7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三</w:t>
                  </w:r>
                </w:p>
              </w:tc>
              <w:tc>
                <w:tcPr>
                  <w:tcW w:w="1247" w:type="pct"/>
                  <w:noWrap w:val="0"/>
                  <w:vAlign w:val="center"/>
                </w:tcPr>
                <w:p w14:paraId="2BE620B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劳动及劳动生产率</w:t>
                  </w:r>
                </w:p>
              </w:tc>
              <w:tc>
                <w:tcPr>
                  <w:tcW w:w="535" w:type="pct"/>
                  <w:noWrap w:val="0"/>
                  <w:vAlign w:val="center"/>
                </w:tcPr>
                <w:p w14:paraId="790C2A9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36F02BB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3C546DD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12C5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1F024D4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247" w:type="pct"/>
                  <w:noWrap w:val="0"/>
                  <w:vAlign w:val="center"/>
                </w:tcPr>
                <w:p w14:paraId="4F8CADF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劳动定员</w:t>
                  </w:r>
                </w:p>
              </w:tc>
              <w:tc>
                <w:tcPr>
                  <w:tcW w:w="535" w:type="pct"/>
                  <w:noWrap w:val="0"/>
                  <w:vAlign w:val="center"/>
                </w:tcPr>
                <w:p w14:paraId="38B8135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人</w:t>
                  </w:r>
                </w:p>
              </w:tc>
              <w:tc>
                <w:tcPr>
                  <w:tcW w:w="1513" w:type="pct"/>
                  <w:noWrap w:val="0"/>
                  <w:vAlign w:val="center"/>
                </w:tcPr>
                <w:p w14:paraId="2DB6852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33</w:t>
                  </w:r>
                </w:p>
              </w:tc>
              <w:tc>
                <w:tcPr>
                  <w:tcW w:w="1048" w:type="pct"/>
                  <w:noWrap w:val="0"/>
                  <w:vAlign w:val="center"/>
                </w:tcPr>
                <w:p w14:paraId="7B117D9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890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0D47DF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247" w:type="pct"/>
                  <w:noWrap w:val="0"/>
                  <w:vAlign w:val="center"/>
                </w:tcPr>
                <w:p w14:paraId="099FA81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其中:生产人员</w:t>
                  </w:r>
                </w:p>
              </w:tc>
              <w:tc>
                <w:tcPr>
                  <w:tcW w:w="535" w:type="pct"/>
                  <w:noWrap w:val="0"/>
                  <w:vAlign w:val="center"/>
                </w:tcPr>
                <w:p w14:paraId="11D33A1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人</w:t>
                  </w:r>
                </w:p>
              </w:tc>
              <w:tc>
                <w:tcPr>
                  <w:tcW w:w="1513" w:type="pct"/>
                  <w:noWrap w:val="0"/>
                  <w:vAlign w:val="center"/>
                </w:tcPr>
                <w:p w14:paraId="2654C38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25</w:t>
                  </w:r>
                </w:p>
              </w:tc>
              <w:tc>
                <w:tcPr>
                  <w:tcW w:w="1048" w:type="pct"/>
                  <w:noWrap w:val="0"/>
                  <w:vAlign w:val="center"/>
                </w:tcPr>
                <w:p w14:paraId="77C57AD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3A7A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E17DBF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21E4A6F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管理人员</w:t>
                  </w:r>
                </w:p>
              </w:tc>
              <w:tc>
                <w:tcPr>
                  <w:tcW w:w="535" w:type="pct"/>
                  <w:noWrap w:val="0"/>
                  <w:vAlign w:val="center"/>
                </w:tcPr>
                <w:p w14:paraId="5F09FD3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人</w:t>
                  </w:r>
                </w:p>
              </w:tc>
              <w:tc>
                <w:tcPr>
                  <w:tcW w:w="1513" w:type="pct"/>
                  <w:noWrap w:val="0"/>
                  <w:vAlign w:val="center"/>
                </w:tcPr>
                <w:p w14:paraId="2B4E3EE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8</w:t>
                  </w:r>
                </w:p>
              </w:tc>
              <w:tc>
                <w:tcPr>
                  <w:tcW w:w="1048" w:type="pct"/>
                  <w:noWrap w:val="0"/>
                  <w:vAlign w:val="center"/>
                </w:tcPr>
                <w:p w14:paraId="770A087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789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29000F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w:t>
                  </w:r>
                </w:p>
              </w:tc>
              <w:tc>
                <w:tcPr>
                  <w:tcW w:w="1247" w:type="pct"/>
                  <w:noWrap w:val="0"/>
                  <w:vAlign w:val="center"/>
                </w:tcPr>
                <w:p w14:paraId="568CD64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劳动生产率</w:t>
                  </w:r>
                </w:p>
              </w:tc>
              <w:tc>
                <w:tcPr>
                  <w:tcW w:w="535" w:type="pct"/>
                  <w:noWrap w:val="0"/>
                  <w:vAlign w:val="center"/>
                </w:tcPr>
                <w:p w14:paraId="72CE971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797CAFE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6E9A14B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729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078BDE6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394F560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工人劳动生产率</w:t>
                  </w:r>
                </w:p>
              </w:tc>
              <w:tc>
                <w:tcPr>
                  <w:tcW w:w="535" w:type="pct"/>
                  <w:noWrap w:val="0"/>
                  <w:vAlign w:val="center"/>
                </w:tcPr>
                <w:p w14:paraId="7D1ABAA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t/人.d</w:t>
                  </w:r>
                </w:p>
              </w:tc>
              <w:tc>
                <w:tcPr>
                  <w:tcW w:w="1513" w:type="pct"/>
                  <w:noWrap w:val="0"/>
                  <w:vAlign w:val="center"/>
                </w:tcPr>
                <w:p w14:paraId="603E855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40</w:t>
                  </w:r>
                </w:p>
              </w:tc>
              <w:tc>
                <w:tcPr>
                  <w:tcW w:w="1048" w:type="pct"/>
                  <w:noWrap w:val="0"/>
                  <w:vAlign w:val="center"/>
                </w:tcPr>
                <w:p w14:paraId="1C09DD1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68D7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97F58B1">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67A716F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535" w:type="pct"/>
                  <w:noWrap w:val="0"/>
                  <w:vAlign w:val="center"/>
                </w:tcPr>
                <w:p w14:paraId="67FBD38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t/人.a</w:t>
                  </w:r>
                </w:p>
              </w:tc>
              <w:tc>
                <w:tcPr>
                  <w:tcW w:w="1513" w:type="pct"/>
                  <w:noWrap w:val="0"/>
                  <w:vAlign w:val="center"/>
                </w:tcPr>
                <w:p w14:paraId="655419D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1200</w:t>
                  </w:r>
                </w:p>
              </w:tc>
              <w:tc>
                <w:tcPr>
                  <w:tcW w:w="1048" w:type="pct"/>
                  <w:noWrap w:val="0"/>
                  <w:vAlign w:val="center"/>
                </w:tcPr>
                <w:p w14:paraId="33FF428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204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1D0E50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1B7F7D0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全员劳动生产率</w:t>
                  </w:r>
                </w:p>
              </w:tc>
              <w:tc>
                <w:tcPr>
                  <w:tcW w:w="535" w:type="pct"/>
                  <w:noWrap w:val="0"/>
                  <w:vAlign w:val="center"/>
                </w:tcPr>
                <w:p w14:paraId="72581C3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t/人.d</w:t>
                  </w:r>
                </w:p>
              </w:tc>
              <w:tc>
                <w:tcPr>
                  <w:tcW w:w="1513" w:type="pct"/>
                  <w:noWrap w:val="0"/>
                  <w:vAlign w:val="center"/>
                </w:tcPr>
                <w:p w14:paraId="0C14FED4">
                  <w:pPr>
                    <w:keepNext w:val="0"/>
                    <w:keepLines w:val="0"/>
                    <w:pageBreakBefore w:val="0"/>
                    <w:widowControl/>
                    <w:kinsoku/>
                    <w:wordWrap/>
                    <w:overflowPunct/>
                    <w:topLinePunct w:val="0"/>
                    <w:autoSpaceDE/>
                    <w:autoSpaceDN/>
                    <w:bidi w:val="0"/>
                    <w:adjustRightInd w:val="0"/>
                    <w:snapToGrid/>
                    <w:spacing w:line="320" w:lineRule="exact"/>
                    <w:ind w:firstLine="968" w:firstLineChars="440"/>
                    <w:jc w:val="both"/>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30.3</w:t>
                  </w:r>
                </w:p>
              </w:tc>
              <w:tc>
                <w:tcPr>
                  <w:tcW w:w="1048" w:type="pct"/>
                  <w:noWrap w:val="0"/>
                  <w:vAlign w:val="center"/>
                </w:tcPr>
                <w:p w14:paraId="19E0C02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5A8B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208F6DB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58F95B2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p>
              </w:tc>
              <w:tc>
                <w:tcPr>
                  <w:tcW w:w="535" w:type="pct"/>
                  <w:noWrap w:val="0"/>
                  <w:vAlign w:val="center"/>
                </w:tcPr>
                <w:p w14:paraId="13865B0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t/人.a</w:t>
                  </w:r>
                </w:p>
              </w:tc>
              <w:tc>
                <w:tcPr>
                  <w:tcW w:w="1513" w:type="pct"/>
                  <w:noWrap w:val="0"/>
                  <w:vAlign w:val="center"/>
                </w:tcPr>
                <w:p w14:paraId="5F81330F">
                  <w:pPr>
                    <w:keepNext w:val="0"/>
                    <w:keepLines w:val="0"/>
                    <w:pageBreakBefore w:val="0"/>
                    <w:widowControl/>
                    <w:kinsoku/>
                    <w:wordWrap/>
                    <w:overflowPunct/>
                    <w:topLinePunct w:val="0"/>
                    <w:autoSpaceDE/>
                    <w:autoSpaceDN/>
                    <w:bidi w:val="0"/>
                    <w:adjustRightInd w:val="0"/>
                    <w:snapToGrid/>
                    <w:spacing w:line="320" w:lineRule="exact"/>
                    <w:ind w:firstLine="990" w:firstLineChars="450"/>
                    <w:jc w:val="both"/>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9090</w:t>
                  </w:r>
                </w:p>
              </w:tc>
              <w:tc>
                <w:tcPr>
                  <w:tcW w:w="1048" w:type="pct"/>
                  <w:noWrap w:val="0"/>
                  <w:vAlign w:val="center"/>
                </w:tcPr>
                <w:p w14:paraId="470AF7A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r>
            <w:tr w14:paraId="433B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299A1C0E">
                  <w:pPr>
                    <w:keepNext w:val="0"/>
                    <w:keepLines w:val="0"/>
                    <w:pageBreakBefore w:val="0"/>
                    <w:widowControl/>
                    <w:kinsoku/>
                    <w:wordWrap/>
                    <w:overflowPunct/>
                    <w:topLinePunct w:val="0"/>
                    <w:autoSpaceDE/>
                    <w:autoSpaceDN/>
                    <w:bidi w:val="0"/>
                    <w:adjustRightInd w:val="0"/>
                    <w:snapToGrid/>
                    <w:spacing w:line="320" w:lineRule="exact"/>
                    <w:ind w:left="0" w:leftChars="0"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四</w:t>
                  </w:r>
                </w:p>
              </w:tc>
              <w:tc>
                <w:tcPr>
                  <w:tcW w:w="1247" w:type="pct"/>
                  <w:noWrap w:val="0"/>
                  <w:vAlign w:val="center"/>
                </w:tcPr>
                <w:p w14:paraId="0B39705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投资及资金筹措</w:t>
                  </w:r>
                </w:p>
              </w:tc>
              <w:tc>
                <w:tcPr>
                  <w:tcW w:w="535" w:type="pct"/>
                  <w:noWrap w:val="0"/>
                  <w:vAlign w:val="center"/>
                </w:tcPr>
                <w:p w14:paraId="735CEEDB">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49CB13A3">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7EA3FFBC">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519E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24AA5DA9">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6DC87A34">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项目总投资</w:t>
                  </w:r>
                </w:p>
              </w:tc>
              <w:tc>
                <w:tcPr>
                  <w:tcW w:w="535" w:type="pct"/>
                  <w:noWrap w:val="0"/>
                  <w:vAlign w:val="center"/>
                </w:tcPr>
                <w:p w14:paraId="6270153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w:t>
                  </w:r>
                </w:p>
              </w:tc>
              <w:tc>
                <w:tcPr>
                  <w:tcW w:w="1513" w:type="pct"/>
                  <w:noWrap w:val="0"/>
                  <w:vAlign w:val="center"/>
                </w:tcPr>
                <w:p w14:paraId="69E78224">
                  <w:pPr>
                    <w:keepNext w:val="0"/>
                    <w:keepLines w:val="0"/>
                    <w:pageBreakBefore w:val="0"/>
                    <w:widowControl/>
                    <w:kinsoku/>
                    <w:wordWrap/>
                    <w:overflowPunct/>
                    <w:topLinePunct w:val="0"/>
                    <w:autoSpaceDE/>
                    <w:autoSpaceDN/>
                    <w:bidi w:val="0"/>
                    <w:adjustRightInd w:val="0"/>
                    <w:snapToGrid/>
                    <w:spacing w:line="320" w:lineRule="exact"/>
                    <w:ind w:firstLine="990" w:firstLineChars="450"/>
                    <w:jc w:val="both"/>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1191.49</w:t>
                  </w:r>
                </w:p>
              </w:tc>
              <w:tc>
                <w:tcPr>
                  <w:tcW w:w="1048" w:type="pct"/>
                  <w:noWrap w:val="0"/>
                  <w:vAlign w:val="center"/>
                </w:tcPr>
                <w:p w14:paraId="2B6B13D5">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0B00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9C0BBF4">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c>
                <w:tcPr>
                  <w:tcW w:w="1247" w:type="pct"/>
                  <w:noWrap w:val="0"/>
                  <w:vAlign w:val="center"/>
                </w:tcPr>
                <w:p w14:paraId="26656883">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流动资金</w:t>
                  </w:r>
                </w:p>
              </w:tc>
              <w:tc>
                <w:tcPr>
                  <w:tcW w:w="535" w:type="pct"/>
                  <w:noWrap w:val="0"/>
                  <w:vAlign w:val="center"/>
                </w:tcPr>
                <w:p w14:paraId="0A272E9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w:t>
                  </w:r>
                </w:p>
              </w:tc>
              <w:tc>
                <w:tcPr>
                  <w:tcW w:w="1513" w:type="pct"/>
                  <w:noWrap w:val="0"/>
                  <w:vAlign w:val="center"/>
                </w:tcPr>
                <w:p w14:paraId="0762223C">
                  <w:pPr>
                    <w:keepNext w:val="0"/>
                    <w:keepLines w:val="0"/>
                    <w:pageBreakBefore w:val="0"/>
                    <w:widowControl/>
                    <w:kinsoku/>
                    <w:wordWrap/>
                    <w:overflowPunct/>
                    <w:topLinePunct w:val="0"/>
                    <w:autoSpaceDE/>
                    <w:autoSpaceDN/>
                    <w:bidi w:val="0"/>
                    <w:adjustRightInd w:val="0"/>
                    <w:snapToGrid/>
                    <w:spacing w:line="320" w:lineRule="exact"/>
                    <w:ind w:firstLine="968" w:firstLineChars="440"/>
                    <w:jc w:val="both"/>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155.41</w:t>
                  </w:r>
                </w:p>
              </w:tc>
              <w:tc>
                <w:tcPr>
                  <w:tcW w:w="1048" w:type="pct"/>
                  <w:noWrap w:val="0"/>
                  <w:vAlign w:val="center"/>
                </w:tcPr>
                <w:p w14:paraId="0377F25E">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7E84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C0D9DE7">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五</w:t>
                  </w:r>
                </w:p>
              </w:tc>
              <w:tc>
                <w:tcPr>
                  <w:tcW w:w="1247" w:type="pct"/>
                  <w:noWrap w:val="0"/>
                  <w:vAlign w:val="center"/>
                </w:tcPr>
                <w:p w14:paraId="2173DCF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采矿成本（含破碎）</w:t>
                  </w:r>
                </w:p>
              </w:tc>
              <w:tc>
                <w:tcPr>
                  <w:tcW w:w="535" w:type="pct"/>
                  <w:noWrap w:val="0"/>
                  <w:vAlign w:val="center"/>
                </w:tcPr>
                <w:p w14:paraId="1A6FA38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w w:val="90"/>
                      <w:sz w:val="22"/>
                      <w:szCs w:val="22"/>
                      <w:highlight w:val="none"/>
                    </w:rPr>
                    <w:t>元/</w:t>
                  </w:r>
                  <w:r>
                    <w:rPr>
                      <w:rFonts w:hint="eastAsia" w:ascii="Times New Roman" w:hAnsi="Times New Roman" w:cs="Times New Roman"/>
                      <w:color w:val="auto"/>
                      <w:kern w:val="0"/>
                      <w:sz w:val="22"/>
                      <w:szCs w:val="22"/>
                      <w:highlight w:val="none"/>
                    </w:rPr>
                    <w:t>t</w:t>
                  </w:r>
                </w:p>
              </w:tc>
              <w:tc>
                <w:tcPr>
                  <w:tcW w:w="1513" w:type="pct"/>
                  <w:noWrap w:val="0"/>
                  <w:vAlign w:val="center"/>
                </w:tcPr>
                <w:p w14:paraId="3031C94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19.5</w:t>
                  </w:r>
                </w:p>
              </w:tc>
              <w:tc>
                <w:tcPr>
                  <w:tcW w:w="1048" w:type="pct"/>
                  <w:noWrap w:val="0"/>
                  <w:vAlign w:val="center"/>
                </w:tcPr>
                <w:p w14:paraId="2CBE7164">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5B9C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67C52F6">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六</w:t>
                  </w:r>
                </w:p>
              </w:tc>
              <w:tc>
                <w:tcPr>
                  <w:tcW w:w="1247" w:type="pct"/>
                  <w:noWrap w:val="0"/>
                  <w:vAlign w:val="center"/>
                </w:tcPr>
                <w:p w14:paraId="1A28824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销售收入、税金、利润</w:t>
                  </w:r>
                </w:p>
              </w:tc>
              <w:tc>
                <w:tcPr>
                  <w:tcW w:w="535" w:type="pct"/>
                  <w:noWrap w:val="0"/>
                  <w:vAlign w:val="center"/>
                </w:tcPr>
                <w:p w14:paraId="5A12525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0D6596E3">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5DD5A47F">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704B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ADE477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247" w:type="pct"/>
                  <w:noWrap w:val="0"/>
                  <w:vAlign w:val="center"/>
                </w:tcPr>
                <w:p w14:paraId="7F5E3982">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销售收入(含税）</w:t>
                  </w:r>
                </w:p>
              </w:tc>
              <w:tc>
                <w:tcPr>
                  <w:tcW w:w="535" w:type="pct"/>
                  <w:noWrap w:val="0"/>
                  <w:vAlign w:val="center"/>
                </w:tcPr>
                <w:p w14:paraId="58247F8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万元/a</w:t>
                  </w:r>
                </w:p>
              </w:tc>
              <w:tc>
                <w:tcPr>
                  <w:tcW w:w="1513" w:type="pct"/>
                  <w:noWrap w:val="0"/>
                  <w:vAlign w:val="center"/>
                </w:tcPr>
                <w:p w14:paraId="314DA5A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900</w:t>
                  </w:r>
                </w:p>
              </w:tc>
              <w:tc>
                <w:tcPr>
                  <w:tcW w:w="1048" w:type="pct"/>
                  <w:noWrap w:val="0"/>
                  <w:vAlign w:val="center"/>
                </w:tcPr>
                <w:p w14:paraId="7994E526">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603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77BCA83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2</w:t>
                  </w:r>
                </w:p>
              </w:tc>
              <w:tc>
                <w:tcPr>
                  <w:tcW w:w="1247" w:type="pct"/>
                  <w:noWrap w:val="0"/>
                  <w:vAlign w:val="center"/>
                </w:tcPr>
                <w:p w14:paraId="4EB8A77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成本</w:t>
                  </w:r>
                </w:p>
              </w:tc>
              <w:tc>
                <w:tcPr>
                  <w:tcW w:w="535" w:type="pct"/>
                  <w:noWrap w:val="0"/>
                  <w:vAlign w:val="center"/>
                </w:tcPr>
                <w:p w14:paraId="070FD81E">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万元/a</w:t>
                  </w:r>
                </w:p>
              </w:tc>
              <w:tc>
                <w:tcPr>
                  <w:tcW w:w="1513" w:type="pct"/>
                  <w:noWrap w:val="0"/>
                  <w:vAlign w:val="center"/>
                </w:tcPr>
                <w:p w14:paraId="127A56EF">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585</w:t>
                  </w:r>
                </w:p>
              </w:tc>
              <w:tc>
                <w:tcPr>
                  <w:tcW w:w="1048" w:type="pct"/>
                  <w:noWrap w:val="0"/>
                  <w:vAlign w:val="center"/>
                </w:tcPr>
                <w:p w14:paraId="182B2867">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7CD2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4FE53A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3</w:t>
                  </w:r>
                </w:p>
              </w:tc>
              <w:tc>
                <w:tcPr>
                  <w:tcW w:w="1247" w:type="pct"/>
                  <w:noWrap w:val="0"/>
                  <w:vAlign w:val="center"/>
                </w:tcPr>
                <w:p w14:paraId="3550570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税费</w:t>
                  </w:r>
                </w:p>
              </w:tc>
              <w:tc>
                <w:tcPr>
                  <w:tcW w:w="535" w:type="pct"/>
                  <w:noWrap w:val="0"/>
                  <w:vAlign w:val="center"/>
                </w:tcPr>
                <w:p w14:paraId="471BBA3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万元/a</w:t>
                  </w:r>
                </w:p>
              </w:tc>
              <w:tc>
                <w:tcPr>
                  <w:tcW w:w="1513" w:type="pct"/>
                  <w:noWrap w:val="0"/>
                  <w:vAlign w:val="center"/>
                </w:tcPr>
                <w:p w14:paraId="4E5615BA">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120.15</w:t>
                  </w:r>
                </w:p>
              </w:tc>
              <w:tc>
                <w:tcPr>
                  <w:tcW w:w="1048" w:type="pct"/>
                  <w:noWrap w:val="0"/>
                  <w:vAlign w:val="center"/>
                </w:tcPr>
                <w:p w14:paraId="326C0521">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1FD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654" w:type="pct"/>
                  <w:noWrap w:val="0"/>
                  <w:vAlign w:val="center"/>
                </w:tcPr>
                <w:p w14:paraId="72E98ED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4</w:t>
                  </w:r>
                </w:p>
              </w:tc>
              <w:tc>
                <w:tcPr>
                  <w:tcW w:w="1247" w:type="pct"/>
                  <w:noWrap w:val="0"/>
                  <w:vAlign w:val="center"/>
                </w:tcPr>
                <w:p w14:paraId="632C4D38">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年利润</w:t>
                  </w:r>
                </w:p>
              </w:tc>
              <w:tc>
                <w:tcPr>
                  <w:tcW w:w="535" w:type="pct"/>
                  <w:noWrap w:val="0"/>
                  <w:vAlign w:val="center"/>
                </w:tcPr>
                <w:p w14:paraId="65824E3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万元/a</w:t>
                  </w:r>
                </w:p>
              </w:tc>
              <w:tc>
                <w:tcPr>
                  <w:tcW w:w="1513" w:type="pct"/>
                  <w:noWrap w:val="0"/>
                  <w:vAlign w:val="center"/>
                </w:tcPr>
                <w:p w14:paraId="44D2E8CC">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hint="eastAsia"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194.85</w:t>
                  </w:r>
                </w:p>
              </w:tc>
              <w:tc>
                <w:tcPr>
                  <w:tcW w:w="1048" w:type="pct"/>
                  <w:noWrap w:val="0"/>
                  <w:vAlign w:val="center"/>
                </w:tcPr>
                <w:p w14:paraId="67542585">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233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39F5087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七</w:t>
                  </w:r>
                </w:p>
              </w:tc>
              <w:tc>
                <w:tcPr>
                  <w:tcW w:w="1247" w:type="pct"/>
                  <w:noWrap w:val="0"/>
                  <w:vAlign w:val="center"/>
                </w:tcPr>
                <w:p w14:paraId="29F1769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盈利能力</w:t>
                  </w:r>
                </w:p>
              </w:tc>
              <w:tc>
                <w:tcPr>
                  <w:tcW w:w="535" w:type="pct"/>
                  <w:noWrap w:val="0"/>
                  <w:vAlign w:val="center"/>
                </w:tcPr>
                <w:p w14:paraId="134BD94D">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513" w:type="pct"/>
                  <w:noWrap w:val="0"/>
                  <w:vAlign w:val="center"/>
                </w:tcPr>
                <w:p w14:paraId="1BE28604">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p>
              </w:tc>
              <w:tc>
                <w:tcPr>
                  <w:tcW w:w="1048" w:type="pct"/>
                  <w:noWrap w:val="0"/>
                  <w:vAlign w:val="center"/>
                </w:tcPr>
                <w:p w14:paraId="3824BFB5">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r w14:paraId="4C68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54" w:type="pct"/>
                  <w:noWrap w:val="0"/>
                  <w:vAlign w:val="center"/>
                </w:tcPr>
                <w:p w14:paraId="58E2FDF0">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w:t>
                  </w:r>
                </w:p>
              </w:tc>
              <w:tc>
                <w:tcPr>
                  <w:tcW w:w="1247" w:type="pct"/>
                  <w:noWrap w:val="0"/>
                  <w:vAlign w:val="center"/>
                </w:tcPr>
                <w:p w14:paraId="2498E6C5">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投资利润率</w:t>
                  </w:r>
                </w:p>
              </w:tc>
              <w:tc>
                <w:tcPr>
                  <w:tcW w:w="535" w:type="pct"/>
                  <w:noWrap w:val="0"/>
                  <w:vAlign w:val="center"/>
                </w:tcPr>
                <w:p w14:paraId="2E2E8019">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w:t>
                  </w:r>
                </w:p>
              </w:tc>
              <w:tc>
                <w:tcPr>
                  <w:tcW w:w="1513" w:type="pct"/>
                  <w:noWrap w:val="0"/>
                  <w:vAlign w:val="center"/>
                </w:tcPr>
                <w:p w14:paraId="26DC705B">
                  <w:pPr>
                    <w:keepNext w:val="0"/>
                    <w:keepLines w:val="0"/>
                    <w:pageBreakBefore w:val="0"/>
                    <w:widowControl/>
                    <w:kinsoku/>
                    <w:wordWrap/>
                    <w:overflowPunct/>
                    <w:topLinePunct w:val="0"/>
                    <w:autoSpaceDE/>
                    <w:autoSpaceDN/>
                    <w:bidi w:val="0"/>
                    <w:adjustRightInd w:val="0"/>
                    <w:snapToGrid/>
                    <w:spacing w:line="320" w:lineRule="exact"/>
                    <w:ind w:firstLine="0" w:firstLineChars="0"/>
                    <w:jc w:val="center"/>
                    <w:textAlignment w:val="auto"/>
                    <w:rPr>
                      <w:rFonts w:ascii="Times New Roman" w:hAnsi="Times New Roman" w:cs="Times New Roman"/>
                      <w:color w:val="auto"/>
                      <w:kern w:val="0"/>
                      <w:sz w:val="22"/>
                      <w:szCs w:val="22"/>
                      <w:highlight w:val="none"/>
                    </w:rPr>
                  </w:pPr>
                  <w:r>
                    <w:rPr>
                      <w:rFonts w:hint="eastAsia" w:ascii="Times New Roman" w:hAnsi="Times New Roman" w:cs="Times New Roman"/>
                      <w:color w:val="auto"/>
                      <w:kern w:val="0"/>
                      <w:sz w:val="22"/>
                      <w:szCs w:val="22"/>
                      <w:highlight w:val="none"/>
                    </w:rPr>
                    <w:t>12.26%</w:t>
                  </w:r>
                </w:p>
              </w:tc>
              <w:tc>
                <w:tcPr>
                  <w:tcW w:w="1048" w:type="pct"/>
                  <w:noWrap w:val="0"/>
                  <w:vAlign w:val="center"/>
                </w:tcPr>
                <w:p w14:paraId="55A82517">
                  <w:pPr>
                    <w:keepNext w:val="0"/>
                    <w:keepLines w:val="0"/>
                    <w:pageBreakBefore w:val="0"/>
                    <w:widowControl/>
                    <w:kinsoku/>
                    <w:wordWrap/>
                    <w:overflowPunct/>
                    <w:topLinePunct w:val="0"/>
                    <w:autoSpaceDE/>
                    <w:autoSpaceDN/>
                    <w:bidi w:val="0"/>
                    <w:adjustRightInd w:val="0"/>
                    <w:snapToGrid/>
                    <w:spacing w:line="320" w:lineRule="exact"/>
                    <w:ind w:firstLine="440"/>
                    <w:jc w:val="center"/>
                    <w:textAlignment w:val="auto"/>
                    <w:rPr>
                      <w:rFonts w:ascii="Times New Roman" w:hAnsi="Times New Roman" w:cs="Times New Roman"/>
                      <w:color w:val="auto"/>
                      <w:kern w:val="0"/>
                      <w:sz w:val="22"/>
                      <w:szCs w:val="22"/>
                      <w:highlight w:val="none"/>
                    </w:rPr>
                  </w:pPr>
                </w:p>
              </w:tc>
            </w:tr>
          </w:tbl>
          <w:p w14:paraId="707B4F65">
            <w:pPr>
              <w:tabs>
                <w:tab w:val="left" w:pos="2395"/>
              </w:tabs>
              <w:spacing w:line="360" w:lineRule="auto"/>
              <w:ind w:left="0" w:leftChars="0" w:right="130" w:rightChars="50" w:firstLine="0" w:firstLineChars="0"/>
              <w:rPr>
                <w:rFonts w:hint="eastAsia"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val="en-US" w:eastAsia="zh-CN"/>
              </w:rPr>
              <w:t>11、环保投资</w:t>
            </w:r>
          </w:p>
          <w:p w14:paraId="45A48B1D">
            <w:pPr>
              <w:adjustRightInd w:val="0"/>
              <w:snapToGrid w:val="0"/>
              <w:ind w:left="130" w:leftChars="50" w:right="130" w:rightChars="50" w:firstLine="520"/>
              <w:rPr>
                <w:rFonts w:ascii="Times New Roman" w:hAnsi="Times New Roman"/>
                <w:color w:val="auto"/>
                <w:highlight w:val="none"/>
              </w:rPr>
            </w:pPr>
            <w:r>
              <w:rPr>
                <w:rFonts w:ascii="Times New Roman" w:hAnsi="Times New Roman"/>
                <w:color w:val="auto"/>
                <w:highlight w:val="none"/>
              </w:rPr>
              <w:t>本项目总投资</w:t>
            </w:r>
            <w:r>
              <w:rPr>
                <w:rFonts w:hint="eastAsia"/>
                <w:color w:val="auto"/>
                <w:highlight w:val="none"/>
                <w:lang w:val="en-US" w:eastAsia="zh-CN"/>
              </w:rPr>
              <w:t>1191.49</w:t>
            </w:r>
            <w:r>
              <w:rPr>
                <w:rFonts w:ascii="Times New Roman" w:hAnsi="Times New Roman"/>
                <w:color w:val="auto"/>
                <w:highlight w:val="none"/>
              </w:rPr>
              <w:t>万元，其中环保投资约</w:t>
            </w:r>
            <w:r>
              <w:rPr>
                <w:rFonts w:hint="eastAsia"/>
                <w:color w:val="auto"/>
                <w:highlight w:val="none"/>
                <w:lang w:val="en-US" w:eastAsia="zh-CN"/>
              </w:rPr>
              <w:t>102.3</w:t>
            </w:r>
            <w:r>
              <w:rPr>
                <w:rFonts w:ascii="Times New Roman" w:hAnsi="Times New Roman"/>
                <w:color w:val="auto"/>
                <w:highlight w:val="none"/>
              </w:rPr>
              <w:t>万元，占总投资的</w:t>
            </w:r>
            <w:r>
              <w:rPr>
                <w:rFonts w:hint="eastAsia"/>
                <w:color w:val="auto"/>
                <w:highlight w:val="none"/>
                <w:lang w:val="en-US" w:eastAsia="zh-CN"/>
              </w:rPr>
              <w:t>8.59</w:t>
            </w:r>
            <w:r>
              <w:rPr>
                <w:rFonts w:ascii="Times New Roman" w:hAnsi="Times New Roman"/>
                <w:color w:val="auto"/>
                <w:highlight w:val="none"/>
              </w:rPr>
              <w:t>%。具体内容见下表。</w:t>
            </w:r>
          </w:p>
          <w:p w14:paraId="083524B3">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表1-</w:t>
            </w:r>
            <w:r>
              <w:rPr>
                <w:rFonts w:hint="eastAsia" w:ascii="Times New Roman" w:hAnsi="Times New Roman" w:eastAsia="宋体" w:cs="Times New Roman"/>
                <w:b/>
                <w:bCs/>
                <w:color w:val="auto"/>
                <w:sz w:val="21"/>
                <w:szCs w:val="21"/>
                <w:highlight w:val="none"/>
              </w:rPr>
              <w:t>1</w:t>
            </w:r>
            <w:r>
              <w:rPr>
                <w:rFonts w:hint="eastAsia" w:ascii="Times New Roman" w:hAnsi="Times New Roman" w:eastAsia="宋体" w:cs="Times New Roman"/>
                <w:b/>
                <w:bCs/>
                <w:color w:val="auto"/>
                <w:sz w:val="21"/>
                <w:szCs w:val="21"/>
                <w:highlight w:val="none"/>
                <w:lang w:val="en-US" w:eastAsia="zh-CN"/>
              </w:rPr>
              <w:t>1</w:t>
            </w:r>
            <w:r>
              <w:rPr>
                <w:rFonts w:ascii="Times New Roman" w:hAnsi="Times New Roman" w:eastAsia="宋体" w:cs="Times New Roman"/>
                <w:b/>
                <w:bCs/>
                <w:color w:val="auto"/>
                <w:sz w:val="21"/>
                <w:szCs w:val="21"/>
                <w:highlight w:val="none"/>
              </w:rPr>
              <w:t xml:space="preserve">  环保投资估算明细表</w:t>
            </w:r>
          </w:p>
          <w:bookmarkEnd w:id="3"/>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947"/>
              <w:gridCol w:w="4404"/>
              <w:gridCol w:w="947"/>
              <w:gridCol w:w="1046"/>
            </w:tblGrid>
            <w:tr w14:paraId="5202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op w:val="single" w:color="auto" w:sz="4" w:space="0"/>
                    <w:left w:val="single" w:color="auto" w:sz="4" w:space="0"/>
                    <w:bottom w:val="single" w:color="auto" w:sz="4" w:space="0"/>
                    <w:right w:val="single" w:color="auto" w:sz="4" w:space="0"/>
                  </w:tcBorders>
                  <w:vAlign w:val="center"/>
                </w:tcPr>
                <w:p w14:paraId="7420A41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时段</w:t>
                  </w:r>
                </w:p>
              </w:tc>
              <w:tc>
                <w:tcPr>
                  <w:tcW w:w="571" w:type="pct"/>
                  <w:tcBorders>
                    <w:top w:val="single" w:color="auto" w:sz="4" w:space="0"/>
                    <w:left w:val="single" w:color="auto" w:sz="4" w:space="0"/>
                    <w:bottom w:val="single" w:color="auto" w:sz="4" w:space="0"/>
                    <w:right w:val="single" w:color="auto" w:sz="4" w:space="0"/>
                  </w:tcBorders>
                  <w:vAlign w:val="center"/>
                </w:tcPr>
                <w:p w14:paraId="6C15B56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污染类型</w:t>
                  </w:r>
                </w:p>
              </w:tc>
              <w:tc>
                <w:tcPr>
                  <w:tcW w:w="2655" w:type="pct"/>
                  <w:tcBorders>
                    <w:top w:val="single" w:color="auto" w:sz="4" w:space="0"/>
                    <w:left w:val="single" w:color="auto" w:sz="4" w:space="0"/>
                    <w:bottom w:val="single" w:color="auto" w:sz="4" w:space="0"/>
                    <w:right w:val="single" w:color="auto" w:sz="4" w:space="0"/>
                  </w:tcBorders>
                  <w:vAlign w:val="center"/>
                </w:tcPr>
                <w:p w14:paraId="045FE75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环保措施</w:t>
                  </w:r>
                </w:p>
              </w:tc>
              <w:tc>
                <w:tcPr>
                  <w:tcW w:w="571" w:type="pct"/>
                  <w:tcBorders>
                    <w:top w:val="single" w:color="auto" w:sz="4" w:space="0"/>
                    <w:left w:val="single" w:color="auto" w:sz="4" w:space="0"/>
                    <w:bottom w:val="single" w:color="auto" w:sz="4" w:space="0"/>
                    <w:right w:val="single" w:color="auto" w:sz="4" w:space="0"/>
                  </w:tcBorders>
                  <w:vAlign w:val="center"/>
                </w:tcPr>
                <w:p w14:paraId="387AA71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投资</w:t>
                  </w:r>
                </w:p>
              </w:tc>
              <w:tc>
                <w:tcPr>
                  <w:tcW w:w="631" w:type="pct"/>
                  <w:tcBorders>
                    <w:top w:val="single" w:color="auto" w:sz="4" w:space="0"/>
                    <w:left w:val="single" w:color="auto" w:sz="4" w:space="0"/>
                    <w:bottom w:val="single" w:color="auto" w:sz="4" w:space="0"/>
                    <w:right w:val="single" w:color="auto" w:sz="4" w:space="0"/>
                  </w:tcBorders>
                  <w:vAlign w:val="center"/>
                </w:tcPr>
                <w:p w14:paraId="292650E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备注</w:t>
                  </w:r>
                </w:p>
              </w:tc>
            </w:tr>
            <w:tr w14:paraId="5A06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70" w:type="pct"/>
                  <w:vMerge w:val="restart"/>
                  <w:tcBorders>
                    <w:top w:val="single" w:color="auto" w:sz="4" w:space="0"/>
                    <w:left w:val="single" w:color="auto" w:sz="4" w:space="0"/>
                    <w:bottom w:val="single" w:color="auto" w:sz="4" w:space="0"/>
                    <w:right w:val="single" w:color="auto" w:sz="4" w:space="0"/>
                  </w:tcBorders>
                  <w:vAlign w:val="center"/>
                </w:tcPr>
                <w:p w14:paraId="72A5381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施工期</w:t>
                  </w:r>
                </w:p>
              </w:tc>
              <w:tc>
                <w:tcPr>
                  <w:tcW w:w="571" w:type="pct"/>
                  <w:tcBorders>
                    <w:top w:val="single" w:color="auto" w:sz="4" w:space="0"/>
                    <w:left w:val="single" w:color="auto" w:sz="4" w:space="0"/>
                    <w:bottom w:val="single" w:color="auto" w:sz="4" w:space="0"/>
                    <w:right w:val="single" w:color="auto" w:sz="4" w:space="0"/>
                  </w:tcBorders>
                  <w:vAlign w:val="center"/>
                </w:tcPr>
                <w:p w14:paraId="3F1501F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废气</w:t>
                  </w:r>
                </w:p>
              </w:tc>
              <w:tc>
                <w:tcPr>
                  <w:tcW w:w="2655" w:type="pct"/>
                  <w:tcBorders>
                    <w:top w:val="single" w:color="auto" w:sz="4" w:space="0"/>
                    <w:left w:val="single" w:color="auto" w:sz="4" w:space="0"/>
                    <w:bottom w:val="single" w:color="auto" w:sz="4" w:space="0"/>
                    <w:right w:val="single" w:color="auto" w:sz="4" w:space="0"/>
                  </w:tcBorders>
                  <w:vAlign w:val="center"/>
                </w:tcPr>
                <w:p w14:paraId="75D2C8F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洒水降尘；及时清扫路面灰尘</w:t>
                  </w:r>
                </w:p>
              </w:tc>
              <w:tc>
                <w:tcPr>
                  <w:tcW w:w="571" w:type="pct"/>
                  <w:tcBorders>
                    <w:top w:val="single" w:color="auto" w:sz="4" w:space="0"/>
                    <w:left w:val="single" w:color="auto" w:sz="4" w:space="0"/>
                    <w:bottom w:val="single" w:color="auto" w:sz="4" w:space="0"/>
                    <w:right w:val="single" w:color="auto" w:sz="4" w:space="0"/>
                  </w:tcBorders>
                  <w:vAlign w:val="center"/>
                </w:tcPr>
                <w:p w14:paraId="1CDC3B1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kern w:val="0"/>
                      <w:sz w:val="22"/>
                      <w:szCs w:val="22"/>
                      <w:highlight w:val="none"/>
                      <w:lang w:eastAsia="zh-CN"/>
                    </w:rPr>
                  </w:pPr>
                  <w:r>
                    <w:rPr>
                      <w:rFonts w:hint="eastAsia" w:ascii="Times New Roman" w:hAnsi="Times New Roman" w:eastAsia="宋体" w:cs="Times New Roman"/>
                      <w:b w:val="0"/>
                      <w:color w:val="auto"/>
                      <w:kern w:val="0"/>
                      <w:sz w:val="22"/>
                      <w:szCs w:val="22"/>
                      <w:highlight w:val="none"/>
                      <w:lang w:val="en-US" w:eastAsia="zh-CN"/>
                    </w:rPr>
                    <w:t>2</w:t>
                  </w:r>
                </w:p>
              </w:tc>
              <w:tc>
                <w:tcPr>
                  <w:tcW w:w="631" w:type="pct"/>
                  <w:tcBorders>
                    <w:top w:val="single" w:color="auto" w:sz="4" w:space="0"/>
                    <w:left w:val="single" w:color="auto" w:sz="4" w:space="0"/>
                    <w:bottom w:val="single" w:color="auto" w:sz="4" w:space="0"/>
                    <w:right w:val="single" w:color="auto" w:sz="4" w:space="0"/>
                  </w:tcBorders>
                  <w:vAlign w:val="center"/>
                </w:tcPr>
                <w:p w14:paraId="41FFCCF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17CB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15F1FAF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1E80A1C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废水</w:t>
                  </w:r>
                </w:p>
              </w:tc>
              <w:tc>
                <w:tcPr>
                  <w:tcW w:w="2655" w:type="pct"/>
                  <w:tcBorders>
                    <w:top w:val="single" w:color="auto" w:sz="4" w:space="0"/>
                    <w:left w:val="single" w:color="auto" w:sz="4" w:space="0"/>
                    <w:bottom w:val="single" w:color="auto" w:sz="4" w:space="0"/>
                    <w:right w:val="single" w:color="auto" w:sz="4" w:space="0"/>
                  </w:tcBorders>
                  <w:vAlign w:val="center"/>
                </w:tcPr>
                <w:p w14:paraId="4B2E1E6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设置简易沉淀池（</w:t>
                  </w:r>
                  <w:r>
                    <w:rPr>
                      <w:rFonts w:hint="eastAsia" w:ascii="Times New Roman" w:hAnsi="Times New Roman" w:eastAsia="宋体" w:cs="Times New Roman"/>
                      <w:b w:val="0"/>
                      <w:color w:val="auto"/>
                      <w:kern w:val="0"/>
                      <w:sz w:val="22"/>
                      <w:szCs w:val="22"/>
                      <w:highlight w:val="none"/>
                      <w:lang w:val="en-US" w:eastAsia="zh-CN"/>
                    </w:rPr>
                    <w:t>2</w:t>
                  </w:r>
                  <w:r>
                    <w:rPr>
                      <w:rFonts w:ascii="Times New Roman" w:hAnsi="Times New Roman" w:eastAsia="宋体" w:cs="Times New Roman"/>
                      <w:b w:val="0"/>
                      <w:color w:val="auto"/>
                      <w:kern w:val="0"/>
                      <w:sz w:val="22"/>
                      <w:szCs w:val="22"/>
                      <w:highlight w:val="none"/>
                    </w:rPr>
                    <w:t>m</w:t>
                  </w:r>
                  <w:r>
                    <w:rPr>
                      <w:rFonts w:ascii="Times New Roman" w:hAnsi="Times New Roman" w:eastAsia="宋体" w:cs="Times New Roman"/>
                      <w:b w:val="0"/>
                      <w:color w:val="auto"/>
                      <w:kern w:val="0"/>
                      <w:sz w:val="22"/>
                      <w:szCs w:val="22"/>
                      <w:highlight w:val="none"/>
                      <w:vertAlign w:val="superscript"/>
                    </w:rPr>
                    <w:t>3</w:t>
                  </w:r>
                  <w:r>
                    <w:rPr>
                      <w:rFonts w:hint="eastAsia" w:ascii="Times New Roman" w:hAnsi="Times New Roman" w:eastAsia="宋体" w:cs="Times New Roman"/>
                      <w:b w:val="0"/>
                      <w:color w:val="auto"/>
                      <w:kern w:val="0"/>
                      <w:sz w:val="22"/>
                      <w:szCs w:val="22"/>
                      <w:highlight w:val="none"/>
                    </w:rPr>
                    <w:t>），1个</w:t>
                  </w:r>
                </w:p>
              </w:tc>
              <w:tc>
                <w:tcPr>
                  <w:tcW w:w="571" w:type="pct"/>
                  <w:tcBorders>
                    <w:top w:val="single" w:color="auto" w:sz="4" w:space="0"/>
                    <w:left w:val="single" w:color="auto" w:sz="4" w:space="0"/>
                    <w:bottom w:val="single" w:color="auto" w:sz="4" w:space="0"/>
                    <w:right w:val="single" w:color="auto" w:sz="4" w:space="0"/>
                  </w:tcBorders>
                  <w:vAlign w:val="center"/>
                </w:tcPr>
                <w:p w14:paraId="2EC20FA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lang w:val="en-US" w:eastAsia="zh-CN"/>
                    </w:rPr>
                    <w:t>0.3</w:t>
                  </w:r>
                </w:p>
              </w:tc>
              <w:tc>
                <w:tcPr>
                  <w:tcW w:w="631" w:type="pct"/>
                  <w:tcBorders>
                    <w:top w:val="single" w:color="auto" w:sz="4" w:space="0"/>
                    <w:left w:val="single" w:color="auto" w:sz="4" w:space="0"/>
                    <w:bottom w:val="single" w:color="auto" w:sz="4" w:space="0"/>
                    <w:right w:val="single" w:color="auto" w:sz="4" w:space="0"/>
                  </w:tcBorders>
                  <w:vAlign w:val="center"/>
                </w:tcPr>
                <w:p w14:paraId="5BB0E21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091D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1938B1F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301A465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固废</w:t>
                  </w:r>
                </w:p>
              </w:tc>
              <w:tc>
                <w:tcPr>
                  <w:tcW w:w="2655" w:type="pct"/>
                  <w:tcBorders>
                    <w:top w:val="single" w:color="auto" w:sz="4" w:space="0"/>
                    <w:left w:val="single" w:color="auto" w:sz="4" w:space="0"/>
                    <w:bottom w:val="single" w:color="auto" w:sz="4" w:space="0"/>
                    <w:right w:val="single" w:color="auto" w:sz="4" w:space="0"/>
                  </w:tcBorders>
                  <w:vAlign w:val="center"/>
                </w:tcPr>
                <w:p w14:paraId="17F516E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土石方临时堆场修建挡护措施、垃圾清运</w:t>
                  </w:r>
                </w:p>
              </w:tc>
              <w:tc>
                <w:tcPr>
                  <w:tcW w:w="571" w:type="pct"/>
                  <w:tcBorders>
                    <w:top w:val="single" w:color="auto" w:sz="4" w:space="0"/>
                    <w:left w:val="single" w:color="auto" w:sz="4" w:space="0"/>
                    <w:bottom w:val="single" w:color="auto" w:sz="4" w:space="0"/>
                    <w:right w:val="single" w:color="auto" w:sz="4" w:space="0"/>
                  </w:tcBorders>
                  <w:vAlign w:val="center"/>
                </w:tcPr>
                <w:p w14:paraId="190BFBB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kern w:val="0"/>
                      <w:sz w:val="22"/>
                      <w:szCs w:val="22"/>
                      <w:highlight w:val="none"/>
                      <w:lang w:eastAsia="zh-CN"/>
                    </w:rPr>
                  </w:pPr>
                  <w:r>
                    <w:rPr>
                      <w:rFonts w:hint="eastAsia" w:ascii="Times New Roman" w:hAnsi="Times New Roman" w:eastAsia="宋体" w:cs="Times New Roman"/>
                      <w:b w:val="0"/>
                      <w:color w:val="auto"/>
                      <w:kern w:val="0"/>
                      <w:sz w:val="22"/>
                      <w:szCs w:val="22"/>
                      <w:highlight w:val="none"/>
                      <w:lang w:val="en-US" w:eastAsia="zh-CN"/>
                    </w:rPr>
                    <w:t>5</w:t>
                  </w:r>
                </w:p>
              </w:tc>
              <w:tc>
                <w:tcPr>
                  <w:tcW w:w="631" w:type="pct"/>
                  <w:tcBorders>
                    <w:top w:val="single" w:color="auto" w:sz="4" w:space="0"/>
                    <w:left w:val="single" w:color="auto" w:sz="4" w:space="0"/>
                    <w:bottom w:val="single" w:color="auto" w:sz="4" w:space="0"/>
                    <w:right w:val="single" w:color="auto" w:sz="4" w:space="0"/>
                  </w:tcBorders>
                  <w:vAlign w:val="center"/>
                </w:tcPr>
                <w:p w14:paraId="24D76B9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30FA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09B6B84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79F46EF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噪声</w:t>
                  </w:r>
                </w:p>
              </w:tc>
              <w:tc>
                <w:tcPr>
                  <w:tcW w:w="2655" w:type="pct"/>
                  <w:tcBorders>
                    <w:top w:val="single" w:color="auto" w:sz="4" w:space="0"/>
                    <w:left w:val="single" w:color="auto" w:sz="4" w:space="0"/>
                    <w:bottom w:val="single" w:color="auto" w:sz="4" w:space="0"/>
                    <w:right w:val="single" w:color="auto" w:sz="4" w:space="0"/>
                  </w:tcBorders>
                  <w:vAlign w:val="center"/>
                </w:tcPr>
                <w:p w14:paraId="793FE2F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选用低噪声设备</w:t>
                  </w:r>
                  <w:r>
                    <w:rPr>
                      <w:rFonts w:hint="eastAsia" w:ascii="Times New Roman" w:hAnsi="Times New Roman" w:eastAsia="宋体" w:cs="Times New Roman"/>
                      <w:b w:val="0"/>
                      <w:color w:val="auto"/>
                      <w:kern w:val="0"/>
                      <w:sz w:val="22"/>
                      <w:szCs w:val="22"/>
                      <w:highlight w:val="none"/>
                      <w:lang w:eastAsia="zh-CN"/>
                    </w:rPr>
                    <w:t>。</w:t>
                  </w:r>
                  <w:r>
                    <w:rPr>
                      <w:rFonts w:hint="eastAsia" w:ascii="Times New Roman" w:hAnsi="Times New Roman" w:eastAsia="宋体" w:cs="Times New Roman"/>
                      <w:b w:val="0"/>
                      <w:color w:val="auto"/>
                      <w:kern w:val="0"/>
                      <w:sz w:val="22"/>
                      <w:szCs w:val="22"/>
                      <w:highlight w:val="none"/>
                    </w:rPr>
                    <w:t>合理安排施工时间，合理布置施工平面图，加强管理等</w:t>
                  </w:r>
                </w:p>
              </w:tc>
              <w:tc>
                <w:tcPr>
                  <w:tcW w:w="571" w:type="pct"/>
                  <w:tcBorders>
                    <w:top w:val="single" w:color="auto" w:sz="4" w:space="0"/>
                    <w:left w:val="single" w:color="auto" w:sz="4" w:space="0"/>
                    <w:bottom w:val="single" w:color="auto" w:sz="4" w:space="0"/>
                    <w:right w:val="single" w:color="auto" w:sz="4" w:space="0"/>
                  </w:tcBorders>
                  <w:vAlign w:val="center"/>
                </w:tcPr>
                <w:p w14:paraId="48BE331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纳入工程投资</w:t>
                  </w:r>
                </w:p>
              </w:tc>
              <w:tc>
                <w:tcPr>
                  <w:tcW w:w="631" w:type="pct"/>
                  <w:tcBorders>
                    <w:top w:val="single" w:color="auto" w:sz="4" w:space="0"/>
                    <w:left w:val="single" w:color="auto" w:sz="4" w:space="0"/>
                    <w:bottom w:val="single" w:color="auto" w:sz="4" w:space="0"/>
                    <w:right w:val="single" w:color="auto" w:sz="4" w:space="0"/>
                  </w:tcBorders>
                  <w:vAlign w:val="center"/>
                </w:tcPr>
                <w:p w14:paraId="685F641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41BE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3861BF6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5A487CF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生态</w:t>
                  </w:r>
                </w:p>
              </w:tc>
              <w:tc>
                <w:tcPr>
                  <w:tcW w:w="2655" w:type="pct"/>
                  <w:tcBorders>
                    <w:top w:val="single" w:color="auto" w:sz="4" w:space="0"/>
                    <w:left w:val="single" w:color="auto" w:sz="4" w:space="0"/>
                    <w:bottom w:val="single" w:color="auto" w:sz="4" w:space="0"/>
                    <w:right w:val="single" w:color="auto" w:sz="4" w:space="0"/>
                  </w:tcBorders>
                  <w:vAlign w:val="center"/>
                </w:tcPr>
                <w:p w14:paraId="781F481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施工迹地及时恢复</w:t>
                  </w:r>
                </w:p>
              </w:tc>
              <w:tc>
                <w:tcPr>
                  <w:tcW w:w="571" w:type="pct"/>
                  <w:tcBorders>
                    <w:top w:val="single" w:color="auto" w:sz="4" w:space="0"/>
                    <w:left w:val="single" w:color="auto" w:sz="4" w:space="0"/>
                    <w:bottom w:val="single" w:color="auto" w:sz="4" w:space="0"/>
                    <w:right w:val="single" w:color="auto" w:sz="4" w:space="0"/>
                  </w:tcBorders>
                  <w:vAlign w:val="center"/>
                </w:tcPr>
                <w:p w14:paraId="0CD0862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kern w:val="0"/>
                      <w:sz w:val="22"/>
                      <w:szCs w:val="22"/>
                      <w:highlight w:val="none"/>
                      <w:lang w:eastAsia="zh-CN"/>
                    </w:rPr>
                  </w:pPr>
                  <w:r>
                    <w:rPr>
                      <w:rFonts w:hint="eastAsia" w:ascii="Times New Roman" w:hAnsi="Times New Roman" w:eastAsia="宋体" w:cs="Times New Roman"/>
                      <w:b w:val="0"/>
                      <w:color w:val="auto"/>
                      <w:kern w:val="0"/>
                      <w:sz w:val="22"/>
                      <w:szCs w:val="22"/>
                      <w:highlight w:val="none"/>
                      <w:lang w:val="en-US" w:eastAsia="zh-CN"/>
                    </w:rPr>
                    <w:t>5</w:t>
                  </w:r>
                </w:p>
              </w:tc>
              <w:tc>
                <w:tcPr>
                  <w:tcW w:w="631" w:type="pct"/>
                  <w:tcBorders>
                    <w:top w:val="single" w:color="auto" w:sz="4" w:space="0"/>
                    <w:left w:val="single" w:color="auto" w:sz="4" w:space="0"/>
                    <w:bottom w:val="single" w:color="auto" w:sz="4" w:space="0"/>
                    <w:right w:val="single" w:color="auto" w:sz="4" w:space="0"/>
                  </w:tcBorders>
                  <w:vAlign w:val="center"/>
                </w:tcPr>
                <w:p w14:paraId="51BF82B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1EF8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0" w:type="pct"/>
                  <w:vMerge w:val="restart"/>
                  <w:tcBorders>
                    <w:top w:val="single" w:color="auto" w:sz="4" w:space="0"/>
                    <w:left w:val="single" w:color="auto" w:sz="4" w:space="0"/>
                    <w:bottom w:val="single" w:color="auto" w:sz="4" w:space="0"/>
                    <w:right w:val="single" w:color="auto" w:sz="4" w:space="0"/>
                  </w:tcBorders>
                  <w:vAlign w:val="center"/>
                </w:tcPr>
                <w:p w14:paraId="304584E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营运期</w:t>
                  </w:r>
                </w:p>
              </w:tc>
              <w:tc>
                <w:tcPr>
                  <w:tcW w:w="571" w:type="pct"/>
                  <w:tcBorders>
                    <w:top w:val="single" w:color="auto" w:sz="4" w:space="0"/>
                    <w:left w:val="single" w:color="auto" w:sz="4" w:space="0"/>
                    <w:bottom w:val="single" w:color="auto" w:sz="4" w:space="0"/>
                    <w:right w:val="single" w:color="auto" w:sz="4" w:space="0"/>
                  </w:tcBorders>
                  <w:vAlign w:val="center"/>
                </w:tcPr>
                <w:p w14:paraId="30310DC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废气</w:t>
                  </w:r>
                </w:p>
              </w:tc>
              <w:tc>
                <w:tcPr>
                  <w:tcW w:w="2655" w:type="pct"/>
                  <w:tcBorders>
                    <w:top w:val="single" w:color="auto" w:sz="4" w:space="0"/>
                    <w:left w:val="single" w:color="auto" w:sz="4" w:space="0"/>
                    <w:bottom w:val="single" w:color="auto" w:sz="4" w:space="0"/>
                    <w:right w:val="single" w:color="auto" w:sz="4" w:space="0"/>
                  </w:tcBorders>
                  <w:vAlign w:val="center"/>
                </w:tcPr>
                <w:p w14:paraId="28C3E8A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rPr>
                    <w:t xml:space="preserve"> </w:t>
                  </w:r>
                  <w:r>
                    <w:rPr>
                      <w:rFonts w:hint="eastAsia" w:ascii="Times New Roman" w:hAnsi="Times New Roman" w:eastAsia="宋体" w:cs="Times New Roman"/>
                      <w:b w:val="0"/>
                      <w:color w:val="auto"/>
                      <w:kern w:val="0"/>
                      <w:sz w:val="22"/>
                      <w:szCs w:val="22"/>
                      <w:highlight w:val="none"/>
                      <w:lang w:val="en-US" w:eastAsia="zh-CN"/>
                    </w:rPr>
                    <w:t>洒水设备、2套布袋除尘器、油烟机</w:t>
                  </w:r>
                </w:p>
              </w:tc>
              <w:tc>
                <w:tcPr>
                  <w:tcW w:w="571" w:type="pct"/>
                  <w:tcBorders>
                    <w:top w:val="single" w:color="auto" w:sz="4" w:space="0"/>
                    <w:left w:val="single" w:color="auto" w:sz="4" w:space="0"/>
                    <w:bottom w:val="single" w:color="auto" w:sz="4" w:space="0"/>
                    <w:right w:val="single" w:color="auto" w:sz="4" w:space="0"/>
                  </w:tcBorders>
                  <w:vAlign w:val="center"/>
                </w:tcPr>
                <w:p w14:paraId="5B40305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lang w:val="en-US" w:eastAsia="zh-CN"/>
                    </w:rPr>
                    <w:t>70</w:t>
                  </w:r>
                </w:p>
              </w:tc>
              <w:tc>
                <w:tcPr>
                  <w:tcW w:w="631" w:type="pct"/>
                  <w:tcBorders>
                    <w:top w:val="single" w:color="auto" w:sz="4" w:space="0"/>
                    <w:left w:val="single" w:color="auto" w:sz="4" w:space="0"/>
                    <w:bottom w:val="single" w:color="auto" w:sz="4" w:space="0"/>
                    <w:right w:val="single" w:color="auto" w:sz="4" w:space="0"/>
                  </w:tcBorders>
                  <w:vAlign w:val="center"/>
                </w:tcPr>
                <w:p w14:paraId="44652D8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7EDB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4E80BC4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right w:val="single" w:color="auto" w:sz="4" w:space="0"/>
                  </w:tcBorders>
                  <w:vAlign w:val="center"/>
                </w:tcPr>
                <w:p w14:paraId="0388444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lang w:val="en-US" w:eastAsia="zh-CN"/>
                    </w:rPr>
                    <w:t>废水</w:t>
                  </w:r>
                </w:p>
              </w:tc>
              <w:tc>
                <w:tcPr>
                  <w:tcW w:w="2655" w:type="pct"/>
                  <w:tcBorders>
                    <w:top w:val="single" w:color="auto" w:sz="4" w:space="0"/>
                    <w:left w:val="single" w:color="auto" w:sz="4" w:space="0"/>
                    <w:bottom w:val="single" w:color="auto" w:sz="4" w:space="0"/>
                    <w:right w:val="single" w:color="auto" w:sz="4" w:space="0"/>
                  </w:tcBorders>
                  <w:vAlign w:val="center"/>
                </w:tcPr>
                <w:p w14:paraId="0D75602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lang w:val="en-US" w:eastAsia="zh-CN"/>
                    </w:rPr>
                    <w:t>初期雨水沉淀池（50m</w:t>
                  </w:r>
                  <w:r>
                    <w:rPr>
                      <w:rFonts w:hint="eastAsia" w:ascii="Times New Roman" w:hAnsi="Times New Roman" w:eastAsia="宋体" w:cs="Times New Roman"/>
                      <w:b w:val="0"/>
                      <w:color w:val="auto"/>
                      <w:kern w:val="0"/>
                      <w:sz w:val="22"/>
                      <w:szCs w:val="22"/>
                      <w:highlight w:val="none"/>
                      <w:vertAlign w:val="superscript"/>
                      <w:lang w:val="en-US" w:eastAsia="zh-CN"/>
                    </w:rPr>
                    <w:t>3</w:t>
                  </w:r>
                  <w:r>
                    <w:rPr>
                      <w:rFonts w:hint="eastAsia" w:ascii="Times New Roman" w:hAnsi="Times New Roman" w:eastAsia="宋体" w:cs="Times New Roman"/>
                      <w:b w:val="0"/>
                      <w:color w:val="auto"/>
                      <w:kern w:val="0"/>
                      <w:sz w:val="22"/>
                      <w:szCs w:val="22"/>
                      <w:highlight w:val="none"/>
                      <w:lang w:val="en-US" w:eastAsia="zh-CN"/>
                    </w:rPr>
                    <w:t>）、车辆清洗池（2m</w:t>
                  </w:r>
                  <w:r>
                    <w:rPr>
                      <w:rFonts w:hint="eastAsia" w:ascii="Times New Roman" w:hAnsi="Times New Roman" w:eastAsia="宋体" w:cs="Times New Roman"/>
                      <w:b w:val="0"/>
                      <w:color w:val="auto"/>
                      <w:kern w:val="0"/>
                      <w:sz w:val="22"/>
                      <w:szCs w:val="22"/>
                      <w:highlight w:val="none"/>
                      <w:vertAlign w:val="superscript"/>
                      <w:lang w:val="en-US" w:eastAsia="zh-CN"/>
                    </w:rPr>
                    <w:t>3</w:t>
                  </w:r>
                  <w:r>
                    <w:rPr>
                      <w:rFonts w:hint="eastAsia" w:ascii="Times New Roman" w:hAnsi="Times New Roman" w:eastAsia="宋体" w:cs="Times New Roman"/>
                      <w:b w:val="0"/>
                      <w:color w:val="auto"/>
                      <w:kern w:val="0"/>
                      <w:sz w:val="22"/>
                      <w:szCs w:val="22"/>
                      <w:highlight w:val="none"/>
                      <w:lang w:val="en-US" w:eastAsia="zh-CN"/>
                    </w:rPr>
                    <w:t>）、化粪池（</w:t>
                  </w:r>
                  <w:r>
                    <w:rPr>
                      <w:rFonts w:hint="eastAsia" w:cs="Times New Roman"/>
                      <w:b w:val="0"/>
                      <w:color w:val="auto"/>
                      <w:kern w:val="0"/>
                      <w:sz w:val="22"/>
                      <w:szCs w:val="22"/>
                      <w:highlight w:val="none"/>
                      <w:lang w:val="en-US" w:eastAsia="zh-CN"/>
                    </w:rPr>
                    <w:t>10</w:t>
                  </w:r>
                  <w:r>
                    <w:rPr>
                      <w:rFonts w:hint="eastAsia" w:ascii="Times New Roman" w:hAnsi="Times New Roman" w:eastAsia="宋体" w:cs="Times New Roman"/>
                      <w:b w:val="0"/>
                      <w:color w:val="auto"/>
                      <w:kern w:val="0"/>
                      <w:sz w:val="22"/>
                      <w:szCs w:val="22"/>
                      <w:highlight w:val="none"/>
                      <w:lang w:val="en-US" w:eastAsia="zh-CN"/>
                    </w:rPr>
                    <w:t>m</w:t>
                  </w:r>
                  <w:r>
                    <w:rPr>
                      <w:rFonts w:hint="eastAsia" w:ascii="Times New Roman" w:hAnsi="Times New Roman" w:eastAsia="宋体" w:cs="Times New Roman"/>
                      <w:b w:val="0"/>
                      <w:color w:val="auto"/>
                      <w:kern w:val="0"/>
                      <w:sz w:val="22"/>
                      <w:szCs w:val="22"/>
                      <w:highlight w:val="none"/>
                      <w:vertAlign w:val="superscript"/>
                      <w:lang w:val="en-US" w:eastAsia="zh-CN"/>
                    </w:rPr>
                    <w:t>3</w:t>
                  </w:r>
                  <w:r>
                    <w:rPr>
                      <w:rFonts w:hint="eastAsia" w:ascii="Times New Roman" w:hAnsi="Times New Roman" w:eastAsia="宋体" w:cs="Times New Roman"/>
                      <w:b w:val="0"/>
                      <w:color w:val="auto"/>
                      <w:kern w:val="0"/>
                      <w:sz w:val="22"/>
                      <w:szCs w:val="22"/>
                      <w:highlight w:val="none"/>
                      <w:lang w:val="en-US" w:eastAsia="zh-CN"/>
                    </w:rPr>
                    <w:t>）</w:t>
                  </w:r>
                  <w:r>
                    <w:rPr>
                      <w:rFonts w:hint="eastAsia" w:cs="Times New Roman"/>
                      <w:b w:val="0"/>
                      <w:color w:val="auto"/>
                      <w:kern w:val="0"/>
                      <w:sz w:val="22"/>
                      <w:szCs w:val="22"/>
                      <w:highlight w:val="none"/>
                      <w:lang w:val="en-US" w:eastAsia="zh-CN"/>
                    </w:rPr>
                    <w:t>、隔油池</w:t>
                  </w:r>
                  <w:r>
                    <w:rPr>
                      <w:rFonts w:hint="eastAsia" w:ascii="Times New Roman" w:hAnsi="Times New Roman" w:eastAsia="宋体" w:cs="Times New Roman"/>
                      <w:b w:val="0"/>
                      <w:color w:val="auto"/>
                      <w:kern w:val="0"/>
                      <w:sz w:val="22"/>
                      <w:szCs w:val="22"/>
                      <w:highlight w:val="none"/>
                      <w:lang w:val="en-US" w:eastAsia="zh-CN"/>
                    </w:rPr>
                    <w:t>（</w:t>
                  </w:r>
                  <w:r>
                    <w:rPr>
                      <w:rFonts w:hint="eastAsia" w:ascii="Times New Roman" w:hAnsi="Times New Roman" w:cs="Times New Roman"/>
                      <w:b w:val="0"/>
                      <w:color w:val="auto"/>
                      <w:kern w:val="0"/>
                      <w:sz w:val="22"/>
                      <w:szCs w:val="22"/>
                      <w:highlight w:val="none"/>
                      <w:lang w:val="en-US" w:eastAsia="zh-CN"/>
                    </w:rPr>
                    <w:t>4</w:t>
                  </w:r>
                  <w:r>
                    <w:rPr>
                      <w:rFonts w:hint="eastAsia" w:ascii="Times New Roman" w:hAnsi="Times New Roman" w:eastAsia="宋体" w:cs="Times New Roman"/>
                      <w:b w:val="0"/>
                      <w:color w:val="auto"/>
                      <w:kern w:val="0"/>
                      <w:sz w:val="22"/>
                      <w:szCs w:val="22"/>
                      <w:highlight w:val="none"/>
                      <w:lang w:val="en-US" w:eastAsia="zh-CN"/>
                    </w:rPr>
                    <w:t>m</w:t>
                  </w:r>
                  <w:r>
                    <w:rPr>
                      <w:rFonts w:hint="eastAsia" w:ascii="Times New Roman" w:hAnsi="Times New Roman" w:eastAsia="宋体" w:cs="Times New Roman"/>
                      <w:b w:val="0"/>
                      <w:color w:val="auto"/>
                      <w:kern w:val="0"/>
                      <w:sz w:val="22"/>
                      <w:szCs w:val="22"/>
                      <w:highlight w:val="none"/>
                      <w:vertAlign w:val="superscript"/>
                      <w:lang w:val="en-US" w:eastAsia="zh-CN"/>
                    </w:rPr>
                    <w:t>3</w:t>
                  </w:r>
                  <w:r>
                    <w:rPr>
                      <w:rFonts w:hint="eastAsia" w:ascii="Times New Roman" w:hAnsi="Times New Roman" w:eastAsia="宋体" w:cs="Times New Roman"/>
                      <w:b w:val="0"/>
                      <w:color w:val="auto"/>
                      <w:kern w:val="0"/>
                      <w:sz w:val="22"/>
                      <w:szCs w:val="22"/>
                      <w:highlight w:val="none"/>
                      <w:lang w:val="en-US" w:eastAsia="zh-CN"/>
                    </w:rPr>
                    <w:t>）</w:t>
                  </w:r>
                </w:p>
              </w:tc>
              <w:tc>
                <w:tcPr>
                  <w:tcW w:w="571" w:type="pct"/>
                  <w:tcBorders>
                    <w:top w:val="single" w:color="auto" w:sz="4" w:space="0"/>
                    <w:left w:val="single" w:color="auto" w:sz="4" w:space="0"/>
                    <w:bottom w:val="single" w:color="auto" w:sz="4" w:space="0"/>
                    <w:right w:val="single" w:color="auto" w:sz="4" w:space="0"/>
                  </w:tcBorders>
                  <w:vAlign w:val="center"/>
                </w:tcPr>
                <w:p w14:paraId="4E1BC6D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cs="Times New Roman"/>
                      <w:b w:val="0"/>
                      <w:color w:val="auto"/>
                      <w:kern w:val="0"/>
                      <w:sz w:val="22"/>
                      <w:szCs w:val="22"/>
                      <w:highlight w:val="none"/>
                      <w:lang w:val="en-US" w:eastAsia="zh-CN"/>
                    </w:rPr>
                    <w:t>10</w:t>
                  </w:r>
                </w:p>
              </w:tc>
              <w:tc>
                <w:tcPr>
                  <w:tcW w:w="631" w:type="pct"/>
                  <w:tcBorders>
                    <w:top w:val="single" w:color="auto" w:sz="4" w:space="0"/>
                    <w:left w:val="single" w:color="auto" w:sz="4" w:space="0"/>
                    <w:bottom w:val="single" w:color="auto" w:sz="4" w:space="0"/>
                    <w:right w:val="single" w:color="auto" w:sz="4" w:space="0"/>
                  </w:tcBorders>
                  <w:vAlign w:val="center"/>
                </w:tcPr>
                <w:p w14:paraId="7A8849A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0FDC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78B74FB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left w:val="single" w:color="auto" w:sz="4" w:space="0"/>
                    <w:right w:val="single" w:color="auto" w:sz="4" w:space="0"/>
                  </w:tcBorders>
                  <w:vAlign w:val="center"/>
                </w:tcPr>
                <w:p w14:paraId="22BC199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固废</w:t>
                  </w:r>
                </w:p>
              </w:tc>
              <w:tc>
                <w:tcPr>
                  <w:tcW w:w="2655" w:type="pct"/>
                  <w:tcBorders>
                    <w:top w:val="single" w:color="auto" w:sz="4" w:space="0"/>
                    <w:left w:val="single" w:color="auto" w:sz="4" w:space="0"/>
                    <w:bottom w:val="single" w:color="auto" w:sz="4" w:space="0"/>
                    <w:right w:val="single" w:color="auto" w:sz="4" w:space="0"/>
                  </w:tcBorders>
                  <w:vAlign w:val="center"/>
                </w:tcPr>
                <w:p w14:paraId="7AC5352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rPr>
                    <w:t>垃圾桶</w:t>
                  </w:r>
                  <w:r>
                    <w:rPr>
                      <w:rFonts w:hint="eastAsia" w:cs="Times New Roman"/>
                      <w:b w:val="0"/>
                      <w:color w:val="auto"/>
                      <w:kern w:val="0"/>
                      <w:sz w:val="22"/>
                      <w:szCs w:val="22"/>
                      <w:highlight w:val="none"/>
                      <w:lang w:eastAsia="zh-CN"/>
                    </w:rPr>
                    <w:t>、</w:t>
                  </w:r>
                  <w:r>
                    <w:rPr>
                      <w:rFonts w:hint="eastAsia" w:cs="Times New Roman"/>
                      <w:b w:val="0"/>
                      <w:color w:val="auto"/>
                      <w:kern w:val="0"/>
                      <w:sz w:val="22"/>
                      <w:szCs w:val="22"/>
                      <w:highlight w:val="none"/>
                      <w:lang w:val="en-US" w:eastAsia="zh-CN"/>
                    </w:rPr>
                    <w:t>危废暂存间</w:t>
                  </w:r>
                </w:p>
              </w:tc>
              <w:tc>
                <w:tcPr>
                  <w:tcW w:w="571" w:type="pct"/>
                  <w:tcBorders>
                    <w:top w:val="single" w:color="auto" w:sz="4" w:space="0"/>
                    <w:left w:val="single" w:color="auto" w:sz="4" w:space="0"/>
                    <w:bottom w:val="single" w:color="auto" w:sz="4" w:space="0"/>
                    <w:right w:val="single" w:color="auto" w:sz="4" w:space="0"/>
                  </w:tcBorders>
                  <w:vAlign w:val="center"/>
                </w:tcPr>
                <w:p w14:paraId="7DD8CCB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cs="Times New Roman"/>
                      <w:b w:val="0"/>
                      <w:color w:val="auto"/>
                      <w:kern w:val="0"/>
                      <w:sz w:val="22"/>
                      <w:szCs w:val="22"/>
                      <w:highlight w:val="none"/>
                      <w:lang w:val="en-US" w:eastAsia="zh-CN"/>
                    </w:rPr>
                    <w:t>5</w:t>
                  </w:r>
                </w:p>
              </w:tc>
              <w:tc>
                <w:tcPr>
                  <w:tcW w:w="631" w:type="pct"/>
                  <w:tcBorders>
                    <w:top w:val="single" w:color="auto" w:sz="4" w:space="0"/>
                    <w:left w:val="single" w:color="auto" w:sz="4" w:space="0"/>
                    <w:bottom w:val="single" w:color="auto" w:sz="4" w:space="0"/>
                    <w:right w:val="single" w:color="auto" w:sz="4" w:space="0"/>
                  </w:tcBorders>
                  <w:vAlign w:val="center"/>
                </w:tcPr>
                <w:p w14:paraId="5EDD1EF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013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2B99832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1C79519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声环境</w:t>
                  </w:r>
                </w:p>
              </w:tc>
              <w:tc>
                <w:tcPr>
                  <w:tcW w:w="2655" w:type="pct"/>
                  <w:tcBorders>
                    <w:top w:val="single" w:color="auto" w:sz="4" w:space="0"/>
                    <w:left w:val="single" w:color="auto" w:sz="4" w:space="0"/>
                    <w:bottom w:val="single" w:color="auto" w:sz="4" w:space="0"/>
                    <w:right w:val="single" w:color="auto" w:sz="4" w:space="0"/>
                  </w:tcBorders>
                  <w:vAlign w:val="center"/>
                </w:tcPr>
                <w:p w14:paraId="12B6A60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设备安装减振、消声等措施，建筑隔声等</w:t>
                  </w:r>
                </w:p>
              </w:tc>
              <w:tc>
                <w:tcPr>
                  <w:tcW w:w="571" w:type="pct"/>
                  <w:tcBorders>
                    <w:top w:val="single" w:color="auto" w:sz="4" w:space="0"/>
                    <w:left w:val="single" w:color="auto" w:sz="4" w:space="0"/>
                    <w:bottom w:val="single" w:color="auto" w:sz="4" w:space="0"/>
                    <w:right w:val="single" w:color="auto" w:sz="4" w:space="0"/>
                  </w:tcBorders>
                  <w:vAlign w:val="center"/>
                </w:tcPr>
                <w:p w14:paraId="444ED8D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纳入工程</w:t>
                  </w:r>
                  <w:r>
                    <w:rPr>
                      <w:rFonts w:ascii="Times New Roman" w:hAnsi="Times New Roman" w:eastAsia="宋体" w:cs="Times New Roman"/>
                      <w:b w:val="0"/>
                      <w:color w:val="auto"/>
                      <w:kern w:val="0"/>
                      <w:sz w:val="22"/>
                      <w:szCs w:val="22"/>
                      <w:highlight w:val="none"/>
                    </w:rPr>
                    <w:t>投资</w:t>
                  </w:r>
                </w:p>
              </w:tc>
              <w:tc>
                <w:tcPr>
                  <w:tcW w:w="631" w:type="pct"/>
                  <w:tcBorders>
                    <w:top w:val="single" w:color="auto" w:sz="4" w:space="0"/>
                    <w:left w:val="single" w:color="auto" w:sz="4" w:space="0"/>
                    <w:bottom w:val="single" w:color="auto" w:sz="4" w:space="0"/>
                    <w:right w:val="single" w:color="auto" w:sz="4" w:space="0"/>
                  </w:tcBorders>
                  <w:vAlign w:val="center"/>
                </w:tcPr>
                <w:p w14:paraId="39FCF18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7E9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op w:val="single" w:color="auto" w:sz="4" w:space="0"/>
                    <w:left w:val="single" w:color="auto" w:sz="4" w:space="0"/>
                    <w:bottom w:val="single" w:color="auto" w:sz="4" w:space="0"/>
                    <w:right w:val="single" w:color="auto" w:sz="4" w:space="0"/>
                  </w:tcBorders>
                  <w:vAlign w:val="center"/>
                </w:tcPr>
                <w:p w14:paraId="6D94C48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ascii="Times New Roman" w:hAnsi="Times New Roman" w:eastAsia="宋体" w:cs="Times New Roman"/>
                      <w:b w:val="0"/>
                      <w:color w:val="auto"/>
                      <w:kern w:val="0"/>
                      <w:sz w:val="22"/>
                      <w:szCs w:val="22"/>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14:paraId="4DEE2E3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风险防范措施</w:t>
                  </w:r>
                </w:p>
              </w:tc>
              <w:tc>
                <w:tcPr>
                  <w:tcW w:w="2655" w:type="pct"/>
                  <w:tcBorders>
                    <w:top w:val="single" w:color="auto" w:sz="4" w:space="0"/>
                    <w:left w:val="single" w:color="auto" w:sz="4" w:space="0"/>
                    <w:bottom w:val="single" w:color="auto" w:sz="4" w:space="0"/>
                    <w:right w:val="single" w:color="auto" w:sz="4" w:space="0"/>
                  </w:tcBorders>
                  <w:vAlign w:val="center"/>
                </w:tcPr>
                <w:p w14:paraId="0149D0D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加强管理及巡查，应急预案编制</w:t>
                  </w:r>
                </w:p>
              </w:tc>
              <w:tc>
                <w:tcPr>
                  <w:tcW w:w="571" w:type="pct"/>
                  <w:tcBorders>
                    <w:top w:val="single" w:color="auto" w:sz="4" w:space="0"/>
                    <w:left w:val="single" w:color="auto" w:sz="4" w:space="0"/>
                    <w:bottom w:val="single" w:color="auto" w:sz="4" w:space="0"/>
                    <w:right w:val="single" w:color="auto" w:sz="4" w:space="0"/>
                  </w:tcBorders>
                  <w:vAlign w:val="center"/>
                </w:tcPr>
                <w:p w14:paraId="3EBCD9C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kern w:val="0"/>
                      <w:sz w:val="22"/>
                      <w:szCs w:val="22"/>
                      <w:highlight w:val="none"/>
                      <w:lang w:val="en-US" w:eastAsia="zh-CN"/>
                    </w:rPr>
                  </w:pPr>
                  <w:r>
                    <w:rPr>
                      <w:rFonts w:hint="eastAsia" w:ascii="Times New Roman" w:hAnsi="Times New Roman" w:eastAsia="宋体" w:cs="Times New Roman"/>
                      <w:b w:val="0"/>
                      <w:color w:val="auto"/>
                      <w:kern w:val="0"/>
                      <w:sz w:val="22"/>
                      <w:szCs w:val="22"/>
                      <w:highlight w:val="none"/>
                      <w:lang w:val="en-US" w:eastAsia="zh-CN"/>
                    </w:rPr>
                    <w:t>5</w:t>
                  </w:r>
                </w:p>
              </w:tc>
              <w:tc>
                <w:tcPr>
                  <w:tcW w:w="631" w:type="pct"/>
                  <w:tcBorders>
                    <w:top w:val="single" w:color="auto" w:sz="4" w:space="0"/>
                    <w:left w:val="single" w:color="auto" w:sz="4" w:space="0"/>
                    <w:bottom w:val="single" w:color="auto" w:sz="4" w:space="0"/>
                    <w:right w:val="single" w:color="auto" w:sz="4" w:space="0"/>
                  </w:tcBorders>
                  <w:vAlign w:val="center"/>
                </w:tcPr>
                <w:p w14:paraId="53D5452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r w14:paraId="684C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7" w:type="pct"/>
                  <w:gridSpan w:val="3"/>
                  <w:tcBorders>
                    <w:top w:val="single" w:color="auto" w:sz="4" w:space="0"/>
                    <w:left w:val="single" w:color="auto" w:sz="4" w:space="0"/>
                    <w:bottom w:val="single" w:color="auto" w:sz="4" w:space="0"/>
                    <w:right w:val="single" w:color="auto" w:sz="4" w:space="0"/>
                  </w:tcBorders>
                  <w:vAlign w:val="center"/>
                </w:tcPr>
                <w:p w14:paraId="16E5017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合计</w:t>
                  </w:r>
                </w:p>
              </w:tc>
              <w:tc>
                <w:tcPr>
                  <w:tcW w:w="571" w:type="pct"/>
                  <w:tcBorders>
                    <w:top w:val="single" w:color="auto" w:sz="4" w:space="0"/>
                    <w:left w:val="single" w:color="auto" w:sz="4" w:space="0"/>
                    <w:bottom w:val="single" w:color="auto" w:sz="4" w:space="0"/>
                    <w:right w:val="single" w:color="auto" w:sz="4" w:space="0"/>
                  </w:tcBorders>
                  <w:vAlign w:val="center"/>
                </w:tcPr>
                <w:p w14:paraId="0665259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color w:val="auto"/>
                      <w:kern w:val="0"/>
                      <w:sz w:val="22"/>
                      <w:szCs w:val="22"/>
                      <w:highlight w:val="none"/>
                      <w:lang w:val="en-US" w:eastAsia="zh-CN"/>
                    </w:rPr>
                  </w:pPr>
                  <w:r>
                    <w:rPr>
                      <w:rFonts w:hint="eastAsia" w:cs="Times New Roman"/>
                      <w:b w:val="0"/>
                      <w:color w:val="auto"/>
                      <w:kern w:val="0"/>
                      <w:sz w:val="22"/>
                      <w:szCs w:val="22"/>
                      <w:highlight w:val="none"/>
                      <w:lang w:val="en-US" w:eastAsia="zh-CN"/>
                    </w:rPr>
                    <w:t>102.3</w:t>
                  </w:r>
                </w:p>
              </w:tc>
              <w:tc>
                <w:tcPr>
                  <w:tcW w:w="631" w:type="pct"/>
                  <w:tcBorders>
                    <w:top w:val="single" w:color="auto" w:sz="4" w:space="0"/>
                    <w:left w:val="single" w:color="auto" w:sz="4" w:space="0"/>
                    <w:bottom w:val="single" w:color="auto" w:sz="4" w:space="0"/>
                    <w:right w:val="single" w:color="auto" w:sz="4" w:space="0"/>
                  </w:tcBorders>
                  <w:vAlign w:val="center"/>
                </w:tcPr>
                <w:p w14:paraId="48F00BA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kern w:val="0"/>
                      <w:sz w:val="22"/>
                      <w:szCs w:val="22"/>
                      <w:highlight w:val="none"/>
                    </w:rPr>
                  </w:pPr>
                  <w:r>
                    <w:rPr>
                      <w:rFonts w:hint="eastAsia" w:ascii="Times New Roman" w:hAnsi="Times New Roman" w:eastAsia="宋体" w:cs="Times New Roman"/>
                      <w:b w:val="0"/>
                      <w:color w:val="auto"/>
                      <w:kern w:val="0"/>
                      <w:sz w:val="22"/>
                      <w:szCs w:val="22"/>
                      <w:highlight w:val="none"/>
                    </w:rPr>
                    <w:t>新增</w:t>
                  </w:r>
                </w:p>
              </w:tc>
            </w:tr>
          </w:tbl>
          <w:p w14:paraId="35C641A0">
            <w:pPr>
              <w:spacing w:line="360" w:lineRule="auto"/>
              <w:ind w:right="50" w:firstLine="480"/>
              <w:jc w:val="left"/>
              <w:rPr>
                <w:rFonts w:ascii="Times New Roman" w:hAnsi="Times New Roman"/>
                <w:color w:val="auto"/>
                <w:sz w:val="24"/>
                <w:highlight w:val="none"/>
              </w:rPr>
            </w:pPr>
          </w:p>
        </w:tc>
      </w:tr>
      <w:tr w14:paraId="57CE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5000" w:type="pct"/>
            <w:gridSpan w:val="11"/>
            <w:noWrap w:val="0"/>
            <w:vAlign w:val="top"/>
          </w:tcPr>
          <w:p w14:paraId="577CCD0F">
            <w:pPr>
              <w:tabs>
                <w:tab w:val="left" w:pos="2445"/>
              </w:tabs>
              <w:spacing w:line="360" w:lineRule="auto"/>
              <w:ind w:right="130" w:rightChars="50" w:firstLine="522"/>
              <w:rPr>
                <w:rFonts w:ascii="Times New Roman" w:hAnsi="Times New Roman"/>
                <w:b/>
                <w:bCs/>
                <w:color w:val="auto"/>
                <w:highlight w:val="none"/>
              </w:rPr>
            </w:pPr>
            <w:r>
              <w:rPr>
                <w:rFonts w:ascii="Times New Roman" w:hAnsi="Times New Roman"/>
                <w:b/>
                <w:bCs/>
                <w:color w:val="auto"/>
                <w:highlight w:val="none"/>
              </w:rPr>
              <w:t>与本项目有关的原有污染情况</w:t>
            </w:r>
          </w:p>
          <w:p w14:paraId="48A21D9A">
            <w:pPr>
              <w:pStyle w:val="20"/>
              <w:keepNext w:val="0"/>
              <w:keepLines w:val="0"/>
              <w:pageBreakBefore w:val="0"/>
              <w:widowControl w:val="0"/>
              <w:kinsoku/>
              <w:wordWrap/>
              <w:overflowPunct/>
              <w:topLinePunct w:val="0"/>
              <w:autoSpaceDE/>
              <w:autoSpaceDN/>
              <w:bidi w:val="0"/>
              <w:adjustRightInd/>
              <w:snapToGrid/>
              <w:spacing w:after="0" w:line="480" w:lineRule="exact"/>
              <w:ind w:firstLine="520" w:firstLineChars="200"/>
              <w:textAlignment w:val="auto"/>
              <w:rPr>
                <w:rFonts w:hint="default"/>
                <w:b w:val="0"/>
                <w:bCs w:val="0"/>
                <w:color w:val="auto"/>
                <w:sz w:val="26"/>
                <w:highlight w:val="none"/>
                <w:lang w:val="en-US" w:eastAsia="zh-CN"/>
              </w:rPr>
            </w:pPr>
            <w:r>
              <w:rPr>
                <w:rFonts w:hint="eastAsia"/>
                <w:b w:val="0"/>
                <w:bCs w:val="0"/>
                <w:color w:val="auto"/>
                <w:sz w:val="26"/>
                <w:highlight w:val="none"/>
                <w:lang w:val="en-US" w:eastAsia="zh-CN"/>
              </w:rPr>
              <w:t>本项目属于新建项目，该项目探矿权期间建设了生活区、1号破碎场地（破碎设备未运行过）及配电房等，场地还堆存有小江砂场的砂石料。本次项目利用已建有的生活区、1号破碎场地及配电房，根据现场踏勘，项目区主要原有污染有以下几点：</w:t>
            </w:r>
          </w:p>
          <w:p w14:paraId="720369B1">
            <w:pPr>
              <w:pStyle w:val="20"/>
              <w:keepNext w:val="0"/>
              <w:keepLines w:val="0"/>
              <w:pageBreakBefore w:val="0"/>
              <w:widowControl w:val="0"/>
              <w:kinsoku/>
              <w:wordWrap/>
              <w:overflowPunct/>
              <w:topLinePunct w:val="0"/>
              <w:autoSpaceDE/>
              <w:autoSpaceDN/>
              <w:bidi w:val="0"/>
              <w:adjustRightInd/>
              <w:snapToGrid/>
              <w:spacing w:after="0" w:line="480" w:lineRule="exact"/>
              <w:ind w:firstLine="520" w:firstLineChars="200"/>
              <w:textAlignment w:val="auto"/>
              <w:rPr>
                <w:rFonts w:hint="eastAsia"/>
                <w:b w:val="0"/>
                <w:bCs w:val="0"/>
                <w:color w:val="auto"/>
                <w:sz w:val="26"/>
                <w:highlight w:val="none"/>
                <w:lang w:val="en-US" w:eastAsia="zh-CN"/>
              </w:rPr>
            </w:pPr>
            <w:r>
              <w:rPr>
                <w:rFonts w:hint="eastAsia"/>
                <w:b w:val="0"/>
                <w:bCs w:val="0"/>
                <w:color w:val="auto"/>
                <w:sz w:val="26"/>
                <w:highlight w:val="none"/>
                <w:lang w:val="en-US" w:eastAsia="zh-CN"/>
              </w:rPr>
              <w:t>1：项目区堆存有小江砂场的砂石料约5万m</w:t>
            </w:r>
            <w:r>
              <w:rPr>
                <w:rFonts w:hint="eastAsia"/>
                <w:b w:val="0"/>
                <w:bCs w:val="0"/>
                <w:color w:val="auto"/>
                <w:sz w:val="26"/>
                <w:highlight w:val="none"/>
                <w:vertAlign w:val="superscript"/>
                <w:lang w:val="en-US" w:eastAsia="zh-CN"/>
              </w:rPr>
              <w:t>3</w:t>
            </w:r>
            <w:r>
              <w:rPr>
                <w:rFonts w:hint="eastAsia"/>
                <w:b w:val="0"/>
                <w:bCs w:val="0"/>
                <w:color w:val="auto"/>
                <w:sz w:val="26"/>
                <w:highlight w:val="none"/>
                <w:lang w:val="en-US" w:eastAsia="zh-CN"/>
              </w:rPr>
              <w:t>，堆存地点未采取降尘措施，粉尘量较大，对空气存在一定的污染。</w:t>
            </w:r>
          </w:p>
          <w:p w14:paraId="6A581A92">
            <w:pPr>
              <w:pStyle w:val="20"/>
              <w:keepNext w:val="0"/>
              <w:keepLines w:val="0"/>
              <w:pageBreakBefore w:val="0"/>
              <w:widowControl w:val="0"/>
              <w:kinsoku/>
              <w:wordWrap/>
              <w:overflowPunct/>
              <w:topLinePunct w:val="0"/>
              <w:autoSpaceDE/>
              <w:autoSpaceDN/>
              <w:bidi w:val="0"/>
              <w:adjustRightInd/>
              <w:snapToGrid/>
              <w:spacing w:after="0" w:line="480" w:lineRule="exact"/>
              <w:ind w:firstLine="520" w:firstLineChars="200"/>
              <w:textAlignment w:val="auto"/>
              <w:rPr>
                <w:rFonts w:hint="eastAsia"/>
                <w:b w:val="0"/>
                <w:bCs w:val="0"/>
                <w:color w:val="auto"/>
                <w:sz w:val="26"/>
                <w:highlight w:val="none"/>
                <w:lang w:val="en-US" w:eastAsia="zh-CN"/>
              </w:rPr>
            </w:pPr>
            <w:r>
              <w:rPr>
                <w:rFonts w:hint="eastAsia"/>
                <w:b w:val="0"/>
                <w:bCs w:val="0"/>
                <w:color w:val="auto"/>
                <w:sz w:val="26"/>
                <w:highlight w:val="none"/>
                <w:lang w:val="en-US" w:eastAsia="zh-CN"/>
              </w:rPr>
              <w:t>2：项目区建有生活区，设有厨房，厨房的油烟处理措施为排气扇，其油烟经处理后不能达标排放，对周边的大气环境会造成一定影响。</w:t>
            </w:r>
          </w:p>
          <w:p w14:paraId="18862612">
            <w:pPr>
              <w:pStyle w:val="20"/>
              <w:keepNext w:val="0"/>
              <w:keepLines w:val="0"/>
              <w:pageBreakBefore w:val="0"/>
              <w:widowControl w:val="0"/>
              <w:kinsoku/>
              <w:wordWrap/>
              <w:overflowPunct/>
              <w:topLinePunct w:val="0"/>
              <w:autoSpaceDE/>
              <w:autoSpaceDN/>
              <w:bidi w:val="0"/>
              <w:adjustRightInd/>
              <w:snapToGrid/>
              <w:spacing w:after="0" w:line="480" w:lineRule="exact"/>
              <w:ind w:firstLine="520" w:firstLineChars="200"/>
              <w:textAlignment w:val="auto"/>
              <w:rPr>
                <w:rFonts w:hint="default"/>
                <w:b w:val="0"/>
                <w:bCs w:val="0"/>
                <w:color w:val="auto"/>
                <w:sz w:val="26"/>
                <w:highlight w:val="none"/>
                <w:lang w:val="en-US" w:eastAsia="zh-CN"/>
              </w:rPr>
            </w:pPr>
            <w:r>
              <w:rPr>
                <w:rFonts w:hint="eastAsia"/>
                <w:b w:val="0"/>
                <w:bCs w:val="0"/>
                <w:color w:val="auto"/>
                <w:sz w:val="26"/>
                <w:highlight w:val="none"/>
                <w:lang w:val="en-US" w:eastAsia="zh-CN"/>
              </w:rPr>
              <w:t>3：项目区跨越季节性溪沟老干沟，厂区的现有的砂石料对老干沟造成淤堵。</w:t>
            </w:r>
          </w:p>
          <w:p w14:paraId="2F08DDC2">
            <w:pPr>
              <w:ind w:firstLine="520"/>
              <w:rPr>
                <w:rFonts w:hint="eastAsia"/>
                <w:color w:val="auto"/>
                <w:highlight w:val="none"/>
                <w:lang w:val="en-US" w:eastAsia="zh-CN"/>
              </w:rPr>
            </w:pPr>
            <w:r>
              <w:rPr>
                <w:rFonts w:hint="eastAsia"/>
                <w:b w:val="0"/>
                <w:bCs w:val="0"/>
                <w:color w:val="auto"/>
                <w:sz w:val="26"/>
                <w:highlight w:val="none"/>
                <w:lang w:val="en-US" w:eastAsia="zh-CN"/>
              </w:rPr>
              <w:t>4：项目周边主要为</w:t>
            </w:r>
            <w:r>
              <w:rPr>
                <w:rFonts w:hint="eastAsia" w:ascii="Times New Roman" w:hAnsi="Times New Roman"/>
                <w:color w:val="auto"/>
                <w:highlight w:val="none"/>
              </w:rPr>
              <w:t>荒山荒坡，植被覆盖率低，以生长大量杂草为主，</w:t>
            </w:r>
            <w:r>
              <w:rPr>
                <w:rFonts w:hint="eastAsia"/>
                <w:color w:val="auto"/>
                <w:highlight w:val="none"/>
                <w:lang w:val="en-US" w:eastAsia="zh-CN"/>
              </w:rPr>
              <w:t>周边村庄距离较远，项目东侧有昆巧高速及省二级公路，会产生交通噪声。</w:t>
            </w:r>
          </w:p>
          <w:p w14:paraId="3ED7D9DB">
            <w:pPr>
              <w:pStyle w:val="15"/>
              <w:rPr>
                <w:rFonts w:hint="default"/>
                <w:color w:val="auto"/>
                <w:highlight w:val="none"/>
                <w:lang w:val="en-US" w:eastAsia="zh-CN"/>
              </w:rPr>
            </w:pPr>
          </w:p>
          <w:p w14:paraId="429B7571">
            <w:pPr>
              <w:pStyle w:val="20"/>
              <w:keepNext w:val="0"/>
              <w:keepLines w:val="0"/>
              <w:pageBreakBefore w:val="0"/>
              <w:widowControl w:val="0"/>
              <w:kinsoku/>
              <w:wordWrap/>
              <w:overflowPunct/>
              <w:topLinePunct w:val="0"/>
              <w:autoSpaceDE/>
              <w:autoSpaceDN/>
              <w:bidi w:val="0"/>
              <w:adjustRightInd/>
              <w:snapToGrid/>
              <w:spacing w:after="0" w:line="480" w:lineRule="exact"/>
              <w:ind w:firstLine="520" w:firstLineChars="200"/>
              <w:textAlignment w:val="auto"/>
              <w:rPr>
                <w:rFonts w:hint="default" w:ascii="Times New Roman" w:hAnsi="Times New Roman" w:eastAsia="宋体"/>
                <w:b w:val="0"/>
                <w:bCs w:val="0"/>
                <w:color w:val="auto"/>
                <w:sz w:val="26"/>
                <w:highlight w:val="none"/>
                <w:lang w:val="en-US" w:eastAsia="zh-CN"/>
              </w:rPr>
            </w:pPr>
          </w:p>
        </w:tc>
      </w:tr>
    </w:tbl>
    <w:p w14:paraId="3BD2E900">
      <w:pPr>
        <w:rPr>
          <w:color w:val="auto"/>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43366EA3">
      <w:pPr>
        <w:pStyle w:val="6"/>
        <w:spacing w:before="312" w:after="312"/>
        <w:jc w:val="left"/>
        <w:rPr>
          <w:color w:val="auto"/>
          <w:highlight w:val="none"/>
        </w:rPr>
      </w:pPr>
      <w:bookmarkStart w:id="34" w:name="_Toc526626942"/>
      <w:bookmarkStart w:id="35" w:name="_Toc9811"/>
      <w:r>
        <w:rPr>
          <w:color w:val="auto"/>
          <w:highlight w:val="none"/>
        </w:rPr>
        <w:t>表二、建设项目所在地自然环境、社会环境简况</w:t>
      </w:r>
      <w:bookmarkEnd w:id="34"/>
      <w:bookmarkEnd w:id="3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D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8" w:hRule="atLeast"/>
          <w:jc w:val="center"/>
        </w:trPr>
        <w:tc>
          <w:tcPr>
            <w:tcW w:w="5000" w:type="pct"/>
            <w:noWrap w:val="0"/>
            <w:vAlign w:val="top"/>
          </w:tcPr>
          <w:p w14:paraId="245F9C67">
            <w:pPr>
              <w:adjustRightInd w:val="0"/>
              <w:snapToGrid w:val="0"/>
              <w:spacing w:line="360" w:lineRule="auto"/>
              <w:ind w:left="130" w:leftChars="50" w:right="130" w:rightChars="50" w:firstLine="0" w:firstLineChars="0"/>
              <w:rPr>
                <w:rFonts w:ascii="Times New Roman" w:hAnsi="Times New Roman"/>
                <w:b/>
                <w:bCs/>
                <w:color w:val="auto"/>
                <w:highlight w:val="none"/>
                <w:lang w:bidi="en-US"/>
              </w:rPr>
            </w:pPr>
            <w:r>
              <w:rPr>
                <w:rFonts w:ascii="Times New Roman" w:hAnsi="Times New Roman"/>
                <w:b/>
                <w:bCs/>
                <w:color w:val="auto"/>
                <w:highlight w:val="none"/>
                <w:lang w:bidi="en-US"/>
              </w:rPr>
              <w:t>自然环境简况(地形、地貌、地质、气候、气象、水文、植被、生物多样性等)</w:t>
            </w:r>
          </w:p>
          <w:p w14:paraId="5D735A53">
            <w:pPr>
              <w:ind w:firstLine="522"/>
              <w:rPr>
                <w:rFonts w:ascii="Times New Roman" w:hAnsi="Times New Roman"/>
                <w:b/>
                <w:bCs/>
                <w:color w:val="auto"/>
                <w:highlight w:val="none"/>
              </w:rPr>
            </w:pPr>
            <w:r>
              <w:rPr>
                <w:rFonts w:ascii="Times New Roman" w:hAnsi="Times New Roman"/>
                <w:b/>
                <w:bCs/>
                <w:color w:val="auto"/>
                <w:highlight w:val="none"/>
              </w:rPr>
              <w:t>1、地理位置</w:t>
            </w:r>
          </w:p>
          <w:p w14:paraId="3B898990">
            <w:pPr>
              <w:ind w:firstLine="520"/>
              <w:rPr>
                <w:rFonts w:hint="eastAsia" w:ascii="Times New Roman" w:hAnsi="Times New Roman"/>
                <w:color w:val="auto"/>
                <w:highlight w:val="none"/>
              </w:rPr>
            </w:pPr>
            <w:r>
              <w:rPr>
                <w:rFonts w:hint="eastAsia" w:ascii="Times New Roman" w:hAnsi="Times New Roman"/>
                <w:color w:val="auto"/>
                <w:highlight w:val="none"/>
              </w:rPr>
              <w:t>矿区位于东川区350°方向，直距约30km，地处东川区拖布卡镇大荒地村排子田小组境内。从矿区至东川区运距约35km，其中从矿区到龙东格国道约</w:t>
            </w:r>
            <w:r>
              <w:rPr>
                <w:rFonts w:hint="eastAsia"/>
                <w:color w:val="auto"/>
                <w:highlight w:val="none"/>
                <w:lang w:val="en-US" w:eastAsia="zh-CN"/>
              </w:rPr>
              <w:t>540</w:t>
            </w:r>
            <w:r>
              <w:rPr>
                <w:rFonts w:hint="eastAsia" w:ascii="Times New Roman" w:hAnsi="Times New Roman"/>
                <w:color w:val="auto"/>
                <w:highlight w:val="none"/>
              </w:rPr>
              <w:t>m，经龙东格国道约4.5km到拖布卡高速路收费站，经约30km高速路可到达东川区。从东川区到昆明市运距约145km，全为高速路，交通方便。</w:t>
            </w:r>
          </w:p>
          <w:p w14:paraId="546CAA0B">
            <w:pPr>
              <w:ind w:firstLine="520"/>
              <w:rPr>
                <w:rFonts w:ascii="Times New Roman" w:hAnsi="Times New Roman"/>
                <w:bCs/>
                <w:color w:val="auto"/>
                <w:highlight w:val="none"/>
              </w:rPr>
            </w:pPr>
            <w:r>
              <w:rPr>
                <w:rFonts w:ascii="Times New Roman" w:hAnsi="Times New Roman"/>
                <w:bCs/>
                <w:color w:val="auto"/>
                <w:highlight w:val="none"/>
              </w:rPr>
              <w:t>所在地地理位置见附图</w:t>
            </w:r>
            <w:r>
              <w:rPr>
                <w:rFonts w:hint="eastAsia"/>
                <w:bCs/>
                <w:color w:val="auto"/>
                <w:highlight w:val="none"/>
                <w:lang w:val="en-US" w:eastAsia="zh-CN"/>
              </w:rPr>
              <w:t>3</w:t>
            </w:r>
            <w:r>
              <w:rPr>
                <w:rFonts w:ascii="Times New Roman" w:hAnsi="Times New Roman"/>
                <w:bCs/>
                <w:color w:val="auto"/>
                <w:highlight w:val="none"/>
              </w:rPr>
              <w:t>。</w:t>
            </w:r>
          </w:p>
          <w:p w14:paraId="6D806E37">
            <w:pPr>
              <w:ind w:firstLine="522"/>
              <w:rPr>
                <w:rFonts w:ascii="Times New Roman" w:hAnsi="Times New Roman"/>
                <w:b/>
                <w:bCs/>
                <w:color w:val="auto"/>
                <w:highlight w:val="none"/>
              </w:rPr>
            </w:pPr>
            <w:r>
              <w:rPr>
                <w:rFonts w:ascii="Times New Roman" w:hAnsi="Times New Roman"/>
                <w:b/>
                <w:bCs/>
                <w:color w:val="auto"/>
                <w:highlight w:val="none"/>
              </w:rPr>
              <w:t>2、地形、地貌</w:t>
            </w:r>
          </w:p>
          <w:p w14:paraId="17EB1D13">
            <w:pPr>
              <w:ind w:firstLine="520"/>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东川地处云贵高原北部边缘，属川滇经向构造带与华夏东北构造带结合过度部位。南北最大纵距84.6公里，东西最大横距51.2千米。境内山高谷深，地势陡峻，以小江为界，东侧乌蒙山系，最高峰“牯牛寨”海拔 4017.3 米；西部为拱王山系，最高峰“雪岭”海拔4344.1米，为“滇中第一峰”。东川境内金沙江与小江的交汇处，海拔仅为695米，是昆明市海拔最低点。由于东川境内为世界深大断裂带，地质侵蚀强烈，形成典型的深切割高山峡谷地貌。</w:t>
            </w:r>
          </w:p>
          <w:p w14:paraId="5E0C2B60">
            <w:pPr>
              <w:ind w:firstLine="520"/>
              <w:rPr>
                <w:rFonts w:hint="eastAsia" w:ascii="Times New Roman" w:hAnsi="Times New Roman"/>
                <w:color w:val="auto"/>
                <w:highlight w:val="none"/>
              </w:rPr>
            </w:pPr>
            <w:r>
              <w:rPr>
                <w:rFonts w:hint="eastAsia" w:ascii="Times New Roman" w:hAnsi="Times New Roman"/>
                <w:color w:val="auto"/>
                <w:highlight w:val="none"/>
              </w:rPr>
              <w:t>矿区位于小江西侧，地形地貌属中</w:t>
            </w:r>
            <w:r>
              <w:rPr>
                <w:rFonts w:hint="eastAsia"/>
                <w:color w:val="auto"/>
                <w:highlight w:val="none"/>
                <w:lang w:val="en-US" w:eastAsia="zh-CN"/>
              </w:rPr>
              <w:t>--</w:t>
            </w:r>
            <w:r>
              <w:rPr>
                <w:rFonts w:hint="eastAsia" w:ascii="Times New Roman" w:hAnsi="Times New Roman"/>
                <w:color w:val="auto"/>
                <w:highlight w:val="none"/>
              </w:rPr>
              <w:t>深切割陡坡地形地貌，地势总体南西高，北东低，地形起伏较大，自然坡度5°～65°，局部为陡崖；碳酸盐岩大面积裸露，只在局部稍平缓区域有少量坡残积物堆积。矿区内最高点为矿区南西部，海拔1485m，最低为矿区北东部矿区拐点10号点位置，海拔981m，相对高差504m。矿区北部自西向东发育一条老干沟，两侧为自然边坡。矿区内全部为荒山荒坡，植被覆盖率低，以生长大量杂草为主，少量灌木丛。</w:t>
            </w:r>
          </w:p>
          <w:p w14:paraId="64F88BE2">
            <w:pPr>
              <w:widowControl w:val="0"/>
              <w:ind w:firstLine="522"/>
              <w:rPr>
                <w:rFonts w:hint="eastAsia" w:ascii="Times New Roman" w:hAnsi="Times New Roman" w:eastAsia="宋体"/>
                <w:b/>
                <w:bCs/>
                <w:snapToGrid/>
                <w:color w:val="auto"/>
                <w:kern w:val="2"/>
                <w:highlight w:val="none"/>
                <w:lang w:val="en-US" w:eastAsia="zh-CN"/>
              </w:rPr>
            </w:pPr>
            <w:r>
              <w:rPr>
                <w:rFonts w:hint="eastAsia"/>
                <w:b/>
                <w:bCs/>
                <w:snapToGrid/>
                <w:color w:val="auto"/>
                <w:kern w:val="2"/>
                <w:highlight w:val="none"/>
                <w:lang w:val="en-US" w:eastAsia="zh-CN"/>
              </w:rPr>
              <w:t>3</w:t>
            </w:r>
            <w:r>
              <w:rPr>
                <w:rFonts w:ascii="Times New Roman" w:hAnsi="Times New Roman"/>
                <w:b/>
                <w:bCs/>
                <w:snapToGrid/>
                <w:color w:val="auto"/>
                <w:kern w:val="2"/>
                <w:highlight w:val="none"/>
              </w:rPr>
              <w:t>、气候及气象特征</w:t>
            </w:r>
            <w:r>
              <w:rPr>
                <w:rFonts w:hint="eastAsia"/>
                <w:b/>
                <w:bCs/>
                <w:snapToGrid/>
                <w:color w:val="auto"/>
                <w:kern w:val="2"/>
                <w:highlight w:val="none"/>
                <w:lang w:val="en-US" w:eastAsia="zh-CN"/>
              </w:rPr>
              <w:t xml:space="preserve"> </w:t>
            </w:r>
          </w:p>
          <w:p w14:paraId="4D138940">
            <w:pPr>
              <w:widowControl w:val="0"/>
              <w:ind w:firstLine="520"/>
              <w:rPr>
                <w:rFonts w:hint="eastAsia" w:ascii="Times New Roman" w:hAnsi="Times New Roman"/>
                <w:bCs/>
                <w:snapToGrid/>
                <w:color w:val="auto"/>
                <w:kern w:val="2"/>
                <w:highlight w:val="none"/>
              </w:rPr>
            </w:pPr>
            <w:r>
              <w:rPr>
                <w:rFonts w:hint="eastAsia" w:ascii="Times New Roman" w:hAnsi="Times New Roman"/>
                <w:bCs/>
                <w:snapToGrid/>
                <w:color w:val="auto"/>
                <w:kern w:val="2"/>
                <w:highlight w:val="none"/>
              </w:rPr>
              <w:t>矿区属河谷湿热气候，日照充足，雨量充沛，植被发育一般。该区气候呈典型的立体气候，从河谷区至山顶高山区呈现气候差异大，夏季，河谷区较炎热，高山区凉爽；冬季河谷区较暖和，高山区有降雪。据昆明市东川区人民政府网2016年资料显示，年平均气温14.9℃，极端最高气温42℃，极端最低气温-7.8℃。年平均降水量约为1000.5毫米，月最大降雨量208.3毫米，日最大降雨量153.3毫米，降雨主要集中在5~9月。年日照时2327.5小时，年蒸发量1856.4毫米。高山最大降雪量可达23cm。最大风速40米每秒，多西南风。相对湿度76%。加之境内土壤、植被等方面的差异，形成了典型的“一山分四季、十里不同天”的立体气候。</w:t>
            </w:r>
          </w:p>
          <w:p w14:paraId="56EB1033">
            <w:pPr>
              <w:widowControl w:val="0"/>
              <w:ind w:firstLine="522"/>
              <w:rPr>
                <w:rFonts w:ascii="Times New Roman" w:hAnsi="Times New Roman"/>
                <w:b/>
                <w:bCs/>
                <w:snapToGrid/>
                <w:color w:val="auto"/>
                <w:kern w:val="2"/>
                <w:highlight w:val="none"/>
              </w:rPr>
            </w:pPr>
            <w:r>
              <w:rPr>
                <w:rFonts w:ascii="Times New Roman" w:hAnsi="Times New Roman"/>
                <w:b/>
                <w:bCs/>
                <w:snapToGrid/>
                <w:color w:val="auto"/>
                <w:kern w:val="2"/>
                <w:highlight w:val="none"/>
              </w:rPr>
              <w:t>5、水文特征</w:t>
            </w:r>
          </w:p>
          <w:p w14:paraId="55D40B8D">
            <w:pPr>
              <w:ind w:firstLine="520"/>
              <w:rPr>
                <w:rFonts w:hint="eastAsia" w:ascii="Times New Roman" w:hAnsi="Times New Roman"/>
                <w:bCs/>
                <w:snapToGrid/>
                <w:color w:val="auto"/>
                <w:kern w:val="2"/>
                <w:highlight w:val="none"/>
              </w:rPr>
            </w:pPr>
            <w:r>
              <w:rPr>
                <w:rFonts w:hint="eastAsia" w:ascii="Times New Roman" w:hAnsi="Times New Roman"/>
                <w:bCs/>
                <w:snapToGrid/>
                <w:color w:val="auto"/>
                <w:kern w:val="2"/>
                <w:highlight w:val="none"/>
              </w:rPr>
              <w:t>矿区属金沙江水系小江流域，小江多年平均流量约51m</w:t>
            </w:r>
            <w:r>
              <w:rPr>
                <w:rFonts w:hint="eastAsia" w:ascii="Times New Roman" w:hAnsi="Times New Roman"/>
                <w:bCs/>
                <w:snapToGrid/>
                <w:color w:val="auto"/>
                <w:kern w:val="2"/>
                <w:highlight w:val="none"/>
                <w:vertAlign w:val="superscript"/>
              </w:rPr>
              <w:t>3</w:t>
            </w:r>
            <w:r>
              <w:rPr>
                <w:rFonts w:hint="eastAsia" w:ascii="Times New Roman" w:hAnsi="Times New Roman"/>
                <w:bCs/>
                <w:snapToGrid/>
                <w:color w:val="auto"/>
                <w:kern w:val="2"/>
                <w:highlight w:val="none"/>
              </w:rPr>
              <w:t>/s。由于深大断裂影响，沿小江两岸形成多条泥石流冲沟，老干沟是其中一条泥石流沟，其由西向东经过矿区流入小江后最终汇入金沙江。老干沟属季节性河流，旱季沟中</w:t>
            </w:r>
            <w:r>
              <w:rPr>
                <w:rFonts w:hint="eastAsia"/>
                <w:bCs/>
                <w:snapToGrid/>
                <w:color w:val="auto"/>
                <w:kern w:val="2"/>
                <w:highlight w:val="none"/>
                <w:lang w:val="en-US" w:eastAsia="zh-CN"/>
              </w:rPr>
              <w:t>少</w:t>
            </w:r>
            <w:r>
              <w:rPr>
                <w:rFonts w:hint="eastAsia" w:ascii="Times New Roman" w:hAnsi="Times New Roman"/>
                <w:bCs/>
                <w:snapToGrid/>
                <w:color w:val="auto"/>
                <w:kern w:val="2"/>
                <w:highlight w:val="none"/>
              </w:rPr>
              <w:t>水，雨季沟中有间断水流或突发性山洪。矿山建设要作好老干沟的防涝工作，应沿河道修筑防洪坝。</w:t>
            </w:r>
          </w:p>
          <w:p w14:paraId="30AA1ED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stheme="minorBidi"/>
                <w:bCs/>
                <w:snapToGrid/>
                <w:color w:val="auto"/>
                <w:kern w:val="2"/>
                <w:sz w:val="26"/>
                <w:szCs w:val="26"/>
                <w:highlight w:val="none"/>
                <w:lang w:val="en-US" w:eastAsia="zh-CN" w:bidi="ar-SA"/>
              </w:rPr>
            </w:pPr>
            <w:r>
              <w:rPr>
                <w:rFonts w:hint="eastAsia" w:ascii="Times New Roman" w:hAnsi="Times New Roman" w:eastAsia="宋体" w:cstheme="minorBidi"/>
                <w:bCs/>
                <w:snapToGrid/>
                <w:color w:val="auto"/>
                <w:kern w:val="2"/>
                <w:sz w:val="26"/>
                <w:szCs w:val="26"/>
                <w:highlight w:val="none"/>
                <w:lang w:val="en-US" w:eastAsia="zh-CN" w:bidi="ar-SA"/>
              </w:rPr>
              <w:t>小江的主要功能是农田灌溉和工业用水。小江是金沙江南岸支流，小江河谷谷底宽15m至50m，两岸悬崖陡峭，相对高差1000m- 2000m，水流落差909m。径流面积3043.45m</w:t>
            </w:r>
            <w:r>
              <w:rPr>
                <w:rFonts w:hint="eastAsia" w:ascii="Times New Roman" w:hAnsi="Times New Roman" w:eastAsia="宋体" w:cstheme="minorBidi"/>
                <w:bCs/>
                <w:snapToGrid/>
                <w:color w:val="auto"/>
                <w:kern w:val="2"/>
                <w:sz w:val="26"/>
                <w:szCs w:val="26"/>
                <w:highlight w:val="none"/>
                <w:vertAlign w:val="superscript"/>
                <w:lang w:val="en-US" w:eastAsia="zh-CN" w:bidi="ar-SA"/>
              </w:rPr>
              <w:t>2</w:t>
            </w:r>
            <w:r>
              <w:rPr>
                <w:rFonts w:hint="eastAsia" w:ascii="Times New Roman" w:hAnsi="Times New Roman" w:eastAsia="宋体" w:cstheme="minorBidi"/>
                <w:bCs/>
                <w:snapToGrid/>
                <w:color w:val="auto"/>
                <w:kern w:val="2"/>
                <w:sz w:val="26"/>
                <w:szCs w:val="26"/>
                <w:highlight w:val="none"/>
                <w:lang w:val="en-US" w:eastAsia="zh-CN" w:bidi="ar-SA"/>
              </w:rPr>
              <w:t>，平均流量5</w:t>
            </w:r>
            <w:r>
              <w:rPr>
                <w:rFonts w:hint="eastAsia" w:ascii="Times New Roman" w:hAnsi="Times New Roman" w:cstheme="minorBidi"/>
                <w:bCs/>
                <w:snapToGrid/>
                <w:color w:val="auto"/>
                <w:kern w:val="2"/>
                <w:sz w:val="26"/>
                <w:szCs w:val="26"/>
                <w:highlight w:val="none"/>
                <w:lang w:val="en-US" w:eastAsia="zh-CN" w:bidi="ar-SA"/>
              </w:rPr>
              <w:t>1</w:t>
            </w:r>
            <w:r>
              <w:rPr>
                <w:rFonts w:hint="eastAsia" w:ascii="Times New Roman" w:hAnsi="Times New Roman" w:eastAsia="宋体" w:cstheme="minorBidi"/>
                <w:bCs/>
                <w:snapToGrid/>
                <w:color w:val="auto"/>
                <w:kern w:val="2"/>
                <w:sz w:val="26"/>
                <w:szCs w:val="26"/>
                <w:highlight w:val="none"/>
                <w:lang w:val="en-US" w:eastAsia="zh-CN" w:bidi="ar-SA"/>
              </w:rPr>
              <w:t>m</w:t>
            </w:r>
            <w:r>
              <w:rPr>
                <w:rFonts w:hint="eastAsia" w:ascii="Times New Roman" w:hAnsi="Times New Roman" w:eastAsia="宋体" w:cstheme="minorBidi"/>
                <w:bCs/>
                <w:snapToGrid/>
                <w:color w:val="auto"/>
                <w:kern w:val="2"/>
                <w:sz w:val="26"/>
                <w:szCs w:val="26"/>
                <w:highlight w:val="none"/>
                <w:vertAlign w:val="superscript"/>
                <w:lang w:val="en-US" w:eastAsia="zh-CN" w:bidi="ar-SA"/>
              </w:rPr>
              <w:t>2</w:t>
            </w:r>
            <w:r>
              <w:rPr>
                <w:rFonts w:hint="eastAsia" w:ascii="Times New Roman" w:hAnsi="Times New Roman" w:eastAsia="宋体" w:cstheme="minorBidi"/>
                <w:bCs/>
                <w:snapToGrid/>
                <w:color w:val="auto"/>
                <w:kern w:val="2"/>
                <w:sz w:val="26"/>
                <w:szCs w:val="26"/>
                <w:highlight w:val="none"/>
                <w:lang w:val="en-US" w:eastAsia="zh-CN" w:bidi="ar-SA"/>
              </w:rPr>
              <w:t>/s，最大流量26.0 m</w:t>
            </w:r>
            <w:r>
              <w:rPr>
                <w:rFonts w:hint="eastAsia" w:ascii="Times New Roman" w:hAnsi="Times New Roman" w:cstheme="minorBidi"/>
                <w:bCs/>
                <w:snapToGrid/>
                <w:color w:val="auto"/>
                <w:kern w:val="2"/>
                <w:sz w:val="26"/>
                <w:szCs w:val="26"/>
                <w:highlight w:val="none"/>
                <w:vertAlign w:val="superscript"/>
                <w:lang w:val="en-US" w:eastAsia="zh-CN" w:bidi="ar-SA"/>
              </w:rPr>
              <w:t>3</w:t>
            </w:r>
            <w:r>
              <w:rPr>
                <w:rFonts w:hint="eastAsia" w:ascii="Times New Roman" w:hAnsi="Times New Roman" w:eastAsia="宋体" w:cstheme="minorBidi"/>
                <w:bCs/>
                <w:snapToGrid/>
                <w:color w:val="auto"/>
                <w:kern w:val="2"/>
                <w:sz w:val="26"/>
                <w:szCs w:val="26"/>
                <w:highlight w:val="none"/>
                <w:lang w:val="en-US" w:eastAsia="zh-CN" w:bidi="ar-SA"/>
              </w:rPr>
              <w:t>/s， 最小流量2.9m</w:t>
            </w:r>
            <w:r>
              <w:rPr>
                <w:rFonts w:hint="eastAsia" w:ascii="Times New Roman" w:hAnsi="Times New Roman" w:cstheme="minorBidi"/>
                <w:bCs/>
                <w:snapToGrid/>
                <w:color w:val="auto"/>
                <w:kern w:val="2"/>
                <w:sz w:val="26"/>
                <w:szCs w:val="26"/>
                <w:highlight w:val="none"/>
                <w:vertAlign w:val="superscript"/>
                <w:lang w:val="en-US" w:eastAsia="zh-CN" w:bidi="ar-SA"/>
              </w:rPr>
              <w:t>3</w:t>
            </w:r>
            <w:r>
              <w:rPr>
                <w:rFonts w:hint="eastAsia" w:ascii="Times New Roman" w:hAnsi="Times New Roman" w:eastAsia="宋体" w:cstheme="minorBidi"/>
                <w:bCs/>
                <w:snapToGrid/>
                <w:color w:val="auto"/>
                <w:kern w:val="2"/>
                <w:sz w:val="26"/>
                <w:szCs w:val="26"/>
                <w:highlight w:val="none"/>
                <w:lang w:val="en-US" w:eastAsia="zh-CN" w:bidi="ar-SA"/>
              </w:rPr>
              <w:t>/s。由于江两岸岩层结构松散</w:t>
            </w:r>
            <w:r>
              <w:rPr>
                <w:rFonts w:hint="eastAsia" w:ascii="Times New Roman" w:hAnsi="Times New Roman" w:cstheme="minorBidi"/>
                <w:bCs/>
                <w:snapToGrid/>
                <w:color w:val="auto"/>
                <w:kern w:val="2"/>
                <w:sz w:val="26"/>
                <w:szCs w:val="26"/>
                <w:highlight w:val="none"/>
                <w:lang w:val="en-US" w:eastAsia="zh-CN" w:bidi="ar-SA"/>
              </w:rPr>
              <w:t>，</w:t>
            </w:r>
            <w:r>
              <w:rPr>
                <w:rFonts w:hint="eastAsia" w:ascii="Times New Roman" w:hAnsi="Times New Roman" w:eastAsia="宋体" w:cstheme="minorBidi"/>
                <w:bCs/>
                <w:snapToGrid/>
                <w:color w:val="auto"/>
                <w:kern w:val="2"/>
                <w:sz w:val="26"/>
                <w:szCs w:val="26"/>
                <w:highlight w:val="none"/>
                <w:lang w:val="en-US" w:eastAsia="zh-CN" w:bidi="ar-SA"/>
              </w:rPr>
              <w:t>加之河谷两岸植被稀疏，再加上深切割得沟谷时十分发育，因而这里极容易形成规模巨大的泥石流。项目区域水系见图</w:t>
            </w:r>
            <w:r>
              <w:rPr>
                <w:rFonts w:hint="eastAsia" w:ascii="Times New Roman" w:hAnsi="Times New Roman" w:cstheme="minorBidi"/>
                <w:bCs/>
                <w:snapToGrid/>
                <w:color w:val="auto"/>
                <w:kern w:val="2"/>
                <w:sz w:val="26"/>
                <w:szCs w:val="26"/>
                <w:highlight w:val="none"/>
                <w:lang w:val="en-US" w:eastAsia="zh-CN" w:bidi="ar-SA"/>
              </w:rPr>
              <w:t>4</w:t>
            </w:r>
            <w:r>
              <w:rPr>
                <w:rFonts w:hint="eastAsia" w:ascii="Times New Roman" w:hAnsi="Times New Roman" w:eastAsia="宋体" w:cstheme="minorBidi"/>
                <w:bCs/>
                <w:snapToGrid/>
                <w:color w:val="auto"/>
                <w:kern w:val="2"/>
                <w:sz w:val="26"/>
                <w:szCs w:val="26"/>
                <w:highlight w:val="none"/>
                <w:lang w:val="en-US" w:eastAsia="zh-CN" w:bidi="ar-SA"/>
              </w:rPr>
              <w:t>。</w:t>
            </w:r>
          </w:p>
          <w:p w14:paraId="1BF315C5">
            <w:pPr>
              <w:widowControl w:val="0"/>
              <w:ind w:firstLine="522"/>
              <w:rPr>
                <w:rFonts w:ascii="Times New Roman" w:hAnsi="Times New Roman"/>
                <w:b/>
                <w:bCs/>
                <w:snapToGrid/>
                <w:color w:val="auto"/>
                <w:kern w:val="2"/>
                <w:highlight w:val="none"/>
              </w:rPr>
            </w:pPr>
            <w:r>
              <w:rPr>
                <w:rFonts w:ascii="Times New Roman" w:hAnsi="Times New Roman"/>
                <w:b/>
                <w:bCs/>
                <w:snapToGrid/>
                <w:color w:val="auto"/>
                <w:kern w:val="2"/>
                <w:highlight w:val="none"/>
              </w:rPr>
              <w:t>6、植物资源</w:t>
            </w:r>
          </w:p>
          <w:p w14:paraId="290032A7">
            <w:pPr>
              <w:ind w:firstLine="520"/>
              <w:rPr>
                <w:rFonts w:hint="eastAsia" w:ascii="Times New Roman" w:hAnsi="Times New Roman"/>
                <w:color w:val="auto"/>
                <w:highlight w:val="none"/>
              </w:rPr>
            </w:pPr>
            <w:r>
              <w:rPr>
                <w:rFonts w:hint="eastAsia" w:ascii="Times New Roman" w:hAnsi="Times New Roman"/>
                <w:color w:val="auto"/>
                <w:highlight w:val="none"/>
              </w:rPr>
              <w:t>受地貌影响，东川境内植被群落分布与气候、土壤的垂直分布相适应，呈明显的垂直分带</w:t>
            </w:r>
            <w:r>
              <w:rPr>
                <w:rFonts w:hint="eastAsia"/>
                <w:color w:val="auto"/>
                <w:highlight w:val="none"/>
                <w:lang w:eastAsia="zh-CN"/>
              </w:rPr>
              <w:t>，</w:t>
            </w:r>
            <w:r>
              <w:rPr>
                <w:rFonts w:hint="eastAsia" w:ascii="Times New Roman" w:hAnsi="Times New Roman"/>
                <w:color w:val="auto"/>
                <w:highlight w:val="none"/>
              </w:rPr>
              <w:t>按不同海拔高度全区分为三个植被带。燥热河谷植被带</w:t>
            </w:r>
            <w:r>
              <w:rPr>
                <w:rFonts w:hint="eastAsia"/>
                <w:color w:val="auto"/>
                <w:highlight w:val="none"/>
                <w:lang w:eastAsia="zh-CN"/>
              </w:rPr>
              <w:t>：</w:t>
            </w:r>
            <w:r>
              <w:rPr>
                <w:rFonts w:hint="eastAsia" w:ascii="Times New Roman" w:hAnsi="Times New Roman"/>
                <w:color w:val="auto"/>
                <w:highlight w:val="none"/>
              </w:rPr>
              <w:t>分布于海拔1600米以下的金沙江、小江河谷地区，降水不足，植物群落的代表类型为稀树草丛</w:t>
            </w:r>
            <w:r>
              <w:rPr>
                <w:rFonts w:hint="eastAsia"/>
                <w:color w:val="auto"/>
                <w:highlight w:val="none"/>
                <w:lang w:eastAsia="zh-CN"/>
              </w:rPr>
              <w:t>；</w:t>
            </w:r>
            <w:r>
              <w:rPr>
                <w:rFonts w:hint="eastAsia" w:ascii="Times New Roman" w:hAnsi="Times New Roman"/>
                <w:color w:val="auto"/>
                <w:highlight w:val="none"/>
              </w:rPr>
              <w:t>高原山地植被带</w:t>
            </w:r>
            <w:r>
              <w:rPr>
                <w:rFonts w:hint="eastAsia"/>
                <w:color w:val="auto"/>
                <w:highlight w:val="none"/>
                <w:lang w:eastAsia="zh-CN"/>
              </w:rPr>
              <w:t>：</w:t>
            </w:r>
            <w:r>
              <w:rPr>
                <w:rFonts w:hint="eastAsia" w:ascii="Times New Roman" w:hAnsi="Times New Roman"/>
                <w:color w:val="auto"/>
                <w:highlight w:val="none"/>
              </w:rPr>
              <w:t>分布于海拔1600~2800米地区，植被类型繁多，群落结构复杂，代表类型为暖温性和温性的常绿针叶林、山地常绿阔叶林</w:t>
            </w:r>
            <w:r>
              <w:rPr>
                <w:rFonts w:hint="eastAsia"/>
                <w:color w:val="auto"/>
                <w:highlight w:val="none"/>
                <w:lang w:eastAsia="zh-CN"/>
              </w:rPr>
              <w:t>；</w:t>
            </w:r>
            <w:r>
              <w:rPr>
                <w:rFonts w:hint="eastAsia" w:ascii="Times New Roman" w:hAnsi="Times New Roman"/>
                <w:color w:val="auto"/>
                <w:highlight w:val="none"/>
              </w:rPr>
              <w:t>亚高山植被带</w:t>
            </w:r>
            <w:r>
              <w:rPr>
                <w:rFonts w:hint="eastAsia"/>
                <w:color w:val="auto"/>
                <w:highlight w:val="none"/>
                <w:lang w:eastAsia="zh-CN"/>
              </w:rPr>
              <w:t>：</w:t>
            </w:r>
            <w:r>
              <w:rPr>
                <w:rFonts w:hint="eastAsia" w:ascii="Times New Roman" w:hAnsi="Times New Roman"/>
                <w:color w:val="auto"/>
                <w:highlight w:val="none"/>
              </w:rPr>
              <w:t>分布于海拔2800~4344米间的山地，植被代表类型为寒温性亚高山针叶林、常绿硬叶阔叶林。</w:t>
            </w:r>
          </w:p>
          <w:p w14:paraId="459B54A0">
            <w:pPr>
              <w:ind w:firstLine="520"/>
              <w:rPr>
                <w:rFonts w:hint="eastAsia" w:ascii="Times New Roman" w:hAnsi="Times New Roman"/>
                <w:color w:val="auto"/>
                <w:highlight w:val="none"/>
              </w:rPr>
            </w:pPr>
            <w:r>
              <w:rPr>
                <w:rFonts w:hint="eastAsia" w:ascii="Times New Roman" w:hAnsi="Times New Roman"/>
                <w:color w:val="auto"/>
                <w:highlight w:val="none"/>
              </w:rPr>
              <w:t>经现场勘查，评价区内植被不发育，</w:t>
            </w:r>
            <w:r>
              <w:rPr>
                <w:rFonts w:hint="eastAsia"/>
                <w:color w:val="auto"/>
                <w:highlight w:val="none"/>
                <w:lang w:val="en-US" w:eastAsia="zh-CN"/>
              </w:rPr>
              <w:t>为</w:t>
            </w:r>
            <w:r>
              <w:rPr>
                <w:rFonts w:hint="eastAsia" w:ascii="Times New Roman" w:hAnsi="Times New Roman"/>
                <w:color w:val="auto"/>
                <w:highlight w:val="none"/>
              </w:rPr>
              <w:t>荒山荒坡，植被覆盖率低，以生长大量杂草为主，少量灌木丛。主要为扭黄茅、飞机草、三叶鬼针草等常见的草本植物。</w:t>
            </w:r>
          </w:p>
          <w:p w14:paraId="75002BE4">
            <w:pPr>
              <w:ind w:firstLine="520"/>
              <w:rPr>
                <w:rFonts w:hint="eastAsia" w:ascii="Times New Roman" w:hAnsi="Times New Roman"/>
                <w:color w:val="auto"/>
                <w:highlight w:val="none"/>
              </w:rPr>
            </w:pPr>
            <w:r>
              <w:rPr>
                <w:rFonts w:hint="eastAsia" w:ascii="Times New Roman" w:hAnsi="Times New Roman"/>
                <w:color w:val="auto"/>
                <w:highlight w:val="none"/>
              </w:rPr>
              <w:t>项目所在地周围无珍稀动植物、原生植被和自然保护区，现为工业用地。</w:t>
            </w:r>
          </w:p>
          <w:p w14:paraId="56099C42">
            <w:pPr>
              <w:widowControl w:val="0"/>
              <w:ind w:firstLine="522"/>
              <w:rPr>
                <w:rFonts w:ascii="Times New Roman" w:hAnsi="Times New Roman"/>
                <w:b/>
                <w:bCs/>
                <w:snapToGrid/>
                <w:color w:val="auto"/>
                <w:kern w:val="2"/>
                <w:highlight w:val="none"/>
              </w:rPr>
            </w:pPr>
            <w:r>
              <w:rPr>
                <w:rFonts w:ascii="Times New Roman" w:hAnsi="Times New Roman"/>
                <w:b/>
                <w:bCs/>
                <w:snapToGrid/>
                <w:color w:val="auto"/>
                <w:kern w:val="2"/>
                <w:highlight w:val="none"/>
              </w:rPr>
              <w:t>7、土壤</w:t>
            </w:r>
          </w:p>
          <w:p w14:paraId="36F07447">
            <w:pPr>
              <w:ind w:firstLine="520"/>
              <w:rPr>
                <w:rFonts w:hint="eastAsia" w:ascii="Times New Roman" w:hAnsi="Times New Roman"/>
                <w:color w:val="auto"/>
                <w:highlight w:val="none"/>
              </w:rPr>
            </w:pPr>
            <w:r>
              <w:rPr>
                <w:rFonts w:hint="eastAsia" w:ascii="Times New Roman" w:hAnsi="Times New Roman"/>
                <w:color w:val="auto"/>
                <w:highlight w:val="none"/>
              </w:rPr>
              <w:t>根据《东川市志》资料分析，东川境内土壤共有燥红土、水稻土、红壤、冲积土等10个土类，23个亚类，45个土属，62个土种。项目所在区域地带性土壤随海拔高度变化，垂直分布差异明显。海拔1700~2200m地区为红壤；海拔 2200~2550m地区为黄红壤；海拔 2550~2900m 地区为黄棕壤；海拔 2900~3550m 地区为棕壤、暗棕壤；海拔 3300m 以上地区为亚高山草甸土。土壤由下而上分布着燥红土、红壤、黄红壤、棕壤、亚高山草甸土等 5 大类型，其中以红壤分布最广</w:t>
            </w:r>
            <w:r>
              <w:rPr>
                <w:rFonts w:hint="eastAsia"/>
                <w:color w:val="auto"/>
                <w:highlight w:val="none"/>
                <w:lang w:eastAsia="zh-CN"/>
              </w:rPr>
              <w:t>。</w:t>
            </w:r>
          </w:p>
          <w:p w14:paraId="407EB17B">
            <w:pPr>
              <w:ind w:firstLine="520"/>
              <w:rPr>
                <w:rFonts w:hint="eastAsia" w:ascii="Times New Roman" w:hAnsi="Times New Roman"/>
                <w:color w:val="auto"/>
                <w:highlight w:val="none"/>
              </w:rPr>
            </w:pPr>
            <w:r>
              <w:rPr>
                <w:rFonts w:hint="eastAsia" w:ascii="Times New Roman" w:hAnsi="Times New Roman"/>
                <w:color w:val="auto"/>
                <w:highlight w:val="none"/>
              </w:rPr>
              <w:t>根据现场</w:t>
            </w:r>
            <w:r>
              <w:rPr>
                <w:rFonts w:hint="eastAsia"/>
                <w:color w:val="auto"/>
                <w:highlight w:val="none"/>
                <w:lang w:val="en-US" w:eastAsia="zh-CN"/>
              </w:rPr>
              <w:t>踏勘</w:t>
            </w:r>
            <w:r>
              <w:rPr>
                <w:rFonts w:hint="eastAsia" w:ascii="Times New Roman" w:hAnsi="Times New Roman"/>
                <w:color w:val="auto"/>
                <w:highlight w:val="none"/>
              </w:rPr>
              <w:t>，项目区属于燥热河谷植被带，项目区荒地上零星覆盖有杂草</w:t>
            </w:r>
            <w:r>
              <w:rPr>
                <w:rFonts w:hint="eastAsia"/>
                <w:color w:val="auto"/>
                <w:highlight w:val="none"/>
                <w:lang w:val="en-US" w:eastAsia="zh-CN"/>
              </w:rPr>
              <w:t>及少量灌木丛</w:t>
            </w:r>
            <w:r>
              <w:rPr>
                <w:rFonts w:hint="eastAsia" w:ascii="Times New Roman" w:hAnsi="Times New Roman"/>
                <w:color w:val="auto"/>
                <w:highlight w:val="none"/>
              </w:rPr>
              <w:t>，项目区土壤类型主要</w:t>
            </w:r>
            <w:r>
              <w:rPr>
                <w:rFonts w:hint="eastAsia"/>
                <w:color w:val="auto"/>
                <w:highlight w:val="none"/>
                <w:lang w:val="en-US" w:eastAsia="zh-CN"/>
              </w:rPr>
              <w:t>为</w:t>
            </w:r>
            <w:r>
              <w:rPr>
                <w:rFonts w:hint="eastAsia" w:ascii="Times New Roman" w:hAnsi="Times New Roman"/>
                <w:color w:val="auto"/>
                <w:highlight w:val="none"/>
              </w:rPr>
              <w:t>红壤</w:t>
            </w:r>
            <w:r>
              <w:rPr>
                <w:rFonts w:hint="eastAsia"/>
                <w:color w:val="auto"/>
                <w:highlight w:val="none"/>
                <w:lang w:eastAsia="zh-CN"/>
              </w:rPr>
              <w:t>，</w:t>
            </w:r>
            <w:r>
              <w:rPr>
                <w:rFonts w:hint="eastAsia" w:ascii="Times New Roman" w:hAnsi="Times New Roman"/>
                <w:color w:val="auto"/>
                <w:highlight w:val="none"/>
              </w:rPr>
              <w:t>土壤环境质量总体较好。</w:t>
            </w:r>
          </w:p>
          <w:p w14:paraId="78FB4E07">
            <w:pPr>
              <w:ind w:firstLine="522"/>
              <w:rPr>
                <w:rFonts w:hint="eastAsia" w:ascii="Times New Roman" w:hAnsi="Times New Roman"/>
                <w:color w:val="auto"/>
                <w:highlight w:val="none"/>
              </w:rPr>
            </w:pPr>
            <w:r>
              <w:rPr>
                <w:rFonts w:hint="eastAsia" w:ascii="Times New Roman" w:hAnsi="Times New Roman"/>
                <w:b/>
                <w:bCs/>
                <w:color w:val="auto"/>
                <w:highlight w:val="none"/>
              </w:rPr>
              <w:t>8、</w:t>
            </w:r>
            <w:r>
              <w:rPr>
                <w:rFonts w:hint="eastAsia"/>
                <w:b/>
                <w:bCs/>
                <w:color w:val="auto"/>
                <w:highlight w:val="none"/>
                <w:lang w:val="en-US" w:eastAsia="zh-CN"/>
              </w:rPr>
              <w:t>地质</w:t>
            </w:r>
          </w:p>
          <w:p w14:paraId="1EB1BB8A">
            <w:pPr>
              <w:widowControl w:val="0"/>
              <w:ind w:firstLine="520"/>
              <w:rPr>
                <w:rFonts w:hint="eastAsia" w:ascii="Times New Roman" w:hAnsi="Times New Roman"/>
                <w:bCs/>
                <w:snapToGrid/>
                <w:color w:val="auto"/>
                <w:kern w:val="2"/>
                <w:highlight w:val="none"/>
              </w:rPr>
            </w:pPr>
            <w:r>
              <w:rPr>
                <w:rFonts w:hint="eastAsia" w:ascii="Times New Roman" w:hAnsi="Times New Roman"/>
                <w:bCs/>
                <w:snapToGrid/>
                <w:color w:val="auto"/>
                <w:kern w:val="2"/>
                <w:highlight w:val="none"/>
              </w:rPr>
              <w:t>根据《中国地震动参数区划图》（GB18306-2015）和《建筑抗震设计规范》（GB50011-2010），该区地震基本烈度≥9度，地震动峰值加速度≥0.40g。属于不稳定区域，地质环境条件复杂程度为中等。</w:t>
            </w:r>
          </w:p>
          <w:p w14:paraId="1C866B2E">
            <w:pPr>
              <w:ind w:firstLine="522"/>
              <w:rPr>
                <w:rFonts w:hint="default" w:ascii="Times New Roman" w:hAnsi="Times New Roman" w:eastAsia="宋体"/>
                <w:b/>
                <w:bCs/>
                <w:color w:val="auto"/>
                <w:highlight w:val="none"/>
                <w:lang w:val="en-US" w:eastAsia="zh-CN"/>
              </w:rPr>
            </w:pPr>
            <w:r>
              <w:rPr>
                <w:rFonts w:hint="eastAsia"/>
                <w:b/>
                <w:bCs/>
                <w:color w:val="auto"/>
                <w:highlight w:val="none"/>
                <w:lang w:val="en-US" w:eastAsia="zh-CN"/>
              </w:rPr>
              <w:t>9</w:t>
            </w:r>
            <w:r>
              <w:rPr>
                <w:rFonts w:hint="eastAsia" w:ascii="Times New Roman" w:hAnsi="Times New Roman"/>
                <w:b/>
                <w:bCs/>
                <w:color w:val="auto"/>
                <w:highlight w:val="none"/>
              </w:rPr>
              <w:t>、</w:t>
            </w:r>
            <w:r>
              <w:rPr>
                <w:rFonts w:hint="eastAsia"/>
                <w:b/>
                <w:bCs/>
                <w:color w:val="auto"/>
                <w:highlight w:val="none"/>
                <w:lang w:val="en-US" w:eastAsia="zh-CN"/>
              </w:rPr>
              <w:t>经济概况</w:t>
            </w:r>
          </w:p>
          <w:p w14:paraId="2C3BE850">
            <w:pPr>
              <w:ind w:firstLine="520"/>
              <w:rPr>
                <w:rFonts w:hint="eastAsia" w:ascii="Times New Roman" w:hAnsi="Times New Roman"/>
                <w:color w:val="auto"/>
                <w:highlight w:val="none"/>
              </w:rPr>
            </w:pPr>
            <w:r>
              <w:rPr>
                <w:rFonts w:hint="eastAsia" w:ascii="Times New Roman" w:hAnsi="Times New Roman"/>
                <w:color w:val="auto"/>
                <w:highlight w:val="none"/>
              </w:rPr>
              <w:t>东川区国土面积1859km</w:t>
            </w:r>
            <w:r>
              <w:rPr>
                <w:rFonts w:hint="eastAsia" w:ascii="Times New Roman" w:hAnsi="Times New Roman"/>
                <w:color w:val="auto"/>
                <w:highlight w:val="none"/>
                <w:vertAlign w:val="superscript"/>
              </w:rPr>
              <w:t>2</w:t>
            </w:r>
            <w:r>
              <w:rPr>
                <w:rFonts w:hint="eastAsia" w:ascii="Times New Roman" w:hAnsi="Times New Roman"/>
                <w:color w:val="auto"/>
                <w:highlight w:val="none"/>
              </w:rPr>
              <w:t>，全区辖7镇1乡，144个行政村，1220个村民小组。全区总人口约31万。在1858.79km</w:t>
            </w:r>
            <w:r>
              <w:rPr>
                <w:rFonts w:hint="eastAsia" w:ascii="Times New Roman" w:hAnsi="Times New Roman"/>
                <w:color w:val="auto"/>
                <w:highlight w:val="none"/>
                <w:vertAlign w:val="superscript"/>
              </w:rPr>
              <w:t>2</w:t>
            </w:r>
            <w:r>
              <w:rPr>
                <w:rFonts w:hint="eastAsia" w:ascii="Times New Roman" w:hAnsi="Times New Roman"/>
                <w:color w:val="auto"/>
                <w:highlight w:val="none"/>
              </w:rPr>
              <w:t>的国土面积上居住着汉、彝、苗、回、布依等多种民族，农业耕地面积20万亩。农产品有玉米、马铃薯、烤烟、油菜籽等，农业经济欠发达。</w:t>
            </w:r>
          </w:p>
          <w:p w14:paraId="57D43DC3">
            <w:pPr>
              <w:ind w:firstLine="520"/>
              <w:rPr>
                <w:rFonts w:hint="eastAsia" w:ascii="Times New Roman" w:hAnsi="Times New Roman"/>
                <w:color w:val="auto"/>
                <w:highlight w:val="none"/>
              </w:rPr>
            </w:pPr>
            <w:r>
              <w:rPr>
                <w:rFonts w:hint="eastAsia" w:ascii="Times New Roman" w:hAnsi="Times New Roman"/>
                <w:color w:val="auto"/>
                <w:highlight w:val="none"/>
              </w:rPr>
              <w:t>东川地处云贵高原北部边缘，境内地处深大断裂带，侵蚀构造强烈，形成了典型的深切割高山峡谷地貌，加之境内气流、降雨、土壤、植被等方面的差异，形成了典型的“一山分四季、十里不同天”的立体气候，具有发展立体经济的优势。东川境内矿产资源丰富，铜文化历史悠久，素有“天南铜都”之称。是我国六大产铜基地之一，目前已探明铜矿储量约300万吨金属量、铁矿储量1亿吨、铅锌矿储量10万金属吨、磷矿储量4亿吨。上述矿产都得到了开发利用。东川旅游资源十分丰富，具有多样性、立体性、变异性等特点，此外，冶金、化工、机械、建材、食品、皮革、造纸等部门发展亦较迅速。东川是国家的滇东工业规划区。</w:t>
            </w:r>
          </w:p>
          <w:p w14:paraId="009FF86F">
            <w:pPr>
              <w:ind w:firstLine="520"/>
              <w:rPr>
                <w:rFonts w:hint="eastAsia" w:ascii="Times New Roman" w:hAnsi="Times New Roman"/>
                <w:snapToGrid w:val="0"/>
                <w:color w:val="auto"/>
                <w:kern w:val="0"/>
                <w:sz w:val="26"/>
                <w:szCs w:val="26"/>
                <w:highlight w:val="none"/>
              </w:rPr>
            </w:pPr>
            <w:r>
              <w:rPr>
                <w:rFonts w:hint="eastAsia" w:ascii="Times New Roman" w:hAnsi="Times New Roman"/>
                <w:color w:val="auto"/>
                <w:highlight w:val="none"/>
              </w:rPr>
              <w:t>本区居民主要从事农业生产，经济欠发达，多数居民家庭经济贫困，部分达到小康经济。矿区基建其它建筑材料需从东川区进购。矿区附近电网等基础电力设施已建设完成，电力供应已基本满足矿山生产发展的需要。</w:t>
            </w:r>
          </w:p>
          <w:p w14:paraId="31E6A2A3">
            <w:pPr>
              <w:pStyle w:val="15"/>
              <w:ind w:firstLine="560"/>
              <w:rPr>
                <w:color w:val="auto"/>
                <w:highlight w:val="none"/>
              </w:rPr>
            </w:pPr>
          </w:p>
          <w:p w14:paraId="6296E6D1">
            <w:pPr>
              <w:ind w:firstLine="520"/>
              <w:rPr>
                <w:rFonts w:hint="eastAsia" w:ascii="Times New Roman" w:hAnsi="Times New Roman"/>
                <w:bCs/>
                <w:color w:val="auto"/>
                <w:highlight w:val="none"/>
              </w:rPr>
            </w:pPr>
          </w:p>
          <w:p w14:paraId="7B8DA4E1">
            <w:pPr>
              <w:ind w:firstLine="520"/>
              <w:rPr>
                <w:rFonts w:hint="eastAsia" w:ascii="Times New Roman" w:hAnsi="Times New Roman"/>
                <w:bCs/>
                <w:color w:val="auto"/>
                <w:highlight w:val="none"/>
              </w:rPr>
            </w:pPr>
          </w:p>
          <w:p w14:paraId="0D6436CC">
            <w:pPr>
              <w:ind w:firstLine="0" w:firstLineChars="0"/>
              <w:rPr>
                <w:rFonts w:ascii="Times New Roman" w:hAnsi="Times New Roman"/>
                <w:bCs/>
                <w:color w:val="auto"/>
                <w:highlight w:val="none"/>
              </w:rPr>
            </w:pPr>
          </w:p>
        </w:tc>
      </w:tr>
    </w:tbl>
    <w:p w14:paraId="6D528DFE">
      <w:pPr>
        <w:pStyle w:val="15"/>
        <w:rPr>
          <w:color w:val="auto"/>
          <w:highlight w:val="none"/>
        </w:rPr>
        <w:sectPr>
          <w:pgSz w:w="11906" w:h="16838"/>
          <w:pgMar w:top="1440" w:right="1800" w:bottom="1440" w:left="1800" w:header="851" w:footer="992" w:gutter="0"/>
          <w:pgNumType w:fmt="decimal"/>
          <w:cols w:space="425" w:num="1"/>
          <w:docGrid w:type="lines" w:linePitch="312" w:charSpace="0"/>
        </w:sectPr>
      </w:pPr>
    </w:p>
    <w:p w14:paraId="00F9674F">
      <w:pPr>
        <w:pStyle w:val="6"/>
        <w:spacing w:before="312" w:after="312"/>
        <w:jc w:val="left"/>
        <w:rPr>
          <w:color w:val="auto"/>
          <w:highlight w:val="none"/>
        </w:rPr>
      </w:pPr>
      <w:bookmarkStart w:id="36" w:name="_Toc526626943"/>
      <w:bookmarkStart w:id="37" w:name="_Toc12294"/>
      <w:r>
        <w:rPr>
          <w:color w:val="auto"/>
          <w:highlight w:val="none"/>
        </w:rPr>
        <w:t>表三、环境质量状况</w:t>
      </w:r>
      <w:bookmarkEnd w:id="36"/>
      <w:bookmarkEnd w:id="37"/>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32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9AC382F">
            <w:pPr>
              <w:pStyle w:val="14"/>
              <w:spacing w:after="0" w:line="360" w:lineRule="auto"/>
              <w:ind w:right="130" w:rightChars="50" w:firstLine="0" w:firstLineChars="0"/>
              <w:rPr>
                <w:rFonts w:ascii="Times New Roman" w:hAnsi="Times New Roman"/>
                <w:b/>
                <w:color w:val="auto"/>
                <w:sz w:val="24"/>
                <w:szCs w:val="24"/>
                <w:highlight w:val="none"/>
              </w:rPr>
            </w:pPr>
            <w:r>
              <w:rPr>
                <w:rFonts w:ascii="Times New Roman" w:hAnsi="Times New Roman"/>
                <w:b/>
                <w:color w:val="auto"/>
                <w:sz w:val="24"/>
                <w:szCs w:val="24"/>
                <w:highlight w:val="none"/>
              </w:rPr>
              <w:t>建设项目所在地区域环境质量现状及主要环境问题（环境空气、地表水、地下水、声环境、生态环境等）</w:t>
            </w:r>
          </w:p>
          <w:p w14:paraId="5460A2CB">
            <w:pPr>
              <w:adjustRightInd w:val="0"/>
              <w:snapToGrid w:val="0"/>
              <w:ind w:firstLine="522"/>
              <w:rPr>
                <w:rFonts w:ascii="Times New Roman" w:hAnsi="Times New Roman"/>
                <w:b/>
                <w:color w:val="auto"/>
                <w:highlight w:val="none"/>
              </w:rPr>
            </w:pPr>
            <w:r>
              <w:rPr>
                <w:rFonts w:ascii="Times New Roman" w:hAnsi="Times New Roman"/>
                <w:b/>
                <w:color w:val="auto"/>
                <w:highlight w:val="none"/>
              </w:rPr>
              <w:t>1、环境空气质量现状</w:t>
            </w:r>
          </w:p>
          <w:p w14:paraId="5E92741D">
            <w:pPr>
              <w:keepNext w:val="0"/>
              <w:keepLines w:val="0"/>
              <w:pageBreakBefore w:val="0"/>
              <w:widowControl w:val="0"/>
              <w:kinsoku/>
              <w:wordWrap/>
              <w:overflowPunct/>
              <w:topLinePunct w:val="0"/>
              <w:autoSpaceDE/>
              <w:autoSpaceDN/>
              <w:bidi w:val="0"/>
              <w:adjustRightInd w:val="0"/>
              <w:snapToGrid w:val="0"/>
              <w:ind w:firstLine="520"/>
              <w:textAlignment w:val="auto"/>
              <w:rPr>
                <w:rFonts w:hint="eastAsia" w:ascii="Times New Roman" w:hAnsi="Times New Roman" w:eastAsia="宋体" w:cs="Times New Roman"/>
                <w:color w:val="auto"/>
                <w:highlight w:val="none"/>
              </w:rPr>
            </w:pPr>
            <w:r>
              <w:rPr>
                <w:rFonts w:ascii="Times New Roman" w:hAnsi="Times New Roman" w:eastAsia="宋体" w:cs="Times New Roman"/>
                <w:color w:val="auto"/>
                <w:highlight w:val="none"/>
              </w:rPr>
              <w:t>本项目所在地位于</w:t>
            </w:r>
            <w:r>
              <w:rPr>
                <w:rFonts w:hint="eastAsia" w:ascii="Times New Roman" w:hAnsi="Times New Roman" w:eastAsia="宋体" w:cs="Times New Roman"/>
                <w:color w:val="auto"/>
                <w:highlight w:val="none"/>
              </w:rPr>
              <w:t>昆明市东川区拖布卡镇大荒地村排子田小组境内</w:t>
            </w:r>
            <w:r>
              <w:rPr>
                <w:rFonts w:ascii="Times New Roman" w:hAnsi="Times New Roman" w:eastAsia="宋体" w:cs="Times New Roman"/>
                <w:color w:val="auto"/>
                <w:highlight w:val="none"/>
              </w:rPr>
              <w:t>，按环境空气质量功能划分项目区属于二类区。</w:t>
            </w:r>
            <w:r>
              <w:rPr>
                <w:rFonts w:hint="eastAsia" w:ascii="Times New Roman" w:hAnsi="Times New Roman" w:eastAsia="宋体" w:cs="Times New Roman"/>
                <w:color w:val="auto"/>
                <w:kern w:val="0"/>
                <w:sz w:val="26"/>
                <w:szCs w:val="26"/>
                <w:highlight w:val="none"/>
                <w:lang w:val="en-US" w:eastAsia="zh-CN"/>
              </w:rPr>
              <w:t>根据《2019 年昆明市环境状况公报》</w:t>
            </w:r>
            <w:r>
              <w:rPr>
                <w:rFonts w:ascii="Times New Roman" w:hAnsi="Times New Roman" w:eastAsia="宋体" w:cs="Times New Roman"/>
                <w:color w:val="auto"/>
                <w:highlight w:val="none"/>
              </w:rPr>
              <w:t>，</w:t>
            </w:r>
            <w:r>
              <w:rPr>
                <w:rFonts w:hint="eastAsia" w:ascii="Times New Roman" w:hAnsi="Times New Roman" w:eastAsia="宋体" w:cs="Times New Roman"/>
                <w:color w:val="auto"/>
                <w:kern w:val="0"/>
                <w:sz w:val="26"/>
                <w:szCs w:val="26"/>
                <w:highlight w:val="none"/>
              </w:rPr>
              <w:t>东川区建有空气自动监测站</w:t>
            </w:r>
            <w:r>
              <w:rPr>
                <w:rFonts w:hint="eastAsia" w:ascii="Times New Roman" w:hAnsi="Times New Roman" w:eastAsia="宋体" w:cs="Times New Roman"/>
                <w:color w:val="auto"/>
                <w:kern w:val="0"/>
                <w:sz w:val="26"/>
                <w:szCs w:val="26"/>
                <w:highlight w:val="none"/>
                <w:lang w:eastAsia="zh-CN"/>
              </w:rPr>
              <w:t>，</w:t>
            </w:r>
            <w:r>
              <w:rPr>
                <w:rFonts w:hint="eastAsia" w:ascii="Times New Roman" w:hAnsi="Times New Roman" w:eastAsia="宋体" w:cs="Times New Roman"/>
                <w:color w:val="auto"/>
                <w:kern w:val="0"/>
                <w:sz w:val="26"/>
                <w:szCs w:val="26"/>
                <w:highlight w:val="none"/>
              </w:rPr>
              <w:t>按照《环境空气质量标准》( GB3095 2012)评价情况，总体达到二级标准。</w:t>
            </w:r>
          </w:p>
          <w:p w14:paraId="165659E1">
            <w:pPr>
              <w:keepNext w:val="0"/>
              <w:keepLines w:val="0"/>
              <w:pageBreakBefore w:val="0"/>
              <w:widowControl w:val="0"/>
              <w:kinsoku/>
              <w:wordWrap/>
              <w:overflowPunct/>
              <w:topLinePunct w:val="0"/>
              <w:autoSpaceDE/>
              <w:autoSpaceDN/>
              <w:bidi w:val="0"/>
              <w:adjustRightInd w:val="0"/>
              <w:snapToGrid w:val="0"/>
              <w:ind w:firstLine="52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根据《201</w:t>
            </w:r>
            <w:r>
              <w:rPr>
                <w:rFonts w:hint="eastAsia" w:ascii="Times New Roman" w:hAnsi="Times New Roman" w:cs="Times New Roman"/>
                <w:color w:val="auto"/>
                <w:highlight w:val="none"/>
                <w:lang w:val="en-US" w:eastAsia="zh-CN"/>
              </w:rPr>
              <w:t>9</w:t>
            </w:r>
            <w:r>
              <w:rPr>
                <w:rFonts w:hint="eastAsia" w:ascii="Times New Roman" w:hAnsi="Times New Roman" w:eastAsia="宋体" w:cs="Times New Roman"/>
                <w:color w:val="auto"/>
                <w:highlight w:val="none"/>
              </w:rPr>
              <w:t>东川区环境状况公报》统计数据，东川区二氧化硫、二氧化氮、可吸入颗粒物年均浓度均满足《环境空气质量标准》（GB3095-2012）中的二级标准，全区空气质量污染物年均浓度如下表所示：</w:t>
            </w:r>
          </w:p>
          <w:p w14:paraId="22CABA36">
            <w:pPr>
              <w:adjustRightInd w:val="0"/>
              <w:snapToGrid w:val="0"/>
              <w:ind w:firstLine="0" w:firstLineChars="0"/>
              <w:jc w:val="center"/>
              <w:rPr>
                <w:rFonts w:hint="eastAsia" w:ascii="Times New Roman" w:hAnsi="Times New Roman" w:eastAsia="宋体"/>
                <w:b/>
                <w:bCs/>
                <w:color w:val="auto"/>
                <w:sz w:val="21"/>
                <w:szCs w:val="21"/>
                <w:highlight w:val="none"/>
                <w:lang w:val="en-US" w:eastAsia="zh-CN"/>
              </w:rPr>
            </w:pPr>
            <w:r>
              <w:rPr>
                <w:rFonts w:hint="eastAsia" w:ascii="Times New Roman" w:hAnsi="Times New Roman"/>
                <w:b/>
                <w:bCs/>
                <w:color w:val="auto"/>
                <w:sz w:val="21"/>
                <w:szCs w:val="21"/>
                <w:highlight w:val="none"/>
              </w:rPr>
              <w:t>表3-1  201</w:t>
            </w:r>
            <w:r>
              <w:rPr>
                <w:rFonts w:hint="eastAsia"/>
                <w:b/>
                <w:bCs/>
                <w:color w:val="auto"/>
                <w:sz w:val="21"/>
                <w:szCs w:val="21"/>
                <w:highlight w:val="none"/>
                <w:lang w:val="en-US" w:eastAsia="zh-CN"/>
              </w:rPr>
              <w:t>9</w:t>
            </w:r>
            <w:r>
              <w:rPr>
                <w:rFonts w:hint="eastAsia" w:ascii="Times New Roman" w:hAnsi="Times New Roman"/>
                <w:b/>
                <w:bCs/>
                <w:color w:val="auto"/>
                <w:sz w:val="21"/>
                <w:szCs w:val="21"/>
                <w:highlight w:val="none"/>
              </w:rPr>
              <w:t>年昆明市</w:t>
            </w:r>
            <w:r>
              <w:rPr>
                <w:rFonts w:hint="eastAsia"/>
                <w:b/>
                <w:bCs/>
                <w:color w:val="auto"/>
                <w:sz w:val="21"/>
                <w:szCs w:val="21"/>
                <w:highlight w:val="none"/>
                <w:lang w:val="en-US" w:eastAsia="zh-CN"/>
              </w:rPr>
              <w:t>东川区</w:t>
            </w:r>
            <w:r>
              <w:rPr>
                <w:rFonts w:hint="eastAsia" w:ascii="Times New Roman" w:hAnsi="Times New Roman"/>
                <w:b/>
                <w:bCs/>
                <w:color w:val="auto"/>
                <w:sz w:val="21"/>
                <w:szCs w:val="21"/>
                <w:highlight w:val="none"/>
              </w:rPr>
              <w:t>环境空气质量监测结果</w:t>
            </w:r>
            <w:r>
              <w:rPr>
                <w:rFonts w:hint="eastAsia"/>
                <w:b/>
                <w:bCs/>
                <w:color w:val="auto"/>
                <w:sz w:val="21"/>
                <w:szCs w:val="21"/>
                <w:highlight w:val="none"/>
                <w:lang w:val="en-US" w:eastAsia="zh-CN"/>
              </w:rPr>
              <w:t xml:space="preserve"> （</w:t>
            </w:r>
            <w:r>
              <w:rPr>
                <w:rFonts w:ascii="Times New Roman" w:hAnsi="Times New Roman"/>
                <w:b/>
                <w:bCs/>
                <w:color w:val="auto"/>
                <w:sz w:val="21"/>
                <w:szCs w:val="24"/>
                <w:highlight w:val="none"/>
                <w:lang w:bidi="ar"/>
              </w:rPr>
              <w:t>ug/m</w:t>
            </w:r>
            <w:r>
              <w:rPr>
                <w:rFonts w:ascii="Times New Roman" w:hAnsi="Times New Roman"/>
                <w:b/>
                <w:bCs/>
                <w:color w:val="auto"/>
                <w:sz w:val="21"/>
                <w:szCs w:val="24"/>
                <w:highlight w:val="none"/>
                <w:vertAlign w:val="superscript"/>
                <w:lang w:bidi="ar"/>
              </w:rPr>
              <w:t>3</w:t>
            </w:r>
            <w:r>
              <w:rPr>
                <w:rFonts w:hint="eastAsia"/>
                <w:b/>
                <w:bCs/>
                <w:color w:val="auto"/>
                <w:sz w:val="21"/>
                <w:szCs w:val="21"/>
                <w:highlight w:val="none"/>
                <w:lang w:val="en-US" w:eastAsia="zh-CN"/>
              </w:rPr>
              <w:t>）</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3156"/>
              <w:gridCol w:w="1154"/>
              <w:gridCol w:w="1056"/>
              <w:gridCol w:w="1021"/>
              <w:gridCol w:w="1056"/>
            </w:tblGrid>
            <w:tr w14:paraId="2542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08CC2C96">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lang w:bidi="ar"/>
                    </w:rPr>
                    <w:t>污染物</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E8C9229">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年评价指标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4B95F0A">
                  <w:pPr>
                    <w:pStyle w:val="21"/>
                    <w:widowControl w:val="0"/>
                    <w:adjustRightInd w:val="0"/>
                    <w:spacing w:before="0" w:beforeAutospacing="0" w:after="0" w:afterAutospacing="0" w:line="320" w:lineRule="exact"/>
                    <w:ind w:firstLine="0" w:firstLineChars="0"/>
                    <w:jc w:val="center"/>
                    <w:rPr>
                      <w:rFonts w:hint="eastAsia" w:ascii="Times New Roman" w:hAnsi="Times New Roman" w:eastAsia="宋体"/>
                      <w:color w:val="auto"/>
                      <w:sz w:val="22"/>
                      <w:szCs w:val="22"/>
                      <w:highlight w:val="none"/>
                      <w:lang w:eastAsia="zh-CN"/>
                    </w:rPr>
                  </w:pPr>
                  <w:r>
                    <w:rPr>
                      <w:rFonts w:hint="eastAsia" w:ascii="Times New Roman" w:hAnsi="Times New Roman"/>
                      <w:color w:val="auto"/>
                      <w:sz w:val="22"/>
                      <w:szCs w:val="22"/>
                      <w:highlight w:val="none"/>
                      <w:lang w:bidi="ar"/>
                    </w:rPr>
                    <w:t>年均浓度</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EDCA015">
                  <w:pPr>
                    <w:pStyle w:val="21"/>
                    <w:widowControl w:val="0"/>
                    <w:adjustRightInd w:val="0"/>
                    <w:spacing w:before="0" w:beforeAutospacing="0" w:after="0" w:afterAutospacing="0" w:line="320" w:lineRule="exact"/>
                    <w:ind w:firstLine="0" w:firstLineChars="0"/>
                    <w:jc w:val="center"/>
                    <w:rPr>
                      <w:rFonts w:hint="eastAsia" w:ascii="Times New Roman" w:hAnsi="Times New Roman"/>
                      <w:color w:val="auto"/>
                      <w:sz w:val="22"/>
                      <w:szCs w:val="22"/>
                      <w:highlight w:val="none"/>
                      <w:lang w:bidi="ar"/>
                    </w:rPr>
                  </w:pPr>
                  <w:r>
                    <w:rPr>
                      <w:rFonts w:hint="eastAsia" w:ascii="Times New Roman" w:hAnsi="Times New Roman"/>
                      <w:color w:val="auto"/>
                      <w:sz w:val="22"/>
                      <w:szCs w:val="22"/>
                      <w:highlight w:val="none"/>
                      <w:lang w:bidi="ar"/>
                    </w:rPr>
                    <w:t>二级标准</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6C922D1">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占标率%</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5B038A7">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lang w:bidi="ar"/>
                    </w:rPr>
                    <w:t>达标情况</w:t>
                  </w:r>
                </w:p>
              </w:tc>
            </w:tr>
            <w:tr w14:paraId="5A68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5FF36151">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SO</w:t>
                  </w:r>
                  <w:r>
                    <w:rPr>
                      <w:rFonts w:ascii="Times New Roman" w:hAnsi="Times New Roman"/>
                      <w:color w:val="auto"/>
                      <w:sz w:val="22"/>
                      <w:szCs w:val="22"/>
                      <w:highlight w:val="none"/>
                      <w:vertAlign w:val="subscript"/>
                      <w:lang w:bidi="ar"/>
                    </w:rPr>
                    <w:t>2</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5F6549C2">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24h平均第98百分位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2379263">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D6502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150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F759DAF">
                  <w:pPr>
                    <w:pStyle w:val="21"/>
                    <w:widowControl w:val="0"/>
                    <w:adjustRightInd w:val="0"/>
                    <w:spacing w:before="0" w:beforeAutospacing="0" w:after="0" w:afterAutospacing="0" w:line="320" w:lineRule="exact"/>
                    <w:ind w:firstLine="0" w:firstLineChars="0"/>
                    <w:jc w:val="center"/>
                    <w:rPr>
                      <w:rFonts w:hint="default" w:ascii="Times New Roman" w:hAnsi="Times New Roman"/>
                      <w:color w:val="auto"/>
                      <w:sz w:val="22"/>
                      <w:szCs w:val="22"/>
                      <w:highlight w:val="none"/>
                      <w:lang w:val="en-US" w:eastAsia="zh-CN"/>
                    </w:rPr>
                  </w:pPr>
                  <w:r>
                    <w:rPr>
                      <w:rFonts w:hint="eastAsia" w:ascii="Times New Roman" w:hAnsi="Times New Roman"/>
                      <w:color w:val="auto"/>
                      <w:sz w:val="22"/>
                      <w:szCs w:val="22"/>
                      <w:highlight w:val="none"/>
                      <w:lang w:val="en-US" w:eastAsia="zh-CN"/>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AFFDE20">
                  <w:pPr>
                    <w:pStyle w:val="21"/>
                    <w:widowControl w:val="0"/>
                    <w:adjustRightInd w:val="0"/>
                    <w:spacing w:before="0" w:beforeAutospacing="0" w:after="0" w:afterAutospacing="0"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达标</w:t>
                  </w:r>
                </w:p>
              </w:tc>
            </w:tr>
            <w:tr w14:paraId="4780D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11EE6C1F">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42D427AF">
                  <w:pPr>
                    <w:pStyle w:val="21"/>
                    <w:widowControl w:val="0"/>
                    <w:adjustRightInd w:val="0"/>
                    <w:spacing w:before="0" w:beforeAutospacing="0" w:after="0" w:afterAutospacing="0" w:line="320" w:lineRule="exact"/>
                    <w:ind w:firstLine="0" w:firstLineChars="0"/>
                    <w:jc w:val="center"/>
                    <w:rPr>
                      <w:rFonts w:hint="eastAsia"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年平均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55224C0E">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1081C6C">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92EB1AF">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7714849">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rPr>
                    <w:t>达标</w:t>
                  </w:r>
                </w:p>
              </w:tc>
            </w:tr>
            <w:tr w14:paraId="5A1A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00F3A613">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NO</w:t>
                  </w:r>
                  <w:r>
                    <w:rPr>
                      <w:rFonts w:ascii="Times New Roman" w:hAnsi="Times New Roman"/>
                      <w:color w:val="auto"/>
                      <w:sz w:val="22"/>
                      <w:szCs w:val="22"/>
                      <w:highlight w:val="none"/>
                      <w:vertAlign w:val="subscript"/>
                      <w:lang w:bidi="ar"/>
                    </w:rPr>
                    <w:t>2</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9D1E6B0">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24h平均第98百分位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75C1C26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E40E4CF">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F67720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01DE1B">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达标</w:t>
                  </w:r>
                </w:p>
              </w:tc>
            </w:tr>
            <w:tr w14:paraId="2560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3A6E35EE">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18835F60">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年平均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12D13AAF">
                  <w:pPr>
                    <w:pStyle w:val="21"/>
                    <w:widowControl w:val="0"/>
                    <w:adjustRightInd w:val="0"/>
                    <w:spacing w:before="0" w:beforeAutospacing="0" w:after="0" w:afterAutospacing="0" w:line="320" w:lineRule="exact"/>
                    <w:ind w:firstLine="0" w:firstLineChars="0"/>
                    <w:jc w:val="center"/>
                    <w:rPr>
                      <w:rFonts w:hint="eastAsia"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D93A410">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3FAC5FE">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A92D70">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rPr>
                    <w:t>达标</w:t>
                  </w:r>
                </w:p>
              </w:tc>
            </w:tr>
            <w:tr w14:paraId="42DF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1B650EA5">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PM</w:t>
                  </w:r>
                  <w:r>
                    <w:rPr>
                      <w:rFonts w:ascii="Times New Roman" w:hAnsi="Times New Roman"/>
                      <w:color w:val="auto"/>
                      <w:sz w:val="22"/>
                      <w:szCs w:val="22"/>
                      <w:highlight w:val="none"/>
                      <w:vertAlign w:val="subscript"/>
                      <w:lang w:bidi="ar"/>
                    </w:rPr>
                    <w:t>10</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3E717656">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24h平均第98百分位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2D412CA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BF1530">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150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C27707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91DC483">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达标</w:t>
                  </w:r>
                </w:p>
              </w:tc>
            </w:tr>
            <w:tr w14:paraId="45B1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7D479AF2">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FB89598">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年平均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3A80CF6D">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4ECB24">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3169E46">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854AE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rPr>
                    <w:t>达标</w:t>
                  </w:r>
                </w:p>
              </w:tc>
            </w:tr>
            <w:tr w14:paraId="4A83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restart"/>
                  <w:tcBorders>
                    <w:top w:val="single" w:color="000000" w:sz="4" w:space="0"/>
                    <w:left w:val="single" w:color="000000" w:sz="4" w:space="0"/>
                    <w:right w:val="single" w:color="000000" w:sz="4" w:space="0"/>
                  </w:tcBorders>
                  <w:noWrap w:val="0"/>
                  <w:vAlign w:val="center"/>
                </w:tcPr>
                <w:p w14:paraId="573587B1">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PM</w:t>
                  </w:r>
                  <w:r>
                    <w:rPr>
                      <w:rFonts w:ascii="Times New Roman" w:hAnsi="Times New Roman"/>
                      <w:color w:val="auto"/>
                      <w:sz w:val="22"/>
                      <w:szCs w:val="22"/>
                      <w:highlight w:val="none"/>
                      <w:vertAlign w:val="subscript"/>
                      <w:lang w:bidi="ar"/>
                    </w:rPr>
                    <w:t>2.5</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DD44938">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24h平均第98百分位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6527381">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7074B3E">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607F69D">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91A3C0">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达标</w:t>
                  </w:r>
                </w:p>
              </w:tc>
            </w:tr>
            <w:tr w14:paraId="1565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46" w:type="dxa"/>
                  <w:vMerge w:val="continue"/>
                  <w:tcBorders>
                    <w:left w:val="single" w:color="000000" w:sz="4" w:space="0"/>
                    <w:bottom w:val="single" w:color="000000" w:sz="4" w:space="0"/>
                    <w:right w:val="single" w:color="000000" w:sz="4" w:space="0"/>
                  </w:tcBorders>
                  <w:noWrap w:val="0"/>
                  <w:vAlign w:val="center"/>
                </w:tcPr>
                <w:p w14:paraId="42CE3064">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20F03D5A">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bidi="ar"/>
                    </w:rPr>
                    <w:t>年平均</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35E67972">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E8FA88">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1DBB51B">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76A5A52">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lang w:bidi="ar"/>
                    </w:rPr>
                  </w:pPr>
                  <w:r>
                    <w:rPr>
                      <w:rFonts w:hint="eastAsia" w:ascii="Times New Roman" w:hAnsi="Times New Roman"/>
                      <w:color w:val="auto"/>
                      <w:sz w:val="22"/>
                      <w:szCs w:val="22"/>
                      <w:highlight w:val="none"/>
                      <w:lang w:val="en-US" w:eastAsia="zh-CN"/>
                    </w:rPr>
                    <w:t>达标</w:t>
                  </w:r>
                </w:p>
              </w:tc>
            </w:tr>
            <w:tr w14:paraId="4BEE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0B360CD6">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CO</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0574203C">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stheme="minorBidi"/>
                      <w:color w:val="auto"/>
                      <w:kern w:val="0"/>
                      <w:sz w:val="22"/>
                      <w:szCs w:val="22"/>
                      <w:highlight w:val="none"/>
                      <w:lang w:val="en-US" w:eastAsia="zh-CN" w:bidi="ar"/>
                    </w:rPr>
                  </w:pPr>
                  <w:r>
                    <w:rPr>
                      <w:rFonts w:hint="eastAsia" w:ascii="Times New Roman" w:hAnsi="Times New Roman"/>
                      <w:color w:val="auto"/>
                      <w:sz w:val="22"/>
                      <w:szCs w:val="22"/>
                      <w:highlight w:val="none"/>
                      <w:lang w:val="en-US" w:eastAsia="zh-CN" w:bidi="ar"/>
                    </w:rPr>
                    <w:t>24h平均第98百分位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901FA88">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0.9mg/m</w:t>
                  </w:r>
                  <w:r>
                    <w:rPr>
                      <w:rFonts w:hint="eastAsia" w:ascii="Times New Roman" w:hAnsi="Times New Roman"/>
                      <w:color w:val="auto"/>
                      <w:sz w:val="22"/>
                      <w:szCs w:val="22"/>
                      <w:highlight w:val="none"/>
                      <w:vertAlign w:val="superscript"/>
                      <w:lang w:val="en-US" w:eastAsia="zh-CN"/>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BCE4784">
                  <w:pPr>
                    <w:pStyle w:val="21"/>
                    <w:widowControl w:val="0"/>
                    <w:adjustRightInd w:val="0"/>
                    <w:spacing w:before="0" w:beforeAutospacing="0" w:after="0" w:afterAutospacing="0" w:line="320" w:lineRule="exact"/>
                    <w:ind w:firstLine="0" w:firstLineChars="0"/>
                    <w:jc w:val="center"/>
                    <w:rPr>
                      <w:rFonts w:hint="eastAsia"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4</w:t>
                  </w:r>
                  <w:r>
                    <w:rPr>
                      <w:rFonts w:hint="eastAsia" w:ascii="Times New Roman" w:hAnsi="Times New Roman"/>
                      <w:color w:val="auto"/>
                      <w:sz w:val="22"/>
                      <w:szCs w:val="22"/>
                      <w:highlight w:val="none"/>
                      <w:lang w:val="en-US" w:eastAsia="zh-CN"/>
                    </w:rPr>
                    <w:t>mg/m</w:t>
                  </w:r>
                  <w:r>
                    <w:rPr>
                      <w:rFonts w:hint="eastAsia" w:ascii="Times New Roman" w:hAnsi="Times New Roman"/>
                      <w:color w:val="auto"/>
                      <w:sz w:val="22"/>
                      <w:szCs w:val="22"/>
                      <w:highlight w:val="none"/>
                      <w:vertAlign w:val="superscript"/>
                      <w:lang w:val="en-US" w:eastAsia="zh-CN"/>
                    </w:rPr>
                    <w:t>3</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691682B">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FCB002">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达标</w:t>
                  </w:r>
                </w:p>
              </w:tc>
            </w:tr>
            <w:tr w14:paraId="288D5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846" w:type="dxa"/>
                  <w:tcBorders>
                    <w:top w:val="single" w:color="000000" w:sz="4" w:space="0"/>
                    <w:left w:val="single" w:color="000000" w:sz="4" w:space="0"/>
                    <w:bottom w:val="single" w:color="000000" w:sz="4" w:space="0"/>
                    <w:right w:val="single" w:color="000000" w:sz="4" w:space="0"/>
                  </w:tcBorders>
                  <w:noWrap w:val="0"/>
                  <w:vAlign w:val="center"/>
                </w:tcPr>
                <w:p w14:paraId="25C7DD70">
                  <w:pPr>
                    <w:pStyle w:val="21"/>
                    <w:widowControl w:val="0"/>
                    <w:adjustRightInd w:val="0"/>
                    <w:spacing w:before="0" w:beforeAutospacing="0" w:after="0" w:afterAutospacing="0" w:line="320" w:lineRule="exact"/>
                    <w:ind w:firstLine="0" w:firstLineChars="0"/>
                    <w:jc w:val="center"/>
                    <w:rPr>
                      <w:rFonts w:ascii="Times New Roman" w:hAnsi="Times New Roman"/>
                      <w:color w:val="auto"/>
                      <w:sz w:val="22"/>
                      <w:szCs w:val="22"/>
                      <w:highlight w:val="none"/>
                    </w:rPr>
                  </w:pPr>
                  <w:r>
                    <w:rPr>
                      <w:rFonts w:ascii="Times New Roman" w:hAnsi="Times New Roman"/>
                      <w:color w:val="auto"/>
                      <w:sz w:val="22"/>
                      <w:szCs w:val="22"/>
                      <w:highlight w:val="none"/>
                      <w:lang w:bidi="ar"/>
                    </w:rPr>
                    <w:t>O</w:t>
                  </w:r>
                  <w:r>
                    <w:rPr>
                      <w:rFonts w:ascii="Times New Roman" w:hAnsi="Times New Roman"/>
                      <w:color w:val="auto"/>
                      <w:sz w:val="22"/>
                      <w:szCs w:val="22"/>
                      <w:highlight w:val="none"/>
                      <w:vertAlign w:val="subscript"/>
                      <w:lang w:bidi="ar"/>
                    </w:rPr>
                    <w:t>3</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14:paraId="749C8757">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stheme="minorBidi"/>
                      <w:color w:val="auto"/>
                      <w:kern w:val="0"/>
                      <w:sz w:val="22"/>
                      <w:szCs w:val="22"/>
                      <w:highlight w:val="none"/>
                      <w:lang w:val="en-US" w:eastAsia="zh-CN" w:bidi="ar"/>
                    </w:rPr>
                  </w:pPr>
                  <w:r>
                    <w:rPr>
                      <w:rFonts w:hint="eastAsia" w:ascii="Times New Roman" w:hAnsi="Times New Roman" w:eastAsia="宋体" w:cstheme="minorBidi"/>
                      <w:color w:val="auto"/>
                      <w:kern w:val="0"/>
                      <w:sz w:val="22"/>
                      <w:szCs w:val="22"/>
                      <w:highlight w:val="none"/>
                      <w:lang w:val="en-US" w:eastAsia="zh-CN" w:bidi="ar"/>
                    </w:rPr>
                    <w:t>日最大8h平均值的第90百分位</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58F45AD">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08F6D1">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bidi="ar"/>
                    </w:rPr>
                  </w:pPr>
                  <w:r>
                    <w:rPr>
                      <w:rFonts w:hint="eastAsia" w:ascii="Times New Roman" w:hAnsi="Times New Roman"/>
                      <w:color w:val="auto"/>
                      <w:sz w:val="22"/>
                      <w:szCs w:val="22"/>
                      <w:highlight w:val="none"/>
                      <w:lang w:val="en-US" w:eastAsia="zh-CN" w:bidi="ar"/>
                    </w:rPr>
                    <w:t>160</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771CA48">
                  <w:pPr>
                    <w:pStyle w:val="21"/>
                    <w:widowControl w:val="0"/>
                    <w:adjustRightInd w:val="0"/>
                    <w:spacing w:before="0" w:beforeAutospacing="0" w:after="0" w:afterAutospacing="0"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ascii="Times New Roman" w:hAnsi="Times New Roman"/>
                      <w:color w:val="auto"/>
                      <w:sz w:val="22"/>
                      <w:szCs w:val="22"/>
                      <w:highlight w:val="none"/>
                      <w:lang w:val="en-US" w:eastAsia="zh-CN"/>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DFFE50F">
                  <w:pPr>
                    <w:keepNext w:val="0"/>
                    <w:keepLines w:val="0"/>
                    <w:pageBreakBefore w:val="0"/>
                    <w:widowControl w:val="0"/>
                    <w:kinsoku/>
                    <w:wordWrap/>
                    <w:overflowPunct/>
                    <w:topLinePunct w:val="0"/>
                    <w:autoSpaceDE/>
                    <w:autoSpaceDN/>
                    <w:bidi w:val="0"/>
                    <w:adjustRightInd w:val="0"/>
                    <w:snapToGrid/>
                    <w:spacing w:before="0" w:beforeAutospacing="0" w:after="0" w:afterAutospacing="0"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lang w:val="en-US" w:eastAsia="zh-CN"/>
                    </w:rPr>
                    <w:t>达标</w:t>
                  </w:r>
                </w:p>
              </w:tc>
            </w:tr>
          </w:tbl>
          <w:p w14:paraId="4305755B">
            <w:pPr>
              <w:adjustRightInd w:val="0"/>
              <w:snapToGrid w:val="0"/>
              <w:ind w:firstLine="520"/>
              <w:rPr>
                <w:rFonts w:hint="eastAsia" w:ascii="Times New Roman" w:hAnsi="Times New Roman"/>
                <w:color w:val="auto"/>
                <w:highlight w:val="none"/>
              </w:rPr>
            </w:pPr>
            <w:r>
              <w:rPr>
                <w:rFonts w:hint="eastAsia" w:ascii="Times New Roman" w:hAnsi="Times New Roman"/>
                <w:color w:val="auto"/>
                <w:highlight w:val="none"/>
              </w:rPr>
              <w:t>根据上表统计数据，东川区环境空气中SO</w:t>
            </w:r>
            <w:r>
              <w:rPr>
                <w:rFonts w:hint="eastAsia" w:ascii="Times New Roman" w:hAnsi="Times New Roman"/>
                <w:color w:val="auto"/>
                <w:highlight w:val="none"/>
                <w:vertAlign w:val="subscript"/>
              </w:rPr>
              <w:t>2</w:t>
            </w:r>
            <w:r>
              <w:rPr>
                <w:rFonts w:hint="eastAsia" w:ascii="Times New Roman" w:hAnsi="Times New Roman"/>
                <w:color w:val="auto"/>
                <w:highlight w:val="none"/>
              </w:rPr>
              <w:t>、NO</w:t>
            </w:r>
            <w:r>
              <w:rPr>
                <w:rFonts w:hint="eastAsia" w:ascii="Times New Roman" w:hAnsi="Times New Roman"/>
                <w:color w:val="auto"/>
                <w:highlight w:val="none"/>
                <w:vertAlign w:val="subscript"/>
              </w:rPr>
              <w:t>2</w:t>
            </w:r>
            <w:r>
              <w:rPr>
                <w:rFonts w:hint="eastAsia" w:ascii="Times New Roman" w:hAnsi="Times New Roman"/>
                <w:color w:val="auto"/>
                <w:highlight w:val="none"/>
              </w:rPr>
              <w:t>、PM</w:t>
            </w:r>
            <w:r>
              <w:rPr>
                <w:rFonts w:hint="eastAsia" w:ascii="Times New Roman" w:hAnsi="Times New Roman"/>
                <w:color w:val="auto"/>
                <w:highlight w:val="none"/>
                <w:vertAlign w:val="subscript"/>
              </w:rPr>
              <w:t>10</w:t>
            </w:r>
            <w:r>
              <w:rPr>
                <w:rFonts w:hint="eastAsia" w:ascii="Times New Roman" w:hAnsi="Times New Roman"/>
                <w:color w:val="auto"/>
                <w:highlight w:val="none"/>
              </w:rPr>
              <w:t>、PM</w:t>
            </w:r>
            <w:r>
              <w:rPr>
                <w:rFonts w:hint="eastAsia" w:ascii="Times New Roman" w:hAnsi="Times New Roman"/>
                <w:color w:val="auto"/>
                <w:highlight w:val="none"/>
                <w:vertAlign w:val="subscript"/>
              </w:rPr>
              <w:t>2</w:t>
            </w:r>
            <w:r>
              <w:rPr>
                <w:rFonts w:hint="eastAsia"/>
                <w:color w:val="auto"/>
                <w:highlight w:val="none"/>
                <w:vertAlign w:val="subscript"/>
                <w:lang w:val="en-US" w:eastAsia="zh-CN"/>
              </w:rPr>
              <w:t>.5</w:t>
            </w:r>
            <w:r>
              <w:rPr>
                <w:rFonts w:hint="eastAsia" w:ascii="Times New Roman" w:hAnsi="Times New Roman"/>
                <w:color w:val="auto"/>
                <w:highlight w:val="none"/>
              </w:rPr>
              <w:t>年平均浓度满足《环境空气质量标准》(GB3095-2012) 二级标准限值，SO</w:t>
            </w:r>
            <w:r>
              <w:rPr>
                <w:rFonts w:hint="eastAsia" w:ascii="Times New Roman" w:hAnsi="Times New Roman"/>
                <w:color w:val="auto"/>
                <w:highlight w:val="none"/>
                <w:vertAlign w:val="subscript"/>
              </w:rPr>
              <w:t>2</w:t>
            </w:r>
            <w:r>
              <w:rPr>
                <w:rFonts w:hint="eastAsia" w:ascii="Times New Roman" w:hAnsi="Times New Roman"/>
                <w:color w:val="auto"/>
                <w:highlight w:val="none"/>
              </w:rPr>
              <w:t>、 NO</w:t>
            </w:r>
            <w:r>
              <w:rPr>
                <w:rFonts w:hint="eastAsia" w:ascii="Times New Roman" w:hAnsi="Times New Roman"/>
                <w:color w:val="auto"/>
                <w:highlight w:val="none"/>
                <w:vertAlign w:val="subscript"/>
              </w:rPr>
              <w:t>2</w:t>
            </w:r>
            <w:r>
              <w:rPr>
                <w:rFonts w:hint="eastAsia" w:ascii="Times New Roman" w:hAnsi="Times New Roman"/>
                <w:color w:val="auto"/>
                <w:highlight w:val="none"/>
              </w:rPr>
              <w:t>、PM</w:t>
            </w:r>
            <w:r>
              <w:rPr>
                <w:rFonts w:hint="eastAsia"/>
                <w:color w:val="auto"/>
                <w:highlight w:val="none"/>
                <w:vertAlign w:val="subscript"/>
                <w:lang w:val="en-US" w:eastAsia="zh-CN"/>
              </w:rPr>
              <w:t>10</w:t>
            </w:r>
            <w:r>
              <w:rPr>
                <w:rFonts w:hint="eastAsia" w:ascii="Times New Roman" w:hAnsi="Times New Roman"/>
                <w:color w:val="auto"/>
                <w:highlight w:val="none"/>
              </w:rPr>
              <w:t>、PM</w:t>
            </w:r>
            <w:r>
              <w:rPr>
                <w:rFonts w:hint="eastAsia" w:ascii="Times New Roman" w:hAnsi="Times New Roman"/>
                <w:color w:val="auto"/>
                <w:highlight w:val="none"/>
                <w:vertAlign w:val="subscript"/>
              </w:rPr>
              <w:t>2</w:t>
            </w:r>
            <w:r>
              <w:rPr>
                <w:rFonts w:hint="eastAsia"/>
                <w:color w:val="auto"/>
                <w:highlight w:val="none"/>
                <w:vertAlign w:val="subscript"/>
                <w:lang w:val="en-US" w:eastAsia="zh-CN"/>
              </w:rPr>
              <w:t>.</w:t>
            </w:r>
            <w:r>
              <w:rPr>
                <w:rFonts w:hint="eastAsia" w:ascii="Times New Roman" w:hAnsi="Times New Roman"/>
                <w:color w:val="auto"/>
                <w:highlight w:val="none"/>
                <w:vertAlign w:val="subscript"/>
              </w:rPr>
              <w:t>5</w:t>
            </w:r>
            <w:r>
              <w:rPr>
                <w:rFonts w:hint="eastAsia"/>
                <w:color w:val="auto"/>
                <w:highlight w:val="none"/>
                <w:lang w:eastAsia="zh-CN"/>
              </w:rPr>
              <w:t>、</w:t>
            </w:r>
            <w:r>
              <w:rPr>
                <w:rFonts w:hint="eastAsia" w:ascii="Times New Roman" w:hAnsi="Times New Roman"/>
                <w:color w:val="auto"/>
                <w:highlight w:val="none"/>
              </w:rPr>
              <w:t>CO、</w:t>
            </w:r>
            <w:r>
              <w:rPr>
                <w:rFonts w:hint="eastAsia"/>
                <w:color w:val="auto"/>
                <w:highlight w:val="none"/>
                <w:lang w:val="en-US" w:eastAsia="zh-CN"/>
              </w:rPr>
              <w:t>O</w:t>
            </w:r>
            <w:r>
              <w:rPr>
                <w:rFonts w:hint="eastAsia" w:ascii="Times New Roman" w:hAnsi="Times New Roman"/>
                <w:color w:val="auto"/>
                <w:highlight w:val="none"/>
                <w:vertAlign w:val="subscript"/>
              </w:rPr>
              <w:t>3</w:t>
            </w:r>
            <w:r>
              <w:rPr>
                <w:rFonts w:hint="eastAsia" w:ascii="Times New Roman" w:hAnsi="Times New Roman"/>
                <w:color w:val="auto"/>
                <w:highlight w:val="none"/>
              </w:rPr>
              <w:t>保证率日平均质量浓度满足《环境空气质量标准》(GB3095-2012)二级标准限值，东川区域为达标区。</w:t>
            </w:r>
          </w:p>
          <w:p w14:paraId="1C085E09">
            <w:pPr>
              <w:spacing w:line="480" w:lineRule="exact"/>
              <w:ind w:firstLine="520" w:firstLineChars="200"/>
              <w:rPr>
                <w:rFonts w:ascii="Times New Roman" w:hAnsi="Times New Roman"/>
                <w:color w:val="auto"/>
                <w:kern w:val="0"/>
                <w:sz w:val="26"/>
                <w:szCs w:val="26"/>
                <w:highlight w:val="none"/>
              </w:rPr>
            </w:pPr>
            <w:r>
              <w:rPr>
                <w:rFonts w:ascii="Times New Roman" w:hAnsi="Times New Roman"/>
                <w:color w:val="auto"/>
                <w:kern w:val="0"/>
                <w:sz w:val="26"/>
                <w:szCs w:val="26"/>
                <w:highlight w:val="none"/>
              </w:rPr>
              <w:t>为了</w:t>
            </w:r>
            <w:r>
              <w:rPr>
                <w:rFonts w:hint="eastAsia" w:ascii="Times New Roman" w:hAnsi="Times New Roman"/>
                <w:color w:val="auto"/>
                <w:kern w:val="0"/>
                <w:sz w:val="26"/>
                <w:szCs w:val="26"/>
                <w:highlight w:val="none"/>
              </w:rPr>
              <w:t>进一步调查</w:t>
            </w:r>
            <w:r>
              <w:rPr>
                <w:rFonts w:ascii="Times New Roman" w:hAnsi="Times New Roman"/>
                <w:color w:val="auto"/>
                <w:kern w:val="0"/>
                <w:sz w:val="26"/>
                <w:szCs w:val="26"/>
                <w:highlight w:val="none"/>
              </w:rPr>
              <w:t>评价区域大气环境质量现状，</w:t>
            </w:r>
            <w:r>
              <w:rPr>
                <w:rFonts w:hint="eastAsia" w:ascii="Times New Roman" w:hAnsi="Times New Roman"/>
                <w:color w:val="auto"/>
                <w:kern w:val="0"/>
                <w:sz w:val="26"/>
                <w:szCs w:val="26"/>
                <w:highlight w:val="none"/>
              </w:rPr>
              <w:t>于</w:t>
            </w:r>
            <w:r>
              <w:rPr>
                <w:rFonts w:ascii="Times New Roman" w:hAnsi="Times New Roman"/>
                <w:color w:val="auto"/>
                <w:kern w:val="0"/>
                <w:sz w:val="26"/>
                <w:szCs w:val="26"/>
                <w:highlight w:val="none"/>
              </w:rPr>
              <w:t>20</w:t>
            </w:r>
            <w:r>
              <w:rPr>
                <w:rFonts w:hint="eastAsia"/>
                <w:color w:val="auto"/>
                <w:kern w:val="0"/>
                <w:sz w:val="26"/>
                <w:szCs w:val="26"/>
                <w:highlight w:val="none"/>
                <w:lang w:val="en-US" w:eastAsia="zh-CN"/>
              </w:rPr>
              <w:t>21</w:t>
            </w:r>
            <w:r>
              <w:rPr>
                <w:rFonts w:ascii="Times New Roman" w:hAnsi="Times New Roman"/>
                <w:color w:val="auto"/>
                <w:kern w:val="0"/>
                <w:sz w:val="26"/>
                <w:szCs w:val="26"/>
                <w:highlight w:val="none"/>
              </w:rPr>
              <w:t>年</w:t>
            </w:r>
            <w:r>
              <w:rPr>
                <w:rFonts w:hint="eastAsia"/>
                <w:color w:val="auto"/>
                <w:kern w:val="0"/>
                <w:sz w:val="26"/>
                <w:szCs w:val="26"/>
                <w:highlight w:val="none"/>
                <w:lang w:val="en-US" w:eastAsia="zh-CN"/>
              </w:rPr>
              <w:t>01</w:t>
            </w:r>
            <w:r>
              <w:rPr>
                <w:rFonts w:ascii="Times New Roman" w:hAnsi="Times New Roman"/>
                <w:color w:val="auto"/>
                <w:kern w:val="0"/>
                <w:sz w:val="26"/>
                <w:szCs w:val="26"/>
                <w:highlight w:val="none"/>
              </w:rPr>
              <w:t>月</w:t>
            </w:r>
            <w:r>
              <w:rPr>
                <w:rFonts w:hint="eastAsia"/>
                <w:color w:val="auto"/>
                <w:kern w:val="0"/>
                <w:sz w:val="26"/>
                <w:szCs w:val="26"/>
                <w:highlight w:val="none"/>
                <w:lang w:val="en-US" w:eastAsia="zh-CN"/>
              </w:rPr>
              <w:t>05</w:t>
            </w:r>
            <w:r>
              <w:rPr>
                <w:rFonts w:ascii="Times New Roman" w:hAnsi="Times New Roman"/>
                <w:color w:val="auto"/>
                <w:kern w:val="0"/>
                <w:sz w:val="26"/>
                <w:szCs w:val="26"/>
                <w:highlight w:val="none"/>
              </w:rPr>
              <w:t>日~20</w:t>
            </w:r>
            <w:r>
              <w:rPr>
                <w:rFonts w:hint="eastAsia"/>
                <w:color w:val="auto"/>
                <w:kern w:val="0"/>
                <w:sz w:val="26"/>
                <w:szCs w:val="26"/>
                <w:highlight w:val="none"/>
                <w:lang w:val="en-US" w:eastAsia="zh-CN"/>
              </w:rPr>
              <w:t>21</w:t>
            </w:r>
            <w:r>
              <w:rPr>
                <w:rFonts w:ascii="Times New Roman" w:hAnsi="Times New Roman"/>
                <w:color w:val="auto"/>
                <w:kern w:val="0"/>
                <w:sz w:val="26"/>
                <w:szCs w:val="26"/>
                <w:highlight w:val="none"/>
              </w:rPr>
              <w:t>年</w:t>
            </w:r>
            <w:r>
              <w:rPr>
                <w:rFonts w:hint="eastAsia"/>
                <w:color w:val="auto"/>
                <w:kern w:val="0"/>
                <w:sz w:val="26"/>
                <w:szCs w:val="26"/>
                <w:highlight w:val="none"/>
                <w:lang w:val="en-US" w:eastAsia="zh-CN"/>
              </w:rPr>
              <w:t>01</w:t>
            </w:r>
            <w:r>
              <w:rPr>
                <w:rFonts w:ascii="Times New Roman" w:hAnsi="Times New Roman"/>
                <w:color w:val="auto"/>
                <w:kern w:val="0"/>
                <w:sz w:val="26"/>
                <w:szCs w:val="26"/>
                <w:highlight w:val="none"/>
              </w:rPr>
              <w:t>月</w:t>
            </w:r>
            <w:r>
              <w:rPr>
                <w:rFonts w:hint="eastAsia"/>
                <w:color w:val="auto"/>
                <w:kern w:val="0"/>
                <w:sz w:val="26"/>
                <w:szCs w:val="26"/>
                <w:highlight w:val="none"/>
                <w:lang w:val="en-US" w:eastAsia="zh-CN"/>
              </w:rPr>
              <w:t>11</w:t>
            </w:r>
            <w:r>
              <w:rPr>
                <w:rFonts w:ascii="Times New Roman" w:hAnsi="Times New Roman"/>
                <w:color w:val="auto"/>
                <w:kern w:val="0"/>
                <w:sz w:val="26"/>
                <w:szCs w:val="26"/>
                <w:highlight w:val="none"/>
              </w:rPr>
              <w:t>日建设单位委托</w:t>
            </w:r>
            <w:r>
              <w:rPr>
                <w:rFonts w:hint="eastAsia" w:ascii="Times New Roman" w:hAnsi="Times New Roman"/>
                <w:color w:val="auto"/>
                <w:kern w:val="0"/>
                <w:sz w:val="26"/>
                <w:szCs w:val="26"/>
                <w:highlight w:val="none"/>
              </w:rPr>
              <w:t>云南健牛生物科技有限公司</w:t>
            </w:r>
            <w:r>
              <w:rPr>
                <w:rFonts w:ascii="Times New Roman" w:hAnsi="Times New Roman"/>
                <w:color w:val="auto"/>
                <w:kern w:val="0"/>
                <w:sz w:val="26"/>
                <w:szCs w:val="26"/>
                <w:highlight w:val="none"/>
              </w:rPr>
              <w:t>对项目厂址上、下风向的环境空气进行现状监测。监测结果详见下表。</w:t>
            </w:r>
          </w:p>
          <w:p w14:paraId="37C071E7">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b/>
                <w:bCs/>
                <w:color w:val="auto"/>
                <w:spacing w:val="11"/>
                <w:sz w:val="21"/>
                <w:szCs w:val="21"/>
                <w:highlight w:val="none"/>
              </w:rPr>
            </w:pPr>
            <w:r>
              <w:rPr>
                <w:rFonts w:ascii="Times New Roman" w:hAnsi="Times New Roman"/>
                <w:b/>
                <w:bCs/>
                <w:color w:val="auto"/>
                <w:spacing w:val="11"/>
                <w:sz w:val="21"/>
                <w:szCs w:val="21"/>
                <w:highlight w:val="none"/>
              </w:rPr>
              <w:t>表3-2 环境空气质量现状（监测结果）表</w:t>
            </w:r>
          </w:p>
          <w:tbl>
            <w:tblPr>
              <w:tblStyle w:val="22"/>
              <w:tblpPr w:leftFromText="181" w:rightFromText="181"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8"/>
              <w:gridCol w:w="876"/>
              <w:gridCol w:w="876"/>
              <w:gridCol w:w="1622"/>
              <w:gridCol w:w="876"/>
              <w:gridCol w:w="876"/>
              <w:gridCol w:w="1622"/>
            </w:tblGrid>
            <w:tr w14:paraId="11220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278" w:type="dxa"/>
                  <w:vMerge w:val="restart"/>
                  <w:tcBorders>
                    <w:top w:val="single" w:color="auto" w:sz="12" w:space="0"/>
                    <w:tl2br w:val="nil"/>
                  </w:tcBorders>
                  <w:vAlign w:val="center"/>
                </w:tcPr>
                <w:p w14:paraId="3B57B6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cs="Times New Roman"/>
                      <w:b w:val="0"/>
                      <w:bCs w:val="0"/>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57785</wp:posOffset>
                            </wp:positionV>
                            <wp:extent cx="800100" cy="891540"/>
                            <wp:effectExtent l="3810" t="3175" r="15240" b="19685"/>
                            <wp:wrapNone/>
                            <wp:docPr id="6" name="直接箭头连接符 6"/>
                            <wp:cNvGraphicFramePr/>
                            <a:graphic xmlns:a="http://schemas.openxmlformats.org/drawingml/2006/main">
                              <a:graphicData uri="http://schemas.microsoft.com/office/word/2010/wordprocessingShape">
                                <wps:wsp>
                                  <wps:cNvCnPr/>
                                  <wps:spPr>
                                    <a:xfrm flipH="1" flipV="1">
                                      <a:off x="0" y="0"/>
                                      <a:ext cx="800100" cy="891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2.1pt;margin-top:4.55pt;height:70.2pt;width:63pt;z-index:251661312;mso-width-relative:page;mso-height-relative:page;" filled="f" stroked="t" coordsize="21600,21600" o:gfxdata="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IukjzWAAAABwEAAA8AAAAAAAAAAQAgAAAA&#10;IgAAAGRycy9kb3ducmV2LnhtbFBLAQIUABQAAAAIAIdO4kAFMsmTDQIAAAQEAAAOAAAAAAAAAAEA&#10;IAAAACUBAABkcnMvZTJvRG9jLnhtbFBLBQYAAAAABgAGAFkBAACkBQAAAAA=&#10;">
                            <v:fill on="f" focussize="0,0"/>
                            <v:stroke color="#000000" joinstyle="round"/>
                            <v:imagedata o:title=""/>
                            <o:lock v:ext="edit" aspectratio="f"/>
                          </v:shape>
                        </w:pict>
                      </mc:Fallback>
                    </mc:AlternateContent>
                  </w:r>
                  <w:r>
                    <w:rPr>
                      <w:rFonts w:hint="eastAsia" w:cs="Times New Roman"/>
                      <w:b w:val="0"/>
                      <w:bCs w:val="0"/>
                      <w:color w:val="auto"/>
                      <w:sz w:val="22"/>
                      <w:szCs w:val="22"/>
                      <w:highlight w:val="none"/>
                    </w:rPr>
                    <w:t>采样项目及</w:t>
                  </w:r>
                </w:p>
                <w:p w14:paraId="7FFE0F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结果         地点</w:t>
                  </w:r>
                </w:p>
                <w:p w14:paraId="5953D9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cs="Times New Roman"/>
                      <w:b w:val="0"/>
                      <w:bCs w:val="0"/>
                      <w:color w:val="auto"/>
                      <w:sz w:val="22"/>
                      <w:szCs w:val="22"/>
                      <w:highlight w:val="none"/>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27940</wp:posOffset>
                            </wp:positionV>
                            <wp:extent cx="892175" cy="311785"/>
                            <wp:effectExtent l="1270" t="4445" r="1905" b="7620"/>
                            <wp:wrapNone/>
                            <wp:docPr id="8" name="直接箭头连接符 8"/>
                            <wp:cNvGraphicFramePr/>
                            <a:graphic xmlns:a="http://schemas.openxmlformats.org/drawingml/2006/main">
                              <a:graphicData uri="http://schemas.microsoft.com/office/word/2010/wordprocessingShape">
                                <wps:wsp>
                                  <wps:cNvCnPr/>
                                  <wps:spPr>
                                    <a:xfrm flipH="1" flipV="1">
                                      <a:off x="0" y="0"/>
                                      <a:ext cx="892175" cy="3117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5.15pt;margin-top:2.2pt;height:24.55pt;width:70.25pt;z-index:251662336;mso-width-relative:page;mso-height-relative:page;" filled="f" stroked="t" coordsize="21600,21600" o:gfxdata="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6SKPTYAAAACAEAAA8AAAAAAAAAAQAgAAAA&#10;IgAAAGRycy9kb3ducmV2LnhtbFBLAQIUABQAAAAIAIdO4kAtqmLXCwIAAAQEAAAOAAAAAAAAAAEA&#10;IAAAACcBAABkcnMvZTJvRG9jLnhtbFBLBQYAAAAABgAGAFkBAACkBQAAAAA=&#10;">
                            <v:fill on="f" focussize="0,0"/>
                            <v:stroke color="#000000" joinstyle="round"/>
                            <v:imagedata o:title=""/>
                            <o:lock v:ext="edit" aspectratio="f"/>
                          </v:shape>
                        </w:pict>
                      </mc:Fallback>
                    </mc:AlternateContent>
                  </w:r>
                </w:p>
                <w:p w14:paraId="11A38F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采样时间</w:t>
                  </w:r>
                </w:p>
              </w:tc>
              <w:tc>
                <w:tcPr>
                  <w:tcW w:w="1650" w:type="dxa"/>
                  <w:gridSpan w:val="2"/>
                  <w:vAlign w:val="center"/>
                </w:tcPr>
                <w:p w14:paraId="58E9DC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cs="Times New Roman"/>
                      <w:b w:val="0"/>
                      <w:bCs w:val="0"/>
                      <w:color w:val="auto"/>
                      <w:sz w:val="22"/>
                      <w:szCs w:val="22"/>
                      <w:highlight w:val="none"/>
                    </w:rPr>
                    <w:t>TSP</w:t>
                  </w:r>
                  <w:r>
                    <w:rPr>
                      <w:rFonts w:hint="eastAsia" w:cs="Times New Roman"/>
                      <w:b w:val="0"/>
                      <w:bCs w:val="0"/>
                      <w:color w:val="auto"/>
                      <w:sz w:val="22"/>
                      <w:szCs w:val="22"/>
                      <w:highlight w:val="none"/>
                      <w:lang w:val="en-GB"/>
                    </w:rPr>
                    <w:t>（</w:t>
                  </w:r>
                  <w:r>
                    <w:rPr>
                      <w:rFonts w:cs="Times New Roman"/>
                      <w:b w:val="0"/>
                      <w:bCs w:val="0"/>
                      <w:color w:val="auto"/>
                      <w:sz w:val="22"/>
                      <w:szCs w:val="22"/>
                      <w:highlight w:val="none"/>
                      <w:lang w:val="en-GB"/>
                    </w:rPr>
                    <w:t>μg/m</w:t>
                  </w:r>
                  <w:r>
                    <w:rPr>
                      <w:rFonts w:cs="Times New Roman"/>
                      <w:b w:val="0"/>
                      <w:bCs w:val="0"/>
                      <w:color w:val="auto"/>
                      <w:sz w:val="22"/>
                      <w:szCs w:val="22"/>
                      <w:highlight w:val="none"/>
                      <w:vertAlign w:val="superscript"/>
                      <w:lang w:val="en-GB"/>
                    </w:rPr>
                    <w:t>3</w:t>
                  </w:r>
                  <w:r>
                    <w:rPr>
                      <w:rFonts w:hint="eastAsia" w:cs="Times New Roman"/>
                      <w:b w:val="0"/>
                      <w:bCs w:val="0"/>
                      <w:color w:val="auto"/>
                      <w:sz w:val="22"/>
                      <w:szCs w:val="22"/>
                      <w:highlight w:val="none"/>
                      <w:lang w:val="en-GB"/>
                    </w:rPr>
                    <w:t>）</w:t>
                  </w:r>
                </w:p>
              </w:tc>
              <w:tc>
                <w:tcPr>
                  <w:tcW w:w="1155" w:type="dxa"/>
                  <w:vMerge w:val="restart"/>
                  <w:vAlign w:val="center"/>
                </w:tcPr>
                <w:p w14:paraId="5FC162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rPr>
                    <w:t>(GB3095-2012)</w:t>
                  </w:r>
                </w:p>
                <w:p w14:paraId="1746F8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TSP二级标准</w:t>
                  </w:r>
                </w:p>
              </w:tc>
              <w:tc>
                <w:tcPr>
                  <w:tcW w:w="1710" w:type="dxa"/>
                  <w:gridSpan w:val="2"/>
                  <w:vAlign w:val="center"/>
                </w:tcPr>
                <w:p w14:paraId="2FC8C3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PM</w:t>
                  </w:r>
                  <w:r>
                    <w:rPr>
                      <w:rFonts w:hint="eastAsia" w:cs="Times New Roman"/>
                      <w:b w:val="0"/>
                      <w:bCs w:val="0"/>
                      <w:color w:val="auto"/>
                      <w:sz w:val="22"/>
                      <w:szCs w:val="22"/>
                      <w:highlight w:val="none"/>
                      <w:vertAlign w:val="subscript"/>
                    </w:rPr>
                    <w:t>10</w:t>
                  </w:r>
                  <w:r>
                    <w:rPr>
                      <w:rFonts w:hint="eastAsia" w:cs="Times New Roman"/>
                      <w:b w:val="0"/>
                      <w:bCs w:val="0"/>
                      <w:color w:val="auto"/>
                      <w:sz w:val="22"/>
                      <w:szCs w:val="22"/>
                      <w:highlight w:val="none"/>
                      <w:lang w:val="en-GB"/>
                    </w:rPr>
                    <w:t>（</w:t>
                  </w:r>
                  <w:r>
                    <w:rPr>
                      <w:rFonts w:cs="Times New Roman"/>
                      <w:b w:val="0"/>
                      <w:bCs w:val="0"/>
                      <w:color w:val="auto"/>
                      <w:sz w:val="22"/>
                      <w:szCs w:val="22"/>
                      <w:highlight w:val="none"/>
                      <w:lang w:val="en-GB"/>
                    </w:rPr>
                    <w:t>μg/m</w:t>
                  </w:r>
                  <w:r>
                    <w:rPr>
                      <w:rFonts w:cs="Times New Roman"/>
                      <w:b w:val="0"/>
                      <w:bCs w:val="0"/>
                      <w:color w:val="auto"/>
                      <w:sz w:val="22"/>
                      <w:szCs w:val="22"/>
                      <w:highlight w:val="none"/>
                      <w:vertAlign w:val="superscript"/>
                      <w:lang w:val="en-GB"/>
                    </w:rPr>
                    <w:t>3</w:t>
                  </w:r>
                  <w:r>
                    <w:rPr>
                      <w:rFonts w:hint="eastAsia" w:cs="Times New Roman"/>
                      <w:b w:val="0"/>
                      <w:bCs w:val="0"/>
                      <w:color w:val="auto"/>
                      <w:sz w:val="22"/>
                      <w:szCs w:val="22"/>
                      <w:highlight w:val="none"/>
                      <w:lang w:val="en-GB"/>
                    </w:rPr>
                    <w:t>）</w:t>
                  </w:r>
                </w:p>
              </w:tc>
              <w:tc>
                <w:tcPr>
                  <w:tcW w:w="1303" w:type="dxa"/>
                  <w:vMerge w:val="restart"/>
                  <w:vAlign w:val="center"/>
                </w:tcPr>
                <w:p w14:paraId="541126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rPr>
                    <w:t>(GB3095-2012)</w:t>
                  </w:r>
                </w:p>
                <w:p w14:paraId="711646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rPr>
                    <w:t>PM</w:t>
                  </w:r>
                  <w:r>
                    <w:rPr>
                      <w:rFonts w:hint="eastAsia" w:cs="Times New Roman"/>
                      <w:b w:val="0"/>
                      <w:bCs w:val="0"/>
                      <w:color w:val="auto"/>
                      <w:sz w:val="22"/>
                      <w:szCs w:val="22"/>
                      <w:highlight w:val="none"/>
                      <w:vertAlign w:val="subscript"/>
                    </w:rPr>
                    <w:t>10</w:t>
                  </w:r>
                  <w:r>
                    <w:rPr>
                      <w:rFonts w:hint="eastAsia" w:cs="Times New Roman"/>
                      <w:b w:val="0"/>
                      <w:bCs w:val="0"/>
                      <w:color w:val="auto"/>
                      <w:sz w:val="22"/>
                      <w:szCs w:val="22"/>
                      <w:highlight w:val="none"/>
                      <w:lang w:val="en-US" w:eastAsia="zh-CN"/>
                    </w:rPr>
                    <w:t>二级标准</w:t>
                  </w:r>
                </w:p>
              </w:tc>
            </w:tr>
            <w:tr w14:paraId="4CE47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278" w:type="dxa"/>
                  <w:vMerge w:val="continue"/>
                  <w:tcBorders>
                    <w:bottom w:val="single" w:color="auto" w:sz="6" w:space="0"/>
                    <w:tl2br w:val="nil"/>
                  </w:tcBorders>
                  <w:vAlign w:val="center"/>
                </w:tcPr>
                <w:p w14:paraId="476895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p>
              </w:tc>
              <w:tc>
                <w:tcPr>
                  <w:tcW w:w="780" w:type="dxa"/>
                  <w:vAlign w:val="center"/>
                </w:tcPr>
                <w:p w14:paraId="6669DC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上风向处（1#）</w:t>
                  </w:r>
                </w:p>
              </w:tc>
              <w:tc>
                <w:tcPr>
                  <w:tcW w:w="870" w:type="dxa"/>
                  <w:vAlign w:val="center"/>
                </w:tcPr>
                <w:p w14:paraId="24F6E1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下风向处（2#）</w:t>
                  </w:r>
                </w:p>
              </w:tc>
              <w:tc>
                <w:tcPr>
                  <w:tcW w:w="1155" w:type="dxa"/>
                  <w:vMerge w:val="continue"/>
                  <w:vAlign w:val="center"/>
                </w:tcPr>
                <w:p w14:paraId="558906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p>
              </w:tc>
              <w:tc>
                <w:tcPr>
                  <w:tcW w:w="840" w:type="dxa"/>
                  <w:vAlign w:val="center"/>
                </w:tcPr>
                <w:p w14:paraId="690E16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上风向处（1#）</w:t>
                  </w:r>
                </w:p>
              </w:tc>
              <w:tc>
                <w:tcPr>
                  <w:tcW w:w="870" w:type="dxa"/>
                  <w:vAlign w:val="center"/>
                </w:tcPr>
                <w:p w14:paraId="63FC76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下风向处（2#）</w:t>
                  </w:r>
                </w:p>
              </w:tc>
              <w:tc>
                <w:tcPr>
                  <w:tcW w:w="1303" w:type="dxa"/>
                  <w:vMerge w:val="continue"/>
                  <w:vAlign w:val="center"/>
                </w:tcPr>
                <w:p w14:paraId="7A7B88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p>
              </w:tc>
            </w:tr>
            <w:tr w14:paraId="30356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tcBorders>
                    <w:top w:val="single" w:color="auto" w:sz="6" w:space="0"/>
                  </w:tcBorders>
                  <w:vAlign w:val="center"/>
                </w:tcPr>
                <w:p w14:paraId="566D8F0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2021-01-05</w:t>
                  </w:r>
                </w:p>
              </w:tc>
              <w:tc>
                <w:tcPr>
                  <w:tcW w:w="780" w:type="dxa"/>
                  <w:vAlign w:val="center"/>
                </w:tcPr>
                <w:p w14:paraId="0D6B2B7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115</w:t>
                  </w:r>
                </w:p>
              </w:tc>
              <w:tc>
                <w:tcPr>
                  <w:tcW w:w="870" w:type="dxa"/>
                  <w:vAlign w:val="center"/>
                </w:tcPr>
                <w:p w14:paraId="49ABE0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150</w:t>
                  </w:r>
                </w:p>
              </w:tc>
              <w:tc>
                <w:tcPr>
                  <w:tcW w:w="1155" w:type="dxa"/>
                  <w:vAlign w:val="center"/>
                </w:tcPr>
                <w:p w14:paraId="4D33DE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300</w:t>
                  </w:r>
                </w:p>
              </w:tc>
              <w:tc>
                <w:tcPr>
                  <w:tcW w:w="840" w:type="dxa"/>
                  <w:vAlign w:val="center"/>
                </w:tcPr>
                <w:p w14:paraId="3ADA8C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57</w:t>
                  </w:r>
                </w:p>
              </w:tc>
              <w:tc>
                <w:tcPr>
                  <w:tcW w:w="870" w:type="dxa"/>
                  <w:vAlign w:val="center"/>
                </w:tcPr>
                <w:p w14:paraId="666149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64</w:t>
                  </w:r>
                </w:p>
              </w:tc>
              <w:tc>
                <w:tcPr>
                  <w:tcW w:w="1303" w:type="dxa"/>
                  <w:vAlign w:val="center"/>
                </w:tcPr>
                <w:p w14:paraId="4673A5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515AA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78FAA5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2021-01-06</w:t>
                  </w:r>
                </w:p>
              </w:tc>
              <w:tc>
                <w:tcPr>
                  <w:tcW w:w="780" w:type="dxa"/>
                  <w:vAlign w:val="center"/>
                </w:tcPr>
                <w:p w14:paraId="7D967E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127</w:t>
                  </w:r>
                </w:p>
              </w:tc>
              <w:tc>
                <w:tcPr>
                  <w:tcW w:w="870" w:type="dxa"/>
                  <w:vAlign w:val="center"/>
                </w:tcPr>
                <w:p w14:paraId="1AAA0C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143</w:t>
                  </w:r>
                </w:p>
              </w:tc>
              <w:tc>
                <w:tcPr>
                  <w:tcW w:w="1155" w:type="dxa"/>
                  <w:vAlign w:val="center"/>
                </w:tcPr>
                <w:p w14:paraId="060C4E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4E437D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50</w:t>
                  </w:r>
                </w:p>
              </w:tc>
              <w:tc>
                <w:tcPr>
                  <w:tcW w:w="870" w:type="dxa"/>
                  <w:vAlign w:val="center"/>
                </w:tcPr>
                <w:p w14:paraId="3DE5CE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66</w:t>
                  </w:r>
                </w:p>
              </w:tc>
              <w:tc>
                <w:tcPr>
                  <w:tcW w:w="1303" w:type="dxa"/>
                  <w:vAlign w:val="center"/>
                </w:tcPr>
                <w:p w14:paraId="1E7A914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3B25D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598BF1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2021-01-07</w:t>
                  </w:r>
                </w:p>
              </w:tc>
              <w:tc>
                <w:tcPr>
                  <w:tcW w:w="780" w:type="dxa"/>
                  <w:vAlign w:val="center"/>
                </w:tcPr>
                <w:p w14:paraId="05BF72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102</w:t>
                  </w:r>
                </w:p>
              </w:tc>
              <w:tc>
                <w:tcPr>
                  <w:tcW w:w="870" w:type="dxa"/>
                  <w:vAlign w:val="center"/>
                </w:tcPr>
                <w:p w14:paraId="4DAD39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133</w:t>
                  </w:r>
                </w:p>
              </w:tc>
              <w:tc>
                <w:tcPr>
                  <w:tcW w:w="1155" w:type="dxa"/>
                  <w:vAlign w:val="center"/>
                </w:tcPr>
                <w:p w14:paraId="4DA229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4E414E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53</w:t>
                  </w:r>
                </w:p>
              </w:tc>
              <w:tc>
                <w:tcPr>
                  <w:tcW w:w="870" w:type="dxa"/>
                  <w:vAlign w:val="center"/>
                </w:tcPr>
                <w:p w14:paraId="28A924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62</w:t>
                  </w:r>
                </w:p>
              </w:tc>
              <w:tc>
                <w:tcPr>
                  <w:tcW w:w="1303" w:type="dxa"/>
                  <w:vAlign w:val="center"/>
                </w:tcPr>
                <w:p w14:paraId="28EC83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355B7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32A4B8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2021-01-08</w:t>
                  </w:r>
                </w:p>
              </w:tc>
              <w:tc>
                <w:tcPr>
                  <w:tcW w:w="780" w:type="dxa"/>
                  <w:vAlign w:val="center"/>
                </w:tcPr>
                <w:p w14:paraId="56EF97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112</w:t>
                  </w:r>
                </w:p>
              </w:tc>
              <w:tc>
                <w:tcPr>
                  <w:tcW w:w="870" w:type="dxa"/>
                  <w:vAlign w:val="center"/>
                </w:tcPr>
                <w:p w14:paraId="3731C9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125</w:t>
                  </w:r>
                </w:p>
              </w:tc>
              <w:tc>
                <w:tcPr>
                  <w:tcW w:w="1155" w:type="dxa"/>
                  <w:vAlign w:val="center"/>
                </w:tcPr>
                <w:p w14:paraId="745CFD9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08699B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42</w:t>
                  </w:r>
                </w:p>
              </w:tc>
              <w:tc>
                <w:tcPr>
                  <w:tcW w:w="870" w:type="dxa"/>
                  <w:vAlign w:val="center"/>
                </w:tcPr>
                <w:p w14:paraId="4BF291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62</w:t>
                  </w:r>
                </w:p>
              </w:tc>
              <w:tc>
                <w:tcPr>
                  <w:tcW w:w="1303" w:type="dxa"/>
                  <w:vAlign w:val="center"/>
                </w:tcPr>
                <w:p w14:paraId="2776D5C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76B6E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7324B0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2021-01-09</w:t>
                  </w:r>
                </w:p>
              </w:tc>
              <w:tc>
                <w:tcPr>
                  <w:tcW w:w="780" w:type="dxa"/>
                  <w:vAlign w:val="center"/>
                </w:tcPr>
                <w:p w14:paraId="6937A5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113</w:t>
                  </w:r>
                </w:p>
              </w:tc>
              <w:tc>
                <w:tcPr>
                  <w:tcW w:w="870" w:type="dxa"/>
                  <w:vAlign w:val="center"/>
                </w:tcPr>
                <w:p w14:paraId="0BB813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119</w:t>
                  </w:r>
                </w:p>
              </w:tc>
              <w:tc>
                <w:tcPr>
                  <w:tcW w:w="1155" w:type="dxa"/>
                  <w:vAlign w:val="center"/>
                </w:tcPr>
                <w:p w14:paraId="67B6AE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258D79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57</w:t>
                  </w:r>
                </w:p>
              </w:tc>
              <w:tc>
                <w:tcPr>
                  <w:tcW w:w="870" w:type="dxa"/>
                  <w:vAlign w:val="center"/>
                </w:tcPr>
                <w:p w14:paraId="017B5B5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65</w:t>
                  </w:r>
                </w:p>
              </w:tc>
              <w:tc>
                <w:tcPr>
                  <w:tcW w:w="1303" w:type="dxa"/>
                  <w:vAlign w:val="center"/>
                </w:tcPr>
                <w:p w14:paraId="017BA2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36F5E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150CD8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2021-01-10</w:t>
                  </w:r>
                </w:p>
              </w:tc>
              <w:tc>
                <w:tcPr>
                  <w:tcW w:w="780" w:type="dxa"/>
                  <w:vAlign w:val="center"/>
                </w:tcPr>
                <w:p w14:paraId="5FC493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105</w:t>
                  </w:r>
                </w:p>
              </w:tc>
              <w:tc>
                <w:tcPr>
                  <w:tcW w:w="870" w:type="dxa"/>
                  <w:vAlign w:val="center"/>
                </w:tcPr>
                <w:p w14:paraId="216A74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117</w:t>
                  </w:r>
                </w:p>
              </w:tc>
              <w:tc>
                <w:tcPr>
                  <w:tcW w:w="1155" w:type="dxa"/>
                  <w:vAlign w:val="center"/>
                </w:tcPr>
                <w:p w14:paraId="4EBE0A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390557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55</w:t>
                  </w:r>
                </w:p>
              </w:tc>
              <w:tc>
                <w:tcPr>
                  <w:tcW w:w="870" w:type="dxa"/>
                  <w:vAlign w:val="center"/>
                </w:tcPr>
                <w:p w14:paraId="34EAAE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56</w:t>
                  </w:r>
                </w:p>
              </w:tc>
              <w:tc>
                <w:tcPr>
                  <w:tcW w:w="1303" w:type="dxa"/>
                  <w:vAlign w:val="center"/>
                </w:tcPr>
                <w:p w14:paraId="281E6C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r w14:paraId="13EC9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8" w:type="dxa"/>
                  <w:vAlign w:val="center"/>
                </w:tcPr>
                <w:p w14:paraId="125C17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2021-01-11</w:t>
                  </w:r>
                </w:p>
              </w:tc>
              <w:tc>
                <w:tcPr>
                  <w:tcW w:w="780" w:type="dxa"/>
                  <w:vAlign w:val="center"/>
                </w:tcPr>
                <w:p w14:paraId="7383FE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101</w:t>
                  </w:r>
                </w:p>
              </w:tc>
              <w:tc>
                <w:tcPr>
                  <w:tcW w:w="870" w:type="dxa"/>
                  <w:vAlign w:val="center"/>
                </w:tcPr>
                <w:p w14:paraId="36702B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145</w:t>
                  </w:r>
                </w:p>
              </w:tc>
              <w:tc>
                <w:tcPr>
                  <w:tcW w:w="1155" w:type="dxa"/>
                  <w:vAlign w:val="center"/>
                </w:tcPr>
                <w:p w14:paraId="3C3E29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val="0"/>
                      <w:bCs w:val="0"/>
                      <w:color w:val="auto"/>
                      <w:sz w:val="22"/>
                      <w:szCs w:val="22"/>
                      <w:highlight w:val="none"/>
                    </w:rPr>
                  </w:pPr>
                  <w:r>
                    <w:rPr>
                      <w:rFonts w:hint="eastAsia" w:cs="Times New Roman"/>
                      <w:b w:val="0"/>
                      <w:bCs w:val="0"/>
                      <w:color w:val="auto"/>
                      <w:sz w:val="22"/>
                      <w:szCs w:val="22"/>
                      <w:highlight w:val="none"/>
                      <w:lang w:val="en-US" w:eastAsia="zh-CN"/>
                    </w:rPr>
                    <w:t>300</w:t>
                  </w:r>
                </w:p>
              </w:tc>
              <w:tc>
                <w:tcPr>
                  <w:tcW w:w="840" w:type="dxa"/>
                  <w:vAlign w:val="center"/>
                </w:tcPr>
                <w:p w14:paraId="21370DD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56</w:t>
                  </w:r>
                </w:p>
              </w:tc>
              <w:tc>
                <w:tcPr>
                  <w:tcW w:w="870" w:type="dxa"/>
                  <w:vAlign w:val="center"/>
                </w:tcPr>
                <w:p w14:paraId="642D26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cs="Times New Roman"/>
                      <w:b w:val="0"/>
                      <w:bCs w:val="0"/>
                      <w:color w:val="auto"/>
                      <w:sz w:val="22"/>
                      <w:szCs w:val="22"/>
                      <w:highlight w:val="none"/>
                    </w:rPr>
                  </w:pPr>
                  <w:r>
                    <w:rPr>
                      <w:rFonts w:hint="eastAsia" w:cs="Times New Roman"/>
                      <w:b w:val="0"/>
                      <w:bCs w:val="0"/>
                      <w:color w:val="auto"/>
                      <w:sz w:val="22"/>
                      <w:szCs w:val="22"/>
                      <w:highlight w:val="none"/>
                    </w:rPr>
                    <w:t>66</w:t>
                  </w:r>
                </w:p>
              </w:tc>
              <w:tc>
                <w:tcPr>
                  <w:tcW w:w="1303" w:type="dxa"/>
                  <w:vAlign w:val="center"/>
                </w:tcPr>
                <w:p w14:paraId="483BDCE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s="Times New Roman"/>
                      <w:b w:val="0"/>
                      <w:bCs w:val="0"/>
                      <w:color w:val="auto"/>
                      <w:sz w:val="22"/>
                      <w:szCs w:val="22"/>
                      <w:highlight w:val="none"/>
                      <w:lang w:val="en-US" w:eastAsia="zh-CN"/>
                    </w:rPr>
                  </w:pPr>
                  <w:r>
                    <w:rPr>
                      <w:rFonts w:hint="eastAsia" w:cs="Times New Roman"/>
                      <w:b w:val="0"/>
                      <w:bCs w:val="0"/>
                      <w:color w:val="auto"/>
                      <w:sz w:val="22"/>
                      <w:szCs w:val="22"/>
                      <w:highlight w:val="none"/>
                      <w:lang w:val="en-US" w:eastAsia="zh-CN"/>
                    </w:rPr>
                    <w:t>150</w:t>
                  </w:r>
                </w:p>
              </w:tc>
            </w:tr>
          </w:tbl>
          <w:p w14:paraId="4438C096">
            <w:pPr>
              <w:pStyle w:val="4"/>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b w:val="0"/>
                <w:bCs w:val="0"/>
                <w:color w:val="auto"/>
                <w:highlight w:val="none"/>
              </w:rPr>
            </w:pPr>
            <w:r>
              <w:rPr>
                <w:rFonts w:hint="eastAsia"/>
                <w:b w:val="0"/>
                <w:bCs w:val="0"/>
                <w:color w:val="auto"/>
                <w:highlight w:val="none"/>
              </w:rPr>
              <w:t>根据监测数据分析，评</w:t>
            </w:r>
            <w:r>
              <w:rPr>
                <w:rFonts w:hint="eastAsia"/>
                <w:b w:val="0"/>
                <w:bCs w:val="0"/>
                <w:color w:val="auto"/>
                <w:highlight w:val="none"/>
                <w:lang w:val="en-US" w:eastAsia="zh-CN"/>
              </w:rPr>
              <w:t>价</w:t>
            </w:r>
            <w:r>
              <w:rPr>
                <w:rFonts w:hint="eastAsia"/>
                <w:b w:val="0"/>
                <w:bCs w:val="0"/>
                <w:color w:val="auto"/>
                <w:highlight w:val="none"/>
              </w:rPr>
              <w:t>区域内大气环境质量能够满足《环境空气质量标准》(GB3095-2012)二级标准。</w:t>
            </w:r>
          </w:p>
          <w:p w14:paraId="5439C9D0">
            <w:pPr>
              <w:adjustRightInd w:val="0"/>
              <w:snapToGrid w:val="0"/>
              <w:ind w:firstLine="522"/>
              <w:rPr>
                <w:rFonts w:ascii="Times New Roman" w:hAnsi="Times New Roman"/>
                <w:b/>
                <w:color w:val="auto"/>
                <w:highlight w:val="none"/>
              </w:rPr>
            </w:pPr>
            <w:r>
              <w:rPr>
                <w:rFonts w:ascii="Times New Roman" w:hAnsi="Times New Roman"/>
                <w:b/>
                <w:color w:val="auto"/>
                <w:highlight w:val="none"/>
              </w:rPr>
              <w:t>2、地表水质量现状</w:t>
            </w:r>
            <w:r>
              <w:rPr>
                <w:rFonts w:ascii="Times New Roman" w:hAnsi="Times New Roman"/>
                <w:b/>
                <w:color w:val="auto"/>
                <w:highlight w:val="none"/>
              </w:rPr>
              <w:tab/>
            </w:r>
          </w:p>
          <w:p w14:paraId="54A66285">
            <w:pPr>
              <w:adjustRightInd w:val="0"/>
              <w:snapToGrid w:val="0"/>
              <w:ind w:firstLine="522"/>
              <w:rPr>
                <w:rFonts w:hint="eastAsia" w:ascii="Times New Roman" w:hAnsi="Times New Roman"/>
                <w:color w:val="auto"/>
                <w:highlight w:val="none"/>
              </w:rPr>
            </w:pPr>
            <w:r>
              <w:rPr>
                <w:rFonts w:hint="eastAsia" w:ascii="Times New Roman" w:hAnsi="Times New Roman"/>
                <w:color w:val="auto"/>
                <w:highlight w:val="none"/>
              </w:rPr>
              <w:t>项目区属金沙江水系小江流域。小江（上游称大白河），居长江上游之金沙江下段右岸，属金沙江一级支流。全长140.25 km，东川境内长90km，流域面积3096km</w:t>
            </w:r>
            <w:r>
              <w:rPr>
                <w:rFonts w:hint="eastAsia" w:ascii="Times New Roman" w:hAnsi="Times New Roman"/>
                <w:color w:val="auto"/>
                <w:highlight w:val="none"/>
                <w:vertAlign w:val="superscript"/>
              </w:rPr>
              <w:t>2</w:t>
            </w:r>
            <w:r>
              <w:rPr>
                <w:rFonts w:hint="eastAsia" w:ascii="Times New Roman" w:hAnsi="Times New Roman"/>
                <w:color w:val="auto"/>
                <w:highlight w:val="none"/>
              </w:rPr>
              <w:t>，河宽15～50m。查询《云南省地表水环境功能区划》(2010-2020)，小江（东川城区——四级站）水环境功能为工业用水、农业用水，水体类别为Ⅳ类，应执行《地表水环境质量标准》（GB3838-2002）Ⅳ类标准。根据《201</w:t>
            </w:r>
            <w:r>
              <w:rPr>
                <w:rFonts w:hint="eastAsia"/>
                <w:color w:val="auto"/>
                <w:highlight w:val="none"/>
                <w:lang w:val="en-US" w:eastAsia="zh-CN"/>
              </w:rPr>
              <w:t>9</w:t>
            </w:r>
            <w:r>
              <w:rPr>
                <w:rFonts w:hint="eastAsia" w:ascii="Times New Roman" w:hAnsi="Times New Roman"/>
                <w:color w:val="auto"/>
                <w:highlight w:val="none"/>
              </w:rPr>
              <w:t xml:space="preserve"> 年昆明市环境质量状况公报》，四级站断面水质类别</w:t>
            </w:r>
            <w:r>
              <w:rPr>
                <w:rFonts w:hint="eastAsia" w:ascii="Times New Roman" w:hAnsi="Times New Roman" w:eastAsia="宋体"/>
                <w:color w:val="auto"/>
                <w:highlight w:val="none"/>
              </w:rPr>
              <w:t>Ⅱ</w:t>
            </w:r>
            <w:r>
              <w:rPr>
                <w:rFonts w:hint="eastAsia" w:ascii="Times New Roman" w:hAnsi="Times New Roman" w:eastAsia="宋体"/>
                <w:color w:val="auto"/>
                <w:highlight w:val="none"/>
                <w:lang w:val="en-US" w:eastAsia="zh-CN"/>
              </w:rPr>
              <w:t>类，2018年水质达</w:t>
            </w:r>
            <w:r>
              <w:rPr>
                <w:rFonts w:hint="eastAsia" w:ascii="Times New Roman" w:hAnsi="Times New Roman" w:eastAsia="宋体"/>
                <w:color w:val="auto"/>
                <w:highlight w:val="none"/>
              </w:rPr>
              <w:t>Ⅲ类，</w:t>
            </w:r>
            <w:r>
              <w:rPr>
                <w:rFonts w:hint="eastAsia" w:ascii="Times New Roman" w:hAnsi="Times New Roman" w:eastAsia="宋体"/>
                <w:color w:val="auto"/>
                <w:highlight w:val="none"/>
                <w:lang w:val="en-US" w:eastAsia="zh-CN"/>
              </w:rPr>
              <w:t>相对2018年水环境质量有所</w:t>
            </w:r>
            <w:r>
              <w:rPr>
                <w:rFonts w:hint="eastAsia"/>
                <w:color w:val="auto"/>
                <w:highlight w:val="none"/>
                <w:lang w:val="en-US" w:eastAsia="zh-CN"/>
              </w:rPr>
              <w:t>提高，</w:t>
            </w:r>
            <w:r>
              <w:rPr>
                <w:rFonts w:hint="eastAsia" w:ascii="Times New Roman" w:hAnsi="Times New Roman"/>
                <w:color w:val="auto"/>
                <w:highlight w:val="none"/>
              </w:rPr>
              <w:t>达到水质保护目标，项目区地表水环境质量较好。</w:t>
            </w:r>
          </w:p>
          <w:p w14:paraId="51D3831B">
            <w:pPr>
              <w:adjustRightInd w:val="0"/>
              <w:snapToGrid w:val="0"/>
              <w:ind w:firstLine="522"/>
              <w:rPr>
                <w:rFonts w:ascii="Times New Roman" w:hAnsi="Times New Roman"/>
                <w:b/>
                <w:color w:val="auto"/>
                <w:highlight w:val="none"/>
              </w:rPr>
            </w:pPr>
            <w:r>
              <w:rPr>
                <w:rFonts w:ascii="Times New Roman" w:hAnsi="Times New Roman"/>
                <w:b/>
                <w:color w:val="auto"/>
                <w:highlight w:val="none"/>
              </w:rPr>
              <w:t>3、声环境质量现状</w:t>
            </w:r>
          </w:p>
          <w:p w14:paraId="0C0A32BE">
            <w:pPr>
              <w:adjustRightInd w:val="0"/>
              <w:snapToGrid w:val="0"/>
              <w:ind w:firstLine="520"/>
              <w:rPr>
                <w:rFonts w:hint="eastAsia" w:ascii="Times New Roman" w:hAnsi="Times New Roman"/>
                <w:color w:val="auto"/>
                <w:highlight w:val="none"/>
              </w:rPr>
            </w:pPr>
            <w:r>
              <w:rPr>
                <w:rFonts w:hint="eastAsia" w:ascii="Times New Roman" w:hAnsi="Times New Roman"/>
                <w:color w:val="auto"/>
                <w:highlight w:val="none"/>
              </w:rPr>
              <w:t>本项目位于昆明市</w:t>
            </w:r>
            <w:r>
              <w:rPr>
                <w:rFonts w:hint="eastAsia"/>
                <w:color w:val="auto"/>
                <w:highlight w:val="none"/>
                <w:lang w:val="en-US" w:eastAsia="zh-CN"/>
              </w:rPr>
              <w:t>东川</w:t>
            </w:r>
            <w:r>
              <w:rPr>
                <w:rFonts w:hint="eastAsia" w:ascii="Times New Roman" w:hAnsi="Times New Roman"/>
                <w:color w:val="auto"/>
                <w:highlight w:val="none"/>
              </w:rPr>
              <w:t>区</w:t>
            </w:r>
            <w:r>
              <w:rPr>
                <w:rFonts w:hint="eastAsia" w:ascii="Times New Roman" w:hAnsi="Times New Roman" w:eastAsia="宋体" w:cs="Times New Roman"/>
                <w:color w:val="auto"/>
                <w:highlight w:val="none"/>
              </w:rPr>
              <w:t>排子田</w:t>
            </w:r>
            <w:r>
              <w:rPr>
                <w:rFonts w:hint="eastAsia" w:ascii="Times New Roman" w:hAnsi="Times New Roman" w:eastAsia="宋体" w:cs="Times New Roman"/>
                <w:color w:val="auto"/>
                <w:highlight w:val="none"/>
                <w:lang w:val="en-US" w:eastAsia="zh-CN"/>
              </w:rPr>
              <w:t>村</w:t>
            </w:r>
            <w:r>
              <w:rPr>
                <w:rFonts w:hint="eastAsia" w:ascii="Times New Roman" w:hAnsi="Times New Roman"/>
                <w:color w:val="auto"/>
                <w:highlight w:val="none"/>
              </w:rPr>
              <w:t>，据《201</w:t>
            </w:r>
            <w:r>
              <w:rPr>
                <w:rFonts w:hint="eastAsia"/>
                <w:color w:val="auto"/>
                <w:highlight w:val="none"/>
                <w:lang w:val="en-US" w:eastAsia="zh-CN"/>
              </w:rPr>
              <w:t>9</w:t>
            </w:r>
            <w:r>
              <w:rPr>
                <w:rFonts w:hint="eastAsia" w:ascii="Times New Roman" w:hAnsi="Times New Roman"/>
                <w:color w:val="auto"/>
                <w:highlight w:val="none"/>
              </w:rPr>
              <w:t xml:space="preserve"> 年昆明市环境质量状况公报》</w:t>
            </w:r>
            <w:r>
              <w:rPr>
                <w:rFonts w:ascii="Times New Roman" w:hAnsi="Times New Roman"/>
                <w:color w:val="auto"/>
                <w:highlight w:val="none"/>
              </w:rPr>
              <w:t>，</w:t>
            </w:r>
            <w:r>
              <w:rPr>
                <w:rFonts w:hint="eastAsia" w:ascii="Times New Roman" w:hAnsi="Times New Roman"/>
                <w:color w:val="auto"/>
                <w:highlight w:val="none"/>
              </w:rPr>
              <w:t>昆明市环境噪声共布设228个的网格点位。</w:t>
            </w:r>
            <w:r>
              <w:rPr>
                <w:rFonts w:hint="eastAsia"/>
                <w:color w:val="auto"/>
                <w:highlight w:val="none"/>
                <w:lang w:val="en-US" w:eastAsia="zh-CN"/>
              </w:rPr>
              <w:t>东川</w:t>
            </w:r>
            <w:r>
              <w:rPr>
                <w:rFonts w:hint="eastAsia" w:ascii="Times New Roman" w:hAnsi="Times New Roman"/>
                <w:color w:val="auto"/>
                <w:highlight w:val="none"/>
              </w:rPr>
              <w:t>区的声环境质量达环境噪声年平均等效声级值为</w:t>
            </w:r>
            <w:r>
              <w:rPr>
                <w:rFonts w:hint="eastAsia"/>
                <w:color w:val="auto"/>
                <w:highlight w:val="none"/>
                <w:lang w:val="en-US" w:eastAsia="zh-CN"/>
              </w:rPr>
              <w:t>52.8</w:t>
            </w:r>
            <w:r>
              <w:rPr>
                <w:rFonts w:hint="eastAsia" w:ascii="Times New Roman" w:hAnsi="Times New Roman"/>
                <w:color w:val="auto"/>
                <w:highlight w:val="none"/>
              </w:rPr>
              <w:t>分贝(A)，能达到《声环境质量标准》( GB3096 -2008 )</w:t>
            </w:r>
            <w:r>
              <w:rPr>
                <w:rFonts w:ascii="Times New Roman" w:hAnsi="Times New Roman"/>
                <w:color w:val="auto"/>
                <w:highlight w:val="none"/>
              </w:rPr>
              <w:t>2类区标准</w:t>
            </w:r>
            <w:r>
              <w:rPr>
                <w:rFonts w:hint="eastAsia" w:ascii="Times New Roman" w:hAnsi="Times New Roman"/>
                <w:color w:val="auto"/>
                <w:highlight w:val="none"/>
              </w:rPr>
              <w:t>。</w:t>
            </w:r>
          </w:p>
          <w:p w14:paraId="6259162E">
            <w:pPr>
              <w:adjustRightInd w:val="0"/>
              <w:snapToGrid w:val="0"/>
              <w:ind w:firstLine="520"/>
              <w:rPr>
                <w:rFonts w:hint="eastAsia" w:ascii="Times New Roman" w:hAnsi="Times New Roman"/>
                <w:color w:val="auto"/>
                <w:highlight w:val="none"/>
              </w:rPr>
            </w:pPr>
            <w:r>
              <w:rPr>
                <w:rFonts w:hint="eastAsia" w:ascii="Times New Roman" w:hAnsi="Times New Roman"/>
                <w:color w:val="auto"/>
                <w:highlight w:val="none"/>
              </w:rPr>
              <w:t>为进一步了解项目区声环境质量现状，建设单位委托</w:t>
            </w:r>
            <w:r>
              <w:rPr>
                <w:rFonts w:hint="eastAsia" w:ascii="Times New Roman" w:hAnsi="Times New Roman"/>
                <w:color w:val="auto"/>
                <w:kern w:val="0"/>
                <w:sz w:val="26"/>
                <w:szCs w:val="26"/>
                <w:highlight w:val="none"/>
              </w:rPr>
              <w:t>云南健牛生物科技有限公司</w:t>
            </w:r>
            <w:r>
              <w:rPr>
                <w:rFonts w:hint="eastAsia" w:ascii="Times New Roman" w:hAnsi="Times New Roman"/>
                <w:color w:val="auto"/>
                <w:highlight w:val="none"/>
              </w:rPr>
              <w:t>于</w:t>
            </w:r>
            <w:r>
              <w:rPr>
                <w:rFonts w:ascii="Times New Roman" w:hAnsi="Times New Roman"/>
                <w:color w:val="auto"/>
                <w:kern w:val="0"/>
                <w:sz w:val="26"/>
                <w:szCs w:val="26"/>
                <w:highlight w:val="none"/>
              </w:rPr>
              <w:t>20</w:t>
            </w:r>
            <w:r>
              <w:rPr>
                <w:rFonts w:hint="eastAsia"/>
                <w:color w:val="auto"/>
                <w:kern w:val="0"/>
                <w:sz w:val="26"/>
                <w:szCs w:val="26"/>
                <w:highlight w:val="none"/>
                <w:lang w:val="en-US" w:eastAsia="zh-CN"/>
              </w:rPr>
              <w:t>21</w:t>
            </w:r>
            <w:r>
              <w:rPr>
                <w:rFonts w:ascii="Times New Roman" w:hAnsi="Times New Roman"/>
                <w:color w:val="auto"/>
                <w:kern w:val="0"/>
                <w:sz w:val="26"/>
                <w:szCs w:val="26"/>
                <w:highlight w:val="none"/>
              </w:rPr>
              <w:t>年</w:t>
            </w:r>
            <w:r>
              <w:rPr>
                <w:rFonts w:hint="eastAsia"/>
                <w:color w:val="auto"/>
                <w:kern w:val="0"/>
                <w:sz w:val="26"/>
                <w:szCs w:val="26"/>
                <w:highlight w:val="none"/>
                <w:lang w:val="en-US" w:eastAsia="zh-CN"/>
              </w:rPr>
              <w:t>01</w:t>
            </w:r>
            <w:r>
              <w:rPr>
                <w:rFonts w:ascii="Times New Roman" w:hAnsi="Times New Roman"/>
                <w:color w:val="auto"/>
                <w:kern w:val="0"/>
                <w:sz w:val="26"/>
                <w:szCs w:val="26"/>
                <w:highlight w:val="none"/>
              </w:rPr>
              <w:t>月</w:t>
            </w:r>
            <w:r>
              <w:rPr>
                <w:rFonts w:hint="eastAsia"/>
                <w:color w:val="auto"/>
                <w:kern w:val="0"/>
                <w:sz w:val="26"/>
                <w:szCs w:val="26"/>
                <w:highlight w:val="none"/>
                <w:lang w:val="en-US" w:eastAsia="zh-CN"/>
              </w:rPr>
              <w:t>05</w:t>
            </w:r>
            <w:r>
              <w:rPr>
                <w:rFonts w:ascii="Times New Roman" w:hAnsi="Times New Roman"/>
                <w:color w:val="auto"/>
                <w:kern w:val="0"/>
                <w:sz w:val="26"/>
                <w:szCs w:val="26"/>
                <w:highlight w:val="none"/>
              </w:rPr>
              <w:t>日~20</w:t>
            </w:r>
            <w:r>
              <w:rPr>
                <w:rFonts w:hint="eastAsia"/>
                <w:color w:val="auto"/>
                <w:kern w:val="0"/>
                <w:sz w:val="26"/>
                <w:szCs w:val="26"/>
                <w:highlight w:val="none"/>
                <w:lang w:val="en-US" w:eastAsia="zh-CN"/>
              </w:rPr>
              <w:t>21</w:t>
            </w:r>
            <w:r>
              <w:rPr>
                <w:rFonts w:ascii="Times New Roman" w:hAnsi="Times New Roman"/>
                <w:color w:val="auto"/>
                <w:kern w:val="0"/>
                <w:sz w:val="26"/>
                <w:szCs w:val="26"/>
                <w:highlight w:val="none"/>
              </w:rPr>
              <w:t>年</w:t>
            </w:r>
            <w:r>
              <w:rPr>
                <w:rFonts w:hint="eastAsia"/>
                <w:color w:val="auto"/>
                <w:kern w:val="0"/>
                <w:sz w:val="26"/>
                <w:szCs w:val="26"/>
                <w:highlight w:val="none"/>
                <w:lang w:val="en-US" w:eastAsia="zh-CN"/>
              </w:rPr>
              <w:t>01</w:t>
            </w:r>
            <w:r>
              <w:rPr>
                <w:rFonts w:ascii="Times New Roman" w:hAnsi="Times New Roman"/>
                <w:color w:val="auto"/>
                <w:kern w:val="0"/>
                <w:sz w:val="26"/>
                <w:szCs w:val="26"/>
                <w:highlight w:val="none"/>
              </w:rPr>
              <w:t>月</w:t>
            </w:r>
            <w:r>
              <w:rPr>
                <w:rFonts w:hint="eastAsia"/>
                <w:color w:val="auto"/>
                <w:kern w:val="0"/>
                <w:sz w:val="26"/>
                <w:szCs w:val="26"/>
                <w:highlight w:val="none"/>
                <w:lang w:val="en-US" w:eastAsia="zh-CN"/>
              </w:rPr>
              <w:t>06</w:t>
            </w:r>
            <w:r>
              <w:rPr>
                <w:rFonts w:ascii="Times New Roman" w:hAnsi="Times New Roman"/>
                <w:color w:val="auto"/>
                <w:kern w:val="0"/>
                <w:sz w:val="26"/>
                <w:szCs w:val="26"/>
                <w:highlight w:val="none"/>
              </w:rPr>
              <w:t>日</w:t>
            </w:r>
            <w:r>
              <w:rPr>
                <w:rFonts w:hint="eastAsia" w:ascii="Times New Roman" w:hAnsi="Times New Roman"/>
                <w:color w:val="auto"/>
                <w:highlight w:val="none"/>
              </w:rPr>
              <w:t>对</w:t>
            </w:r>
            <w:r>
              <w:rPr>
                <w:rFonts w:hint="eastAsia"/>
                <w:color w:val="auto"/>
                <w:highlight w:val="none"/>
                <w:lang w:val="en-US" w:eastAsia="zh-CN"/>
              </w:rPr>
              <w:t>本项目</w:t>
            </w:r>
            <w:r>
              <w:rPr>
                <w:rFonts w:hint="eastAsia" w:ascii="Times New Roman" w:hAnsi="Times New Roman"/>
                <w:color w:val="auto"/>
                <w:highlight w:val="none"/>
              </w:rPr>
              <w:t>进行了噪声现状监测，噪声监测结果见表3-</w:t>
            </w:r>
            <w:r>
              <w:rPr>
                <w:rFonts w:hint="eastAsia"/>
                <w:color w:val="auto"/>
                <w:highlight w:val="none"/>
                <w:lang w:val="en-US" w:eastAsia="zh-CN"/>
              </w:rPr>
              <w:t>3</w:t>
            </w:r>
            <w:r>
              <w:rPr>
                <w:rFonts w:hint="eastAsia" w:ascii="Times New Roman" w:hAnsi="Times New Roman"/>
                <w:color w:val="auto"/>
                <w:highlight w:val="none"/>
              </w:rPr>
              <w:t>。</w:t>
            </w:r>
          </w:p>
          <w:p w14:paraId="2DCB9E8A">
            <w:pPr>
              <w:pStyle w:val="15"/>
              <w:spacing w:line="480" w:lineRule="exact"/>
              <w:ind w:firstLine="0" w:firstLineChars="0"/>
              <w:jc w:val="center"/>
              <w:rPr>
                <w:rFonts w:hint="eastAsia"/>
                <w:b/>
                <w:bCs/>
                <w:color w:val="auto"/>
                <w:sz w:val="21"/>
                <w:szCs w:val="21"/>
                <w:highlight w:val="none"/>
              </w:rPr>
            </w:pPr>
            <w:r>
              <w:rPr>
                <w:rFonts w:hint="eastAsia"/>
                <w:b/>
                <w:bCs/>
                <w:color w:val="auto"/>
                <w:sz w:val="21"/>
                <w:szCs w:val="21"/>
                <w:highlight w:val="none"/>
              </w:rPr>
              <w:t>表3-</w:t>
            </w:r>
            <w:r>
              <w:rPr>
                <w:rFonts w:hint="eastAsia"/>
                <w:b/>
                <w:bCs/>
                <w:color w:val="auto"/>
                <w:sz w:val="21"/>
                <w:szCs w:val="21"/>
                <w:highlight w:val="none"/>
                <w:lang w:val="en-US" w:eastAsia="zh-CN"/>
              </w:rPr>
              <w:t>3</w:t>
            </w:r>
            <w:r>
              <w:rPr>
                <w:rFonts w:hint="eastAsia"/>
                <w:b/>
                <w:bCs/>
                <w:color w:val="auto"/>
                <w:sz w:val="21"/>
                <w:szCs w:val="21"/>
                <w:highlight w:val="none"/>
              </w:rPr>
              <w:t xml:space="preserve">  噪声监测结果  单位：dB（A）</w:t>
            </w:r>
          </w:p>
          <w:tbl>
            <w:tblPr>
              <w:tblStyle w:val="22"/>
              <w:tblpPr w:leftFromText="181" w:rightFromText="181" w:vertAnchor="text" w:tblpXSpec="center" w:tblpY="1"/>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94"/>
              <w:gridCol w:w="1650"/>
              <w:gridCol w:w="2342"/>
              <w:gridCol w:w="2387"/>
            </w:tblGrid>
            <w:tr w14:paraId="698AC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1144" w:type="pct"/>
                  <w:vMerge w:val="restart"/>
                  <w:tcBorders>
                    <w:top w:val="single" w:color="auto" w:sz="4" w:space="0"/>
                  </w:tcBorders>
                  <w:vAlign w:val="center"/>
                </w:tcPr>
                <w:p w14:paraId="1E0ACF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监测点位置</w:t>
                  </w:r>
                </w:p>
              </w:tc>
              <w:tc>
                <w:tcPr>
                  <w:tcW w:w="997" w:type="pct"/>
                  <w:vMerge w:val="restart"/>
                  <w:tcBorders>
                    <w:top w:val="single" w:color="auto" w:sz="4" w:space="0"/>
                  </w:tcBorders>
                  <w:vAlign w:val="center"/>
                </w:tcPr>
                <w:p w14:paraId="039490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监测日期</w:t>
                  </w:r>
                </w:p>
              </w:tc>
              <w:tc>
                <w:tcPr>
                  <w:tcW w:w="2857" w:type="pct"/>
                  <w:gridSpan w:val="2"/>
                  <w:tcBorders>
                    <w:top w:val="single" w:color="auto" w:sz="4" w:space="0"/>
                    <w:right w:val="single" w:color="auto" w:sz="4" w:space="0"/>
                  </w:tcBorders>
                  <w:vAlign w:val="center"/>
                </w:tcPr>
                <w:p w14:paraId="6F4C51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测量值</w:t>
                  </w:r>
                </w:p>
              </w:tc>
            </w:tr>
            <w:tr w14:paraId="56B1F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1144" w:type="pct"/>
                  <w:vMerge w:val="continue"/>
                  <w:tcBorders>
                    <w:left w:val="single" w:color="auto" w:sz="4" w:space="0"/>
                  </w:tcBorders>
                  <w:vAlign w:val="center"/>
                </w:tcPr>
                <w:p w14:paraId="211924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997" w:type="pct"/>
                  <w:vMerge w:val="continue"/>
                  <w:vAlign w:val="center"/>
                </w:tcPr>
                <w:p w14:paraId="255610E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4AD27D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昼间等效声级 (Leq)</w:t>
                  </w:r>
                </w:p>
              </w:tc>
              <w:tc>
                <w:tcPr>
                  <w:tcW w:w="1442" w:type="pct"/>
                  <w:tcBorders>
                    <w:right w:val="single" w:color="auto" w:sz="4" w:space="0"/>
                  </w:tcBorders>
                  <w:vAlign w:val="center"/>
                </w:tcPr>
                <w:p w14:paraId="010EFF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夜间等效声级 (Leq)</w:t>
                  </w:r>
                </w:p>
              </w:tc>
            </w:tr>
            <w:tr w14:paraId="1CDD5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03A921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厂界东（1#）</w:t>
                  </w:r>
                </w:p>
              </w:tc>
              <w:tc>
                <w:tcPr>
                  <w:tcW w:w="997" w:type="pct"/>
                  <w:vMerge w:val="restart"/>
                  <w:vAlign w:val="center"/>
                </w:tcPr>
                <w:p w14:paraId="281E78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2021-01-05</w:t>
                  </w:r>
                </w:p>
              </w:tc>
              <w:tc>
                <w:tcPr>
                  <w:tcW w:w="1415" w:type="pct"/>
                  <w:vAlign w:val="center"/>
                </w:tcPr>
                <w:p w14:paraId="08D423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48</w:t>
                  </w:r>
                </w:p>
              </w:tc>
              <w:tc>
                <w:tcPr>
                  <w:tcW w:w="1442" w:type="pct"/>
                  <w:tcBorders>
                    <w:right w:val="single" w:color="auto" w:sz="4" w:space="0"/>
                  </w:tcBorders>
                  <w:vAlign w:val="center"/>
                </w:tcPr>
                <w:p w14:paraId="0B3CE5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41</w:t>
                  </w:r>
                </w:p>
              </w:tc>
            </w:tr>
            <w:tr w14:paraId="0A4BE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144" w:type="pct"/>
                  <w:tcBorders>
                    <w:left w:val="single" w:color="auto" w:sz="4" w:space="0"/>
                  </w:tcBorders>
                  <w:vAlign w:val="center"/>
                </w:tcPr>
                <w:p w14:paraId="5D5EB8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厂界南（2#）</w:t>
                  </w:r>
                </w:p>
              </w:tc>
              <w:tc>
                <w:tcPr>
                  <w:tcW w:w="997" w:type="pct"/>
                  <w:vMerge w:val="continue"/>
                  <w:vAlign w:val="center"/>
                </w:tcPr>
                <w:p w14:paraId="704FFD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0573C5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46</w:t>
                  </w:r>
                </w:p>
              </w:tc>
              <w:tc>
                <w:tcPr>
                  <w:tcW w:w="1442" w:type="pct"/>
                  <w:tcBorders>
                    <w:right w:val="single" w:color="auto" w:sz="4" w:space="0"/>
                  </w:tcBorders>
                  <w:vAlign w:val="center"/>
                </w:tcPr>
                <w:p w14:paraId="14E0A2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43</w:t>
                  </w:r>
                </w:p>
              </w:tc>
            </w:tr>
            <w:tr w14:paraId="6C79A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25E07C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厂界西（3#）</w:t>
                  </w:r>
                </w:p>
              </w:tc>
              <w:tc>
                <w:tcPr>
                  <w:tcW w:w="997" w:type="pct"/>
                  <w:vMerge w:val="continue"/>
                  <w:vAlign w:val="center"/>
                </w:tcPr>
                <w:p w14:paraId="2B9995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5B5EE1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48</w:t>
                  </w:r>
                </w:p>
              </w:tc>
              <w:tc>
                <w:tcPr>
                  <w:tcW w:w="1442" w:type="pct"/>
                  <w:tcBorders>
                    <w:right w:val="single" w:color="auto" w:sz="4" w:space="0"/>
                  </w:tcBorders>
                  <w:vAlign w:val="center"/>
                </w:tcPr>
                <w:p w14:paraId="28E496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42</w:t>
                  </w:r>
                </w:p>
              </w:tc>
            </w:tr>
            <w:tr w14:paraId="5A043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5B2F69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厂界北（4#）</w:t>
                  </w:r>
                </w:p>
              </w:tc>
              <w:tc>
                <w:tcPr>
                  <w:tcW w:w="997" w:type="pct"/>
                  <w:vMerge w:val="continue"/>
                  <w:vAlign w:val="center"/>
                </w:tcPr>
                <w:p w14:paraId="634824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42E426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48</w:t>
                  </w:r>
                </w:p>
              </w:tc>
              <w:tc>
                <w:tcPr>
                  <w:tcW w:w="1442" w:type="pct"/>
                  <w:tcBorders>
                    <w:right w:val="single" w:color="auto" w:sz="4" w:space="0"/>
                  </w:tcBorders>
                  <w:vAlign w:val="center"/>
                </w:tcPr>
                <w:p w14:paraId="5CFA8C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44</w:t>
                  </w:r>
                </w:p>
              </w:tc>
            </w:tr>
            <w:tr w14:paraId="2A581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4A3C1E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排子田散户处（5）</w:t>
                  </w:r>
                </w:p>
              </w:tc>
              <w:tc>
                <w:tcPr>
                  <w:tcW w:w="997" w:type="pct"/>
                  <w:vMerge w:val="continue"/>
                  <w:vAlign w:val="center"/>
                </w:tcPr>
                <w:p w14:paraId="218E64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056F7C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54</w:t>
                  </w:r>
                </w:p>
              </w:tc>
              <w:tc>
                <w:tcPr>
                  <w:tcW w:w="1442" w:type="pct"/>
                  <w:tcBorders>
                    <w:right w:val="single" w:color="auto" w:sz="4" w:space="0"/>
                  </w:tcBorders>
                  <w:vAlign w:val="center"/>
                </w:tcPr>
                <w:p w14:paraId="2FE35E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42</w:t>
                  </w:r>
                </w:p>
              </w:tc>
            </w:tr>
            <w:tr w14:paraId="164A4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564A1C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厂界东（1#）</w:t>
                  </w:r>
                </w:p>
              </w:tc>
              <w:tc>
                <w:tcPr>
                  <w:tcW w:w="997" w:type="pct"/>
                  <w:vMerge w:val="restart"/>
                  <w:vAlign w:val="center"/>
                </w:tcPr>
                <w:p w14:paraId="235D93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2021-01-06</w:t>
                  </w:r>
                </w:p>
              </w:tc>
              <w:tc>
                <w:tcPr>
                  <w:tcW w:w="1415" w:type="pct"/>
                  <w:vAlign w:val="center"/>
                </w:tcPr>
                <w:p w14:paraId="5C9545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49</w:t>
                  </w:r>
                </w:p>
              </w:tc>
              <w:tc>
                <w:tcPr>
                  <w:tcW w:w="1442" w:type="pct"/>
                  <w:tcBorders>
                    <w:right w:val="single" w:color="auto" w:sz="4" w:space="0"/>
                  </w:tcBorders>
                  <w:vAlign w:val="center"/>
                </w:tcPr>
                <w:p w14:paraId="244FDD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41</w:t>
                  </w:r>
                </w:p>
              </w:tc>
            </w:tr>
            <w:tr w14:paraId="0813A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4C6A75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厂界南（2#）</w:t>
                  </w:r>
                </w:p>
              </w:tc>
              <w:tc>
                <w:tcPr>
                  <w:tcW w:w="997" w:type="pct"/>
                  <w:vMerge w:val="continue"/>
                  <w:vAlign w:val="center"/>
                </w:tcPr>
                <w:p w14:paraId="005A0E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6752E2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48</w:t>
                  </w:r>
                </w:p>
              </w:tc>
              <w:tc>
                <w:tcPr>
                  <w:tcW w:w="1442" w:type="pct"/>
                  <w:tcBorders>
                    <w:right w:val="single" w:color="auto" w:sz="4" w:space="0"/>
                  </w:tcBorders>
                  <w:vAlign w:val="center"/>
                </w:tcPr>
                <w:p w14:paraId="1E3E5A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41</w:t>
                  </w:r>
                </w:p>
              </w:tc>
            </w:tr>
            <w:tr w14:paraId="27332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51C597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厂界西（3#）</w:t>
                  </w:r>
                </w:p>
              </w:tc>
              <w:tc>
                <w:tcPr>
                  <w:tcW w:w="997" w:type="pct"/>
                  <w:vMerge w:val="continue"/>
                  <w:vAlign w:val="center"/>
                </w:tcPr>
                <w:p w14:paraId="16B808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702DE0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48</w:t>
                  </w:r>
                </w:p>
              </w:tc>
              <w:tc>
                <w:tcPr>
                  <w:tcW w:w="1442" w:type="pct"/>
                  <w:tcBorders>
                    <w:right w:val="single" w:color="auto" w:sz="4" w:space="0"/>
                  </w:tcBorders>
                  <w:vAlign w:val="center"/>
                </w:tcPr>
                <w:p w14:paraId="24CAB7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42</w:t>
                  </w:r>
                </w:p>
              </w:tc>
            </w:tr>
            <w:tr w14:paraId="2B682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tcBorders>
                  <w:vAlign w:val="center"/>
                </w:tcPr>
                <w:p w14:paraId="7217F4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厂界北（4#）</w:t>
                  </w:r>
                </w:p>
              </w:tc>
              <w:tc>
                <w:tcPr>
                  <w:tcW w:w="997" w:type="pct"/>
                  <w:vMerge w:val="continue"/>
                  <w:vAlign w:val="center"/>
                </w:tcPr>
                <w:p w14:paraId="62BCD3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vAlign w:val="center"/>
                </w:tcPr>
                <w:p w14:paraId="05D536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50</w:t>
                  </w:r>
                </w:p>
              </w:tc>
              <w:tc>
                <w:tcPr>
                  <w:tcW w:w="1442" w:type="pct"/>
                  <w:tcBorders>
                    <w:right w:val="single" w:color="auto" w:sz="4" w:space="0"/>
                  </w:tcBorders>
                  <w:vAlign w:val="center"/>
                </w:tcPr>
                <w:p w14:paraId="5BED76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41</w:t>
                  </w:r>
                </w:p>
              </w:tc>
            </w:tr>
            <w:tr w14:paraId="76EB3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44" w:type="pct"/>
                  <w:tcBorders>
                    <w:left w:val="single" w:color="auto" w:sz="4" w:space="0"/>
                    <w:bottom w:val="single" w:color="auto" w:sz="4" w:space="0"/>
                  </w:tcBorders>
                  <w:vAlign w:val="center"/>
                </w:tcPr>
                <w:p w14:paraId="5FA32E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排子田散户处（5）</w:t>
                  </w:r>
                </w:p>
              </w:tc>
              <w:tc>
                <w:tcPr>
                  <w:tcW w:w="997" w:type="pct"/>
                  <w:vMerge w:val="continue"/>
                  <w:tcBorders>
                    <w:bottom w:val="single" w:color="auto" w:sz="4" w:space="0"/>
                  </w:tcBorders>
                  <w:vAlign w:val="center"/>
                </w:tcPr>
                <w:p w14:paraId="18EC28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415" w:type="pct"/>
                  <w:tcBorders>
                    <w:bottom w:val="single" w:color="auto" w:sz="4" w:space="0"/>
                  </w:tcBorders>
                  <w:vAlign w:val="center"/>
                </w:tcPr>
                <w:p w14:paraId="365152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46</w:t>
                  </w:r>
                </w:p>
              </w:tc>
              <w:tc>
                <w:tcPr>
                  <w:tcW w:w="1442" w:type="pct"/>
                  <w:tcBorders>
                    <w:bottom w:val="single" w:color="auto" w:sz="4" w:space="0"/>
                    <w:right w:val="single" w:color="auto" w:sz="4" w:space="0"/>
                  </w:tcBorders>
                  <w:vAlign w:val="center"/>
                </w:tcPr>
                <w:p w14:paraId="0D4DB7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44</w:t>
                  </w:r>
                </w:p>
              </w:tc>
            </w:tr>
          </w:tbl>
          <w:p w14:paraId="418C0736">
            <w:pPr>
              <w:ind w:firstLine="520"/>
              <w:rPr>
                <w:rFonts w:hint="eastAsia" w:eastAsia="宋体"/>
                <w:color w:val="auto"/>
                <w:highlight w:val="none"/>
                <w:lang w:eastAsia="zh-CN"/>
              </w:rPr>
            </w:pPr>
            <w:r>
              <w:rPr>
                <w:color w:val="auto"/>
                <w:highlight w:val="none"/>
              </w:rPr>
              <w:t>通过监测结果可以看出，</w:t>
            </w:r>
            <w:r>
              <w:rPr>
                <w:rFonts w:hint="eastAsia"/>
                <w:color w:val="auto"/>
                <w:highlight w:val="none"/>
                <w:lang w:val="en-US" w:eastAsia="zh-CN"/>
              </w:rPr>
              <w:t>本项目</w:t>
            </w:r>
            <w:r>
              <w:rPr>
                <w:rFonts w:hint="eastAsia"/>
                <w:color w:val="auto"/>
                <w:highlight w:val="none"/>
              </w:rPr>
              <w:t>昼、夜间声环境均能满足</w:t>
            </w:r>
            <w:r>
              <w:rPr>
                <w:color w:val="auto"/>
                <w:highlight w:val="none"/>
              </w:rPr>
              <w:t>《声环境质量标准》（GB3096-2008）</w:t>
            </w:r>
            <w:r>
              <w:rPr>
                <w:rFonts w:hint="eastAsia"/>
                <w:color w:val="auto"/>
                <w:highlight w:val="none"/>
              </w:rPr>
              <w:t>2</w:t>
            </w:r>
            <w:r>
              <w:rPr>
                <w:color w:val="auto"/>
                <w:highlight w:val="none"/>
              </w:rPr>
              <w:t>类标准</w:t>
            </w:r>
            <w:r>
              <w:rPr>
                <w:rFonts w:hint="eastAsia"/>
                <w:color w:val="auto"/>
                <w:highlight w:val="none"/>
              </w:rPr>
              <w:t>要求</w:t>
            </w:r>
            <w:r>
              <w:rPr>
                <w:rFonts w:hint="eastAsia"/>
                <w:color w:val="auto"/>
                <w:highlight w:val="none"/>
                <w:lang w:eastAsia="zh-CN"/>
              </w:rPr>
              <w:t>。</w:t>
            </w:r>
          </w:p>
          <w:p w14:paraId="46B67759">
            <w:pPr>
              <w:adjustRightInd w:val="0"/>
              <w:snapToGrid w:val="0"/>
              <w:ind w:firstLine="522"/>
              <w:rPr>
                <w:rFonts w:ascii="Times New Roman" w:hAnsi="Times New Roman"/>
                <w:b/>
                <w:color w:val="auto"/>
                <w:highlight w:val="none"/>
              </w:rPr>
            </w:pPr>
            <w:r>
              <w:rPr>
                <w:rFonts w:ascii="Times New Roman" w:hAnsi="Times New Roman"/>
                <w:b/>
                <w:color w:val="auto"/>
                <w:highlight w:val="none"/>
              </w:rPr>
              <w:t>4、</w:t>
            </w:r>
            <w:r>
              <w:rPr>
                <w:rFonts w:hint="eastAsia" w:ascii="Times New Roman" w:hAnsi="Times New Roman"/>
                <w:b/>
                <w:color w:val="auto"/>
                <w:highlight w:val="none"/>
                <w:lang w:val="en-US" w:eastAsia="zh-CN"/>
              </w:rPr>
              <w:t>土壤</w:t>
            </w:r>
            <w:r>
              <w:rPr>
                <w:rFonts w:ascii="Times New Roman" w:hAnsi="Times New Roman"/>
                <w:b/>
                <w:color w:val="auto"/>
                <w:highlight w:val="none"/>
              </w:rPr>
              <w:t>环境质量现状</w:t>
            </w:r>
          </w:p>
          <w:p w14:paraId="64C7E4B8">
            <w:pPr>
              <w:ind w:firstLine="520"/>
              <w:rPr>
                <w:rFonts w:hint="eastAsia" w:ascii="Times New Roman" w:hAnsi="Times New Roman"/>
                <w:color w:val="auto"/>
                <w:highlight w:val="none"/>
              </w:rPr>
            </w:pPr>
            <w:r>
              <w:rPr>
                <w:rFonts w:hint="eastAsia" w:ascii="Times New Roman" w:hAnsi="Times New Roman"/>
                <w:color w:val="auto"/>
                <w:highlight w:val="none"/>
                <w:lang w:val="en-US" w:eastAsia="zh-CN"/>
              </w:rPr>
              <w:t>东川</w:t>
            </w:r>
            <w:r>
              <w:rPr>
                <w:rFonts w:hint="eastAsia" w:ascii="Times New Roman" w:hAnsi="Times New Roman"/>
                <w:color w:val="auto"/>
                <w:highlight w:val="none"/>
              </w:rPr>
              <w:t>土壤由下而上分布着燥红土、红壤、黄红壤、棕壤、亚高山草甸土等 5 大类型，其中以红壤分布最广</w:t>
            </w:r>
            <w:r>
              <w:rPr>
                <w:rFonts w:hint="eastAsia"/>
                <w:color w:val="auto"/>
                <w:highlight w:val="none"/>
                <w:lang w:eastAsia="zh-CN"/>
              </w:rPr>
              <w:t>。</w:t>
            </w:r>
            <w:r>
              <w:rPr>
                <w:rFonts w:hint="eastAsia" w:ascii="Times New Roman" w:hAnsi="Times New Roman"/>
                <w:color w:val="auto"/>
                <w:highlight w:val="none"/>
              </w:rPr>
              <w:t>项目区属于燥热河谷植被带，项目区荒地上零星覆盖有杂草</w:t>
            </w:r>
            <w:r>
              <w:rPr>
                <w:rFonts w:hint="eastAsia"/>
                <w:color w:val="auto"/>
                <w:highlight w:val="none"/>
                <w:lang w:val="en-US" w:eastAsia="zh-CN"/>
              </w:rPr>
              <w:t>及少量灌木丛</w:t>
            </w:r>
            <w:r>
              <w:rPr>
                <w:rFonts w:hint="eastAsia" w:ascii="Times New Roman" w:hAnsi="Times New Roman"/>
                <w:color w:val="auto"/>
                <w:highlight w:val="none"/>
              </w:rPr>
              <w:t>，项目区土壤类型主要</w:t>
            </w:r>
            <w:r>
              <w:rPr>
                <w:rFonts w:hint="eastAsia"/>
                <w:color w:val="auto"/>
                <w:highlight w:val="none"/>
                <w:lang w:val="en-US" w:eastAsia="zh-CN"/>
              </w:rPr>
              <w:t>为</w:t>
            </w:r>
            <w:r>
              <w:rPr>
                <w:rFonts w:hint="eastAsia" w:ascii="Times New Roman" w:hAnsi="Times New Roman"/>
                <w:color w:val="auto"/>
                <w:highlight w:val="none"/>
              </w:rPr>
              <w:t>红壤</w:t>
            </w:r>
            <w:r>
              <w:rPr>
                <w:rFonts w:hint="eastAsia"/>
                <w:color w:val="auto"/>
                <w:highlight w:val="none"/>
                <w:lang w:eastAsia="zh-CN"/>
              </w:rPr>
              <w:t>，</w:t>
            </w:r>
            <w:r>
              <w:rPr>
                <w:rFonts w:hint="eastAsia" w:ascii="Times New Roman" w:hAnsi="Times New Roman"/>
                <w:color w:val="auto"/>
                <w:highlight w:val="none"/>
              </w:rPr>
              <w:t>土壤环境质量总体较好。</w:t>
            </w:r>
          </w:p>
          <w:p w14:paraId="0C946D2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为进一步了解项目区</w:t>
            </w:r>
            <w:r>
              <w:rPr>
                <w:rFonts w:hint="eastAsia" w:ascii="Times New Roman" w:hAnsi="Times New Roman"/>
                <w:color w:val="auto"/>
                <w:sz w:val="26"/>
                <w:szCs w:val="26"/>
                <w:highlight w:val="none"/>
                <w:lang w:val="en-US" w:eastAsia="zh-CN"/>
              </w:rPr>
              <w:t>土壤</w:t>
            </w:r>
            <w:r>
              <w:rPr>
                <w:rFonts w:hint="eastAsia" w:ascii="Times New Roman" w:hAnsi="Times New Roman"/>
                <w:color w:val="auto"/>
                <w:sz w:val="26"/>
                <w:szCs w:val="26"/>
                <w:highlight w:val="none"/>
              </w:rPr>
              <w:t>环境质量现状，建设单位委托</w:t>
            </w:r>
            <w:r>
              <w:rPr>
                <w:rFonts w:hint="eastAsia" w:ascii="Times New Roman" w:hAnsi="Times New Roman"/>
                <w:color w:val="auto"/>
                <w:kern w:val="0"/>
                <w:sz w:val="26"/>
                <w:szCs w:val="26"/>
                <w:highlight w:val="none"/>
              </w:rPr>
              <w:t>云南健牛生物科技有限公司</w:t>
            </w:r>
            <w:r>
              <w:rPr>
                <w:rFonts w:hint="eastAsia" w:ascii="Times New Roman" w:hAnsi="Times New Roman"/>
                <w:color w:val="auto"/>
                <w:sz w:val="26"/>
                <w:szCs w:val="26"/>
                <w:highlight w:val="none"/>
              </w:rPr>
              <w:t>于202</w:t>
            </w:r>
            <w:r>
              <w:rPr>
                <w:rFonts w:hint="eastAsia" w:ascii="Times New Roman" w:hAnsi="Times New Roman"/>
                <w:color w:val="auto"/>
                <w:sz w:val="26"/>
                <w:szCs w:val="26"/>
                <w:highlight w:val="none"/>
                <w:lang w:val="en-US" w:eastAsia="zh-CN"/>
              </w:rPr>
              <w:t>1</w:t>
            </w:r>
            <w:r>
              <w:rPr>
                <w:rFonts w:hint="eastAsia" w:ascii="Times New Roman" w:hAnsi="Times New Roman"/>
                <w:color w:val="auto"/>
                <w:sz w:val="26"/>
                <w:szCs w:val="26"/>
                <w:highlight w:val="none"/>
              </w:rPr>
              <w:t>.0</w:t>
            </w:r>
            <w:r>
              <w:rPr>
                <w:rFonts w:hint="eastAsia" w:ascii="Times New Roman" w:hAnsi="Times New Roman"/>
                <w:color w:val="auto"/>
                <w:sz w:val="26"/>
                <w:szCs w:val="26"/>
                <w:highlight w:val="none"/>
                <w:lang w:val="en-US" w:eastAsia="zh-CN"/>
              </w:rPr>
              <w:t>1</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05</w:t>
            </w:r>
            <w:r>
              <w:rPr>
                <w:rFonts w:hint="eastAsia" w:ascii="Times New Roman" w:hAnsi="Times New Roman"/>
                <w:color w:val="auto"/>
                <w:sz w:val="26"/>
                <w:szCs w:val="26"/>
                <w:highlight w:val="none"/>
              </w:rPr>
              <w:t>对</w:t>
            </w:r>
            <w:r>
              <w:rPr>
                <w:rFonts w:hint="eastAsia" w:ascii="Times New Roman" w:hAnsi="Times New Roman"/>
                <w:color w:val="auto"/>
                <w:sz w:val="26"/>
                <w:szCs w:val="26"/>
                <w:highlight w:val="none"/>
                <w:lang w:val="en-US" w:eastAsia="zh-CN"/>
              </w:rPr>
              <w:t>本项目</w:t>
            </w:r>
            <w:r>
              <w:rPr>
                <w:rFonts w:hint="eastAsia" w:ascii="Times New Roman" w:hAnsi="Times New Roman"/>
                <w:color w:val="auto"/>
                <w:sz w:val="26"/>
                <w:szCs w:val="26"/>
                <w:highlight w:val="none"/>
              </w:rPr>
              <w:t>进行了</w:t>
            </w:r>
            <w:r>
              <w:rPr>
                <w:rFonts w:hint="eastAsia" w:ascii="Times New Roman" w:hAnsi="Times New Roman"/>
                <w:color w:val="auto"/>
                <w:sz w:val="26"/>
                <w:szCs w:val="26"/>
                <w:highlight w:val="none"/>
                <w:lang w:val="en-US" w:eastAsia="zh-CN"/>
              </w:rPr>
              <w:t>土壤</w:t>
            </w:r>
            <w:r>
              <w:rPr>
                <w:rFonts w:hint="eastAsia" w:ascii="Times New Roman" w:hAnsi="Times New Roman"/>
                <w:color w:val="auto"/>
                <w:sz w:val="26"/>
                <w:szCs w:val="26"/>
                <w:highlight w:val="none"/>
              </w:rPr>
              <w:t>现状监测，监测布点见附图</w:t>
            </w:r>
            <w:r>
              <w:rPr>
                <w:rFonts w:hint="eastAsia" w:ascii="Times New Roman" w:hAnsi="Times New Roman"/>
                <w:color w:val="auto"/>
                <w:sz w:val="26"/>
                <w:szCs w:val="26"/>
                <w:highlight w:val="none"/>
                <w:lang w:val="en-US" w:eastAsia="zh-CN"/>
              </w:rPr>
              <w:t>5</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土壤</w:t>
            </w:r>
            <w:r>
              <w:rPr>
                <w:rFonts w:hint="eastAsia" w:ascii="Times New Roman" w:hAnsi="Times New Roman"/>
                <w:color w:val="auto"/>
                <w:sz w:val="26"/>
                <w:szCs w:val="26"/>
                <w:highlight w:val="none"/>
              </w:rPr>
              <w:t>监测结果见表3-4。</w:t>
            </w:r>
          </w:p>
          <w:p w14:paraId="230AE7E4">
            <w:pPr>
              <w:pStyle w:val="4"/>
              <w:spacing w:line="480" w:lineRule="exact"/>
              <w:ind w:firstLine="0" w:firstLineChars="0"/>
              <w:jc w:val="center"/>
              <w:rPr>
                <w:rFonts w:hint="eastAsia" w:ascii="Times New Roman" w:hAnsi="Times New Roman"/>
                <w:color w:val="auto"/>
                <w:sz w:val="21"/>
                <w:szCs w:val="21"/>
                <w:highlight w:val="none"/>
              </w:rPr>
            </w:pPr>
            <w:r>
              <w:rPr>
                <w:rFonts w:ascii="Times New Roman" w:hAnsi="Times New Roman"/>
                <w:b/>
                <w:bCs/>
                <w:color w:val="auto"/>
                <w:sz w:val="21"/>
                <w:szCs w:val="21"/>
                <w:highlight w:val="none"/>
                <w:lang w:val="zh-CN"/>
              </w:rPr>
              <w:t>表3-</w:t>
            </w:r>
            <w:r>
              <w:rPr>
                <w:rFonts w:hint="eastAsia"/>
                <w:b/>
                <w:bCs/>
                <w:color w:val="auto"/>
                <w:sz w:val="21"/>
                <w:szCs w:val="21"/>
                <w:highlight w:val="none"/>
                <w:lang w:val="en-US" w:eastAsia="zh-CN"/>
              </w:rPr>
              <w:t>4</w:t>
            </w:r>
            <w:r>
              <w:rPr>
                <w:rFonts w:ascii="Times New Roman" w:hAnsi="Times New Roman"/>
                <w:b/>
                <w:bCs/>
                <w:color w:val="auto"/>
                <w:sz w:val="21"/>
                <w:szCs w:val="21"/>
                <w:highlight w:val="none"/>
                <w:lang w:val="zh-CN"/>
              </w:rPr>
              <w:t xml:space="preserve">  土壤监测结果  单位 mg/kg（pH 无量纲）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760"/>
              <w:gridCol w:w="1061"/>
              <w:gridCol w:w="836"/>
              <w:gridCol w:w="723"/>
              <w:gridCol w:w="947"/>
              <w:gridCol w:w="1559"/>
              <w:gridCol w:w="861"/>
            </w:tblGrid>
            <w:tr w14:paraId="36D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4" w:type="dxa"/>
                  <w:noWrap w:val="0"/>
                  <w:vAlign w:val="center"/>
                </w:tcPr>
                <w:p w14:paraId="21EA877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序号</w:t>
                  </w:r>
                </w:p>
              </w:tc>
              <w:tc>
                <w:tcPr>
                  <w:tcW w:w="1760" w:type="dxa"/>
                  <w:tcBorders>
                    <w:tl2br w:val="single" w:color="auto" w:sz="4" w:space="0"/>
                  </w:tcBorders>
                  <w:noWrap w:val="0"/>
                  <w:vAlign w:val="center"/>
                </w:tcPr>
                <w:p w14:paraId="309C028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样品名称</w:t>
                  </w:r>
                </w:p>
                <w:p w14:paraId="6BED5B0F">
                  <w:pPr>
                    <w:pStyle w:val="2"/>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color w:val="auto"/>
                      <w:sz w:val="22"/>
                      <w:szCs w:val="22"/>
                      <w:highlight w:val="none"/>
                      <w:lang w:val="zh-CN"/>
                    </w:rPr>
                  </w:pPr>
                  <w:r>
                    <w:rPr>
                      <w:color w:val="auto"/>
                      <w:sz w:val="22"/>
                      <w:szCs w:val="22"/>
                      <w:highlight w:val="none"/>
                      <w:lang w:val="zh-CN"/>
                    </w:rPr>
                    <w:t>分析指标</w:t>
                  </w:r>
                </w:p>
              </w:tc>
              <w:tc>
                <w:tcPr>
                  <w:tcW w:w="1061" w:type="dxa"/>
                  <w:noWrap w:val="0"/>
                  <w:vAlign w:val="center"/>
                </w:tcPr>
                <w:p w14:paraId="56986D9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二期破碎场地修理室</w:t>
                  </w:r>
                  <w:r>
                    <w:rPr>
                      <w:rFonts w:ascii="Times New Roman" w:hAnsi="Times New Roman"/>
                      <w:color w:val="auto"/>
                      <w:sz w:val="22"/>
                      <w:highlight w:val="none"/>
                    </w:rPr>
                    <w:t>1#</w:t>
                  </w:r>
                </w:p>
              </w:tc>
              <w:tc>
                <w:tcPr>
                  <w:tcW w:w="836" w:type="dxa"/>
                  <w:noWrap w:val="0"/>
                  <w:vAlign w:val="center"/>
                </w:tcPr>
                <w:p w14:paraId="5E80B44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二期破碎站下风向5m处</w:t>
                  </w:r>
                  <w:r>
                    <w:rPr>
                      <w:rFonts w:ascii="Times New Roman" w:hAnsi="Times New Roman"/>
                      <w:color w:val="auto"/>
                      <w:sz w:val="22"/>
                      <w:highlight w:val="none"/>
                    </w:rPr>
                    <w:t>2#</w:t>
                  </w:r>
                </w:p>
              </w:tc>
              <w:tc>
                <w:tcPr>
                  <w:tcW w:w="723" w:type="dxa"/>
                  <w:noWrap w:val="0"/>
                  <w:vAlign w:val="center"/>
                </w:tcPr>
                <w:p w14:paraId="54D0499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一期破碎站下风向5m处</w:t>
                  </w:r>
                  <w:r>
                    <w:rPr>
                      <w:rFonts w:ascii="Times New Roman" w:hAnsi="Times New Roman"/>
                      <w:color w:val="auto"/>
                      <w:sz w:val="22"/>
                      <w:highlight w:val="none"/>
                    </w:rPr>
                    <w:t>3#</w:t>
                  </w:r>
                </w:p>
              </w:tc>
              <w:tc>
                <w:tcPr>
                  <w:tcW w:w="947" w:type="dxa"/>
                  <w:noWrap w:val="0"/>
                  <w:vAlign w:val="center"/>
                </w:tcPr>
                <w:p w14:paraId="404A49D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采场范围内4#</w:t>
                  </w:r>
                </w:p>
              </w:tc>
              <w:tc>
                <w:tcPr>
                  <w:tcW w:w="1559" w:type="dxa"/>
                  <w:noWrap w:val="0"/>
                  <w:vAlign w:val="center"/>
                </w:tcPr>
                <w:p w14:paraId="751B813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第二类用地</w:t>
                  </w:r>
                </w:p>
                <w:p w14:paraId="38E3EA5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筛选值</w:t>
                  </w:r>
                </w:p>
              </w:tc>
              <w:tc>
                <w:tcPr>
                  <w:tcW w:w="861" w:type="dxa"/>
                  <w:noWrap w:val="0"/>
                  <w:vAlign w:val="center"/>
                </w:tcPr>
                <w:p w14:paraId="07DD554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达标</w:t>
                  </w:r>
                </w:p>
                <w:p w14:paraId="64BD382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情况</w:t>
                  </w:r>
                </w:p>
              </w:tc>
            </w:tr>
            <w:tr w14:paraId="6A81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3AB4876">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395C1E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eastAsia" w:ascii="Times New Roman" w:hAnsi="Times New Roman" w:eastAsia="宋体"/>
                      <w:color w:val="auto"/>
                      <w:sz w:val="22"/>
                      <w:highlight w:val="none"/>
                      <w:lang w:val="en-US" w:eastAsia="zh-CN"/>
                    </w:rPr>
                  </w:pPr>
                  <w:r>
                    <w:rPr>
                      <w:rFonts w:hint="eastAsia"/>
                      <w:color w:val="auto"/>
                      <w:sz w:val="22"/>
                      <w:highlight w:val="none"/>
                      <w:lang w:val="en-US" w:eastAsia="zh-CN"/>
                    </w:rPr>
                    <w:t>全盐量（g/kg）</w:t>
                  </w:r>
                </w:p>
              </w:tc>
              <w:tc>
                <w:tcPr>
                  <w:tcW w:w="1061" w:type="dxa"/>
                  <w:noWrap w:val="0"/>
                  <w:vAlign w:val="center"/>
                </w:tcPr>
                <w:p w14:paraId="24AB656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0.44</w:t>
                  </w:r>
                </w:p>
              </w:tc>
              <w:tc>
                <w:tcPr>
                  <w:tcW w:w="836" w:type="dxa"/>
                  <w:noWrap w:val="0"/>
                  <w:vAlign w:val="center"/>
                </w:tcPr>
                <w:p w14:paraId="5FC482F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0.46</w:t>
                  </w:r>
                </w:p>
              </w:tc>
              <w:tc>
                <w:tcPr>
                  <w:tcW w:w="723" w:type="dxa"/>
                  <w:noWrap w:val="0"/>
                  <w:vAlign w:val="center"/>
                </w:tcPr>
                <w:p w14:paraId="440BD9E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0.50</w:t>
                  </w:r>
                </w:p>
              </w:tc>
              <w:tc>
                <w:tcPr>
                  <w:tcW w:w="947" w:type="dxa"/>
                  <w:noWrap w:val="0"/>
                  <w:vAlign w:val="center"/>
                </w:tcPr>
                <w:p w14:paraId="124259B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0.52</w:t>
                  </w:r>
                </w:p>
              </w:tc>
              <w:tc>
                <w:tcPr>
                  <w:tcW w:w="1559" w:type="dxa"/>
                  <w:noWrap w:val="0"/>
                  <w:vAlign w:val="center"/>
                </w:tcPr>
                <w:p w14:paraId="4B53ADE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w:t>
                  </w:r>
                </w:p>
              </w:tc>
              <w:tc>
                <w:tcPr>
                  <w:tcW w:w="861" w:type="dxa"/>
                  <w:noWrap w:val="0"/>
                  <w:vAlign w:val="center"/>
                </w:tcPr>
                <w:p w14:paraId="54ED68D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w:t>
                  </w:r>
                </w:p>
              </w:tc>
            </w:tr>
            <w:tr w14:paraId="73D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AEC77B4">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FA377F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pH</w:t>
                  </w:r>
                </w:p>
              </w:tc>
              <w:tc>
                <w:tcPr>
                  <w:tcW w:w="1061" w:type="dxa"/>
                  <w:noWrap w:val="0"/>
                  <w:vAlign w:val="center"/>
                </w:tcPr>
                <w:p w14:paraId="7103C52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7.08</w:t>
                  </w:r>
                </w:p>
              </w:tc>
              <w:tc>
                <w:tcPr>
                  <w:tcW w:w="836" w:type="dxa"/>
                  <w:noWrap w:val="0"/>
                  <w:vAlign w:val="center"/>
                </w:tcPr>
                <w:p w14:paraId="64472D7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7.38</w:t>
                  </w:r>
                </w:p>
              </w:tc>
              <w:tc>
                <w:tcPr>
                  <w:tcW w:w="723" w:type="dxa"/>
                  <w:noWrap w:val="0"/>
                  <w:vAlign w:val="center"/>
                </w:tcPr>
                <w:p w14:paraId="1ED1B6B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7.66</w:t>
                  </w:r>
                </w:p>
              </w:tc>
              <w:tc>
                <w:tcPr>
                  <w:tcW w:w="947" w:type="dxa"/>
                  <w:noWrap w:val="0"/>
                  <w:vAlign w:val="center"/>
                </w:tcPr>
                <w:p w14:paraId="3BD1501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7.80</w:t>
                  </w:r>
                </w:p>
              </w:tc>
              <w:tc>
                <w:tcPr>
                  <w:tcW w:w="1559" w:type="dxa"/>
                  <w:noWrap w:val="0"/>
                  <w:vAlign w:val="center"/>
                </w:tcPr>
                <w:p w14:paraId="4EAF597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eastAsia" w:ascii="Times New Roman" w:hAnsi="Times New Roman" w:eastAsia="宋体"/>
                      <w:color w:val="auto"/>
                      <w:sz w:val="22"/>
                      <w:highlight w:val="none"/>
                      <w:lang w:val="en-US" w:eastAsia="zh-CN"/>
                    </w:rPr>
                  </w:pPr>
                  <w:r>
                    <w:rPr>
                      <w:rFonts w:hint="eastAsia"/>
                      <w:color w:val="auto"/>
                      <w:sz w:val="22"/>
                      <w:highlight w:val="none"/>
                      <w:lang w:val="en-US" w:eastAsia="zh-CN"/>
                    </w:rPr>
                    <w:t>/</w:t>
                  </w:r>
                </w:p>
              </w:tc>
              <w:tc>
                <w:tcPr>
                  <w:tcW w:w="861" w:type="dxa"/>
                  <w:noWrap w:val="0"/>
                  <w:vAlign w:val="center"/>
                </w:tcPr>
                <w:p w14:paraId="1EEDE4A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eastAsia" w:ascii="Times New Roman" w:hAnsi="Times New Roman" w:eastAsia="宋体"/>
                      <w:color w:val="auto"/>
                      <w:sz w:val="22"/>
                      <w:highlight w:val="none"/>
                      <w:lang w:val="en-US" w:eastAsia="zh-CN"/>
                    </w:rPr>
                  </w:pPr>
                  <w:r>
                    <w:rPr>
                      <w:rFonts w:hint="eastAsia"/>
                      <w:color w:val="auto"/>
                      <w:sz w:val="22"/>
                      <w:highlight w:val="none"/>
                      <w:lang w:val="en-US" w:eastAsia="zh-CN"/>
                    </w:rPr>
                    <w:t>/</w:t>
                  </w:r>
                </w:p>
              </w:tc>
            </w:tr>
            <w:tr w14:paraId="14A7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B2836A7">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5483CC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铜</w:t>
                  </w:r>
                </w:p>
              </w:tc>
              <w:tc>
                <w:tcPr>
                  <w:tcW w:w="1061" w:type="dxa"/>
                  <w:noWrap w:val="0"/>
                  <w:vAlign w:val="center"/>
                </w:tcPr>
                <w:p w14:paraId="4B866B6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186</w:t>
                  </w:r>
                </w:p>
              </w:tc>
              <w:tc>
                <w:tcPr>
                  <w:tcW w:w="836" w:type="dxa"/>
                  <w:noWrap w:val="0"/>
                  <w:vAlign w:val="center"/>
                </w:tcPr>
                <w:p w14:paraId="7515D22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162</w:t>
                  </w:r>
                </w:p>
              </w:tc>
              <w:tc>
                <w:tcPr>
                  <w:tcW w:w="723" w:type="dxa"/>
                  <w:noWrap w:val="0"/>
                  <w:vAlign w:val="center"/>
                </w:tcPr>
                <w:p w14:paraId="3228827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185</w:t>
                  </w:r>
                </w:p>
              </w:tc>
              <w:tc>
                <w:tcPr>
                  <w:tcW w:w="947" w:type="dxa"/>
                  <w:noWrap w:val="0"/>
                  <w:vAlign w:val="center"/>
                </w:tcPr>
                <w:p w14:paraId="2523408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34</w:t>
                  </w:r>
                </w:p>
              </w:tc>
              <w:tc>
                <w:tcPr>
                  <w:tcW w:w="1559" w:type="dxa"/>
                  <w:noWrap w:val="0"/>
                  <w:vAlign w:val="center"/>
                </w:tcPr>
                <w:p w14:paraId="51FDBF2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18000</w:t>
                  </w:r>
                </w:p>
              </w:tc>
              <w:tc>
                <w:tcPr>
                  <w:tcW w:w="861" w:type="dxa"/>
                  <w:noWrap w:val="0"/>
                  <w:vAlign w:val="center"/>
                </w:tcPr>
                <w:p w14:paraId="35C019E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达标</w:t>
                  </w:r>
                </w:p>
              </w:tc>
            </w:tr>
            <w:tr w14:paraId="4036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EC294A4">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4A08B6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铅</w:t>
                  </w:r>
                </w:p>
              </w:tc>
              <w:tc>
                <w:tcPr>
                  <w:tcW w:w="1061" w:type="dxa"/>
                  <w:noWrap w:val="0"/>
                  <w:vAlign w:val="center"/>
                </w:tcPr>
                <w:p w14:paraId="10ADBA4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26.1</w:t>
                  </w:r>
                </w:p>
              </w:tc>
              <w:tc>
                <w:tcPr>
                  <w:tcW w:w="836" w:type="dxa"/>
                  <w:noWrap w:val="0"/>
                  <w:vAlign w:val="center"/>
                </w:tcPr>
                <w:p w14:paraId="36534CC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31.3</w:t>
                  </w:r>
                </w:p>
              </w:tc>
              <w:tc>
                <w:tcPr>
                  <w:tcW w:w="723" w:type="dxa"/>
                  <w:noWrap w:val="0"/>
                  <w:vAlign w:val="center"/>
                </w:tcPr>
                <w:p w14:paraId="3DC88B7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23.8</w:t>
                  </w:r>
                </w:p>
              </w:tc>
              <w:tc>
                <w:tcPr>
                  <w:tcW w:w="947" w:type="dxa"/>
                  <w:noWrap w:val="0"/>
                  <w:vAlign w:val="center"/>
                </w:tcPr>
                <w:p w14:paraId="75D8872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98.8</w:t>
                  </w:r>
                </w:p>
              </w:tc>
              <w:tc>
                <w:tcPr>
                  <w:tcW w:w="1559" w:type="dxa"/>
                  <w:noWrap w:val="0"/>
                  <w:vAlign w:val="center"/>
                </w:tcPr>
                <w:p w14:paraId="2A00868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800</w:t>
                  </w:r>
                </w:p>
              </w:tc>
              <w:tc>
                <w:tcPr>
                  <w:tcW w:w="861" w:type="dxa"/>
                  <w:noWrap w:val="0"/>
                  <w:vAlign w:val="center"/>
                </w:tcPr>
                <w:p w14:paraId="29800AA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EC9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CAECD66">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790136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镉</w:t>
                  </w:r>
                </w:p>
              </w:tc>
              <w:tc>
                <w:tcPr>
                  <w:tcW w:w="1061" w:type="dxa"/>
                  <w:noWrap w:val="0"/>
                  <w:vAlign w:val="center"/>
                </w:tcPr>
                <w:p w14:paraId="6AE13EA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0.21</w:t>
                  </w:r>
                </w:p>
              </w:tc>
              <w:tc>
                <w:tcPr>
                  <w:tcW w:w="836" w:type="dxa"/>
                  <w:noWrap w:val="0"/>
                  <w:vAlign w:val="center"/>
                </w:tcPr>
                <w:p w14:paraId="50F054F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0.22</w:t>
                  </w:r>
                </w:p>
              </w:tc>
              <w:tc>
                <w:tcPr>
                  <w:tcW w:w="723" w:type="dxa"/>
                  <w:noWrap w:val="0"/>
                  <w:vAlign w:val="center"/>
                </w:tcPr>
                <w:p w14:paraId="0B1BB33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0.22</w:t>
                  </w:r>
                </w:p>
              </w:tc>
              <w:tc>
                <w:tcPr>
                  <w:tcW w:w="947" w:type="dxa"/>
                  <w:noWrap w:val="0"/>
                  <w:vAlign w:val="center"/>
                </w:tcPr>
                <w:p w14:paraId="276276A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0.23</w:t>
                  </w:r>
                </w:p>
              </w:tc>
              <w:tc>
                <w:tcPr>
                  <w:tcW w:w="1559" w:type="dxa"/>
                  <w:noWrap w:val="0"/>
                  <w:vAlign w:val="center"/>
                </w:tcPr>
                <w:p w14:paraId="19DC0D6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65</w:t>
                  </w:r>
                </w:p>
              </w:tc>
              <w:tc>
                <w:tcPr>
                  <w:tcW w:w="861" w:type="dxa"/>
                  <w:noWrap w:val="0"/>
                  <w:vAlign w:val="center"/>
                </w:tcPr>
                <w:p w14:paraId="116B349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7EC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F03C56C">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905999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镍</w:t>
                  </w:r>
                </w:p>
              </w:tc>
              <w:tc>
                <w:tcPr>
                  <w:tcW w:w="1061" w:type="dxa"/>
                  <w:noWrap w:val="0"/>
                  <w:vAlign w:val="center"/>
                </w:tcPr>
                <w:p w14:paraId="2C6CF36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76</w:t>
                  </w:r>
                </w:p>
              </w:tc>
              <w:tc>
                <w:tcPr>
                  <w:tcW w:w="836" w:type="dxa"/>
                  <w:noWrap w:val="0"/>
                  <w:vAlign w:val="center"/>
                </w:tcPr>
                <w:p w14:paraId="5C2DBDF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63</w:t>
                  </w:r>
                </w:p>
              </w:tc>
              <w:tc>
                <w:tcPr>
                  <w:tcW w:w="723" w:type="dxa"/>
                  <w:noWrap w:val="0"/>
                  <w:vAlign w:val="center"/>
                </w:tcPr>
                <w:p w14:paraId="58847D8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73</w:t>
                  </w:r>
                </w:p>
              </w:tc>
              <w:tc>
                <w:tcPr>
                  <w:tcW w:w="947" w:type="dxa"/>
                  <w:noWrap w:val="0"/>
                  <w:vAlign w:val="center"/>
                </w:tcPr>
                <w:p w14:paraId="27C03ED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23</w:t>
                  </w:r>
                </w:p>
              </w:tc>
              <w:tc>
                <w:tcPr>
                  <w:tcW w:w="1559" w:type="dxa"/>
                  <w:noWrap w:val="0"/>
                  <w:vAlign w:val="center"/>
                </w:tcPr>
                <w:p w14:paraId="17BA6E4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900</w:t>
                  </w:r>
                </w:p>
              </w:tc>
              <w:tc>
                <w:tcPr>
                  <w:tcW w:w="861" w:type="dxa"/>
                  <w:noWrap w:val="0"/>
                  <w:vAlign w:val="center"/>
                </w:tcPr>
                <w:p w14:paraId="3A69444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A0B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2720A4CC">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96CA0C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砷</w:t>
                  </w:r>
                </w:p>
              </w:tc>
              <w:tc>
                <w:tcPr>
                  <w:tcW w:w="1061" w:type="dxa"/>
                  <w:noWrap w:val="0"/>
                  <w:vAlign w:val="center"/>
                </w:tcPr>
                <w:p w14:paraId="1C6A201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25.6</w:t>
                  </w:r>
                </w:p>
              </w:tc>
              <w:tc>
                <w:tcPr>
                  <w:tcW w:w="836" w:type="dxa"/>
                  <w:noWrap w:val="0"/>
                  <w:vAlign w:val="center"/>
                </w:tcPr>
                <w:p w14:paraId="155F144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25.3</w:t>
                  </w:r>
                </w:p>
              </w:tc>
              <w:tc>
                <w:tcPr>
                  <w:tcW w:w="723" w:type="dxa"/>
                  <w:noWrap w:val="0"/>
                  <w:vAlign w:val="center"/>
                </w:tcPr>
                <w:p w14:paraId="44E916F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19.2</w:t>
                  </w:r>
                </w:p>
              </w:tc>
              <w:tc>
                <w:tcPr>
                  <w:tcW w:w="947" w:type="dxa"/>
                  <w:noWrap w:val="0"/>
                  <w:vAlign w:val="center"/>
                </w:tcPr>
                <w:p w14:paraId="4E8E497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21.2</w:t>
                  </w:r>
                </w:p>
              </w:tc>
              <w:tc>
                <w:tcPr>
                  <w:tcW w:w="1559" w:type="dxa"/>
                  <w:noWrap w:val="0"/>
                  <w:vAlign w:val="center"/>
                </w:tcPr>
                <w:p w14:paraId="689A605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60</w:t>
                  </w:r>
                </w:p>
              </w:tc>
              <w:tc>
                <w:tcPr>
                  <w:tcW w:w="861" w:type="dxa"/>
                  <w:noWrap w:val="0"/>
                  <w:vAlign w:val="center"/>
                </w:tcPr>
                <w:p w14:paraId="4031461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2BF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A24ADC8">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A9AD1A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汞</w:t>
                  </w:r>
                </w:p>
              </w:tc>
              <w:tc>
                <w:tcPr>
                  <w:tcW w:w="1061" w:type="dxa"/>
                  <w:noWrap w:val="0"/>
                  <w:vAlign w:val="center"/>
                </w:tcPr>
                <w:p w14:paraId="1E61713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0.133</w:t>
                  </w:r>
                </w:p>
              </w:tc>
              <w:tc>
                <w:tcPr>
                  <w:tcW w:w="836" w:type="dxa"/>
                  <w:noWrap w:val="0"/>
                  <w:vAlign w:val="center"/>
                </w:tcPr>
                <w:p w14:paraId="6641CB4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0.154</w:t>
                  </w:r>
                </w:p>
              </w:tc>
              <w:tc>
                <w:tcPr>
                  <w:tcW w:w="723" w:type="dxa"/>
                  <w:noWrap w:val="0"/>
                  <w:vAlign w:val="center"/>
                </w:tcPr>
                <w:p w14:paraId="6F07218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0.130</w:t>
                  </w:r>
                </w:p>
              </w:tc>
              <w:tc>
                <w:tcPr>
                  <w:tcW w:w="947" w:type="dxa"/>
                  <w:noWrap w:val="0"/>
                  <w:vAlign w:val="center"/>
                </w:tcPr>
                <w:p w14:paraId="1B0D8D6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0.209</w:t>
                  </w:r>
                </w:p>
              </w:tc>
              <w:tc>
                <w:tcPr>
                  <w:tcW w:w="1559" w:type="dxa"/>
                  <w:noWrap w:val="0"/>
                  <w:vAlign w:val="center"/>
                </w:tcPr>
                <w:p w14:paraId="13856DF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38</w:t>
                  </w:r>
                </w:p>
              </w:tc>
              <w:tc>
                <w:tcPr>
                  <w:tcW w:w="861" w:type="dxa"/>
                  <w:noWrap w:val="0"/>
                  <w:vAlign w:val="center"/>
                </w:tcPr>
                <w:p w14:paraId="7DCAB39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E24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34CC7AB">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76E9A0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六价铬</w:t>
                  </w:r>
                </w:p>
              </w:tc>
              <w:tc>
                <w:tcPr>
                  <w:tcW w:w="1061" w:type="dxa"/>
                  <w:noWrap w:val="0"/>
                  <w:vAlign w:val="center"/>
                </w:tcPr>
                <w:p w14:paraId="4375D40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宋体"/>
                      <w:color w:val="auto"/>
                      <w:sz w:val="22"/>
                      <w:highlight w:val="none"/>
                      <w:lang w:val="en-US" w:eastAsia="zh-CN"/>
                    </w:rPr>
                  </w:pPr>
                  <w:r>
                    <w:rPr>
                      <w:rFonts w:hint="eastAsia"/>
                      <w:color w:val="auto"/>
                      <w:sz w:val="22"/>
                      <w:highlight w:val="none"/>
                      <w:lang w:val="en-US" w:eastAsia="zh-CN"/>
                    </w:rPr>
                    <w:t>ND</w:t>
                  </w:r>
                </w:p>
              </w:tc>
              <w:tc>
                <w:tcPr>
                  <w:tcW w:w="836" w:type="dxa"/>
                  <w:noWrap w:val="0"/>
                  <w:vAlign w:val="center"/>
                </w:tcPr>
                <w:p w14:paraId="622F4EE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538CE151">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B047DD5">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hint="eastAsia"/>
                      <w:color w:val="auto"/>
                      <w:sz w:val="22"/>
                      <w:highlight w:val="none"/>
                      <w:lang w:val="en-US" w:eastAsia="zh-CN"/>
                    </w:rPr>
                    <w:t>ND</w:t>
                  </w:r>
                </w:p>
              </w:tc>
              <w:tc>
                <w:tcPr>
                  <w:tcW w:w="1559" w:type="dxa"/>
                  <w:noWrap w:val="0"/>
                  <w:vAlign w:val="center"/>
                </w:tcPr>
                <w:p w14:paraId="45321E0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r>
                    <w:rPr>
                      <w:rFonts w:ascii="Times New Roman" w:hAnsi="Times New Roman"/>
                      <w:color w:val="auto"/>
                      <w:sz w:val="22"/>
                      <w:highlight w:val="none"/>
                      <w:lang w:val="zh-CN"/>
                    </w:rPr>
                    <w:t>5.7</w:t>
                  </w:r>
                </w:p>
              </w:tc>
              <w:tc>
                <w:tcPr>
                  <w:tcW w:w="861" w:type="dxa"/>
                  <w:noWrap w:val="0"/>
                  <w:vAlign w:val="center"/>
                </w:tcPr>
                <w:p w14:paraId="1B0D67F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0A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4CD0496">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4D68828">
                  <w:pPr>
                    <w:keepNext w:val="0"/>
                    <w:keepLines w:val="0"/>
                    <w:pageBreakBefore w:val="0"/>
                    <w:tabs>
                      <w:tab w:val="left" w:pos="780"/>
                    </w:tabs>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四氯化碳</w:t>
                  </w:r>
                </w:p>
              </w:tc>
              <w:tc>
                <w:tcPr>
                  <w:tcW w:w="1061" w:type="dxa"/>
                  <w:noWrap w:val="0"/>
                  <w:vAlign w:val="center"/>
                </w:tcPr>
                <w:p w14:paraId="0CA9409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388DFE7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6A76645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0A20CD8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8D28B71">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2.8</w:t>
                  </w:r>
                </w:p>
              </w:tc>
              <w:tc>
                <w:tcPr>
                  <w:tcW w:w="861" w:type="dxa"/>
                  <w:noWrap w:val="0"/>
                  <w:vAlign w:val="center"/>
                </w:tcPr>
                <w:p w14:paraId="75ECADB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755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6528779">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0E3393B5">
                  <w:pPr>
                    <w:keepNext w:val="0"/>
                    <w:keepLines w:val="0"/>
                    <w:pageBreakBefore w:val="0"/>
                    <w:tabs>
                      <w:tab w:val="left" w:pos="780"/>
                    </w:tabs>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氯仿</w:t>
                  </w:r>
                </w:p>
              </w:tc>
              <w:tc>
                <w:tcPr>
                  <w:tcW w:w="1061" w:type="dxa"/>
                  <w:noWrap w:val="0"/>
                  <w:vAlign w:val="center"/>
                </w:tcPr>
                <w:p w14:paraId="6F3F5BA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6D2C70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E09D90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35F445D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701790C">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0.9</w:t>
                  </w:r>
                </w:p>
              </w:tc>
              <w:tc>
                <w:tcPr>
                  <w:tcW w:w="861" w:type="dxa"/>
                  <w:noWrap w:val="0"/>
                  <w:vAlign w:val="center"/>
                </w:tcPr>
                <w:p w14:paraId="7C12E2D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7B36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419207A">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EC21F57">
                  <w:pPr>
                    <w:keepNext w:val="0"/>
                    <w:keepLines w:val="0"/>
                    <w:pageBreakBefore w:val="0"/>
                    <w:tabs>
                      <w:tab w:val="left" w:pos="780"/>
                    </w:tabs>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氯甲烷</w:t>
                  </w:r>
                </w:p>
              </w:tc>
              <w:tc>
                <w:tcPr>
                  <w:tcW w:w="1061" w:type="dxa"/>
                  <w:noWrap w:val="0"/>
                  <w:vAlign w:val="center"/>
                </w:tcPr>
                <w:p w14:paraId="1631554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351B307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0862D65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250FE8A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6C7D61FC">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37</w:t>
                  </w:r>
                </w:p>
              </w:tc>
              <w:tc>
                <w:tcPr>
                  <w:tcW w:w="861" w:type="dxa"/>
                  <w:noWrap w:val="0"/>
                  <w:vAlign w:val="center"/>
                </w:tcPr>
                <w:p w14:paraId="7E71C93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7DA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071AA1B">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897D48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1,1-二氯乙烷</w:t>
                  </w:r>
                </w:p>
              </w:tc>
              <w:tc>
                <w:tcPr>
                  <w:tcW w:w="1061" w:type="dxa"/>
                  <w:noWrap w:val="0"/>
                  <w:vAlign w:val="center"/>
                </w:tcPr>
                <w:p w14:paraId="6BB9491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30C0E2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14BF42F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62D31CC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155B1141">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9</w:t>
                  </w:r>
                </w:p>
              </w:tc>
              <w:tc>
                <w:tcPr>
                  <w:tcW w:w="861" w:type="dxa"/>
                  <w:noWrap w:val="0"/>
                  <w:vAlign w:val="center"/>
                </w:tcPr>
                <w:p w14:paraId="1294EF8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BC3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FF508E3">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C2F3DB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1,2-二氯乙烷</w:t>
                  </w:r>
                </w:p>
              </w:tc>
              <w:tc>
                <w:tcPr>
                  <w:tcW w:w="1061" w:type="dxa"/>
                  <w:noWrap w:val="0"/>
                  <w:vAlign w:val="center"/>
                </w:tcPr>
                <w:p w14:paraId="06BB5BB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5F23D5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DCC892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62EBFEF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5A1DF7D2">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w:t>
                  </w:r>
                </w:p>
              </w:tc>
              <w:tc>
                <w:tcPr>
                  <w:tcW w:w="861" w:type="dxa"/>
                  <w:noWrap w:val="0"/>
                  <w:vAlign w:val="center"/>
                </w:tcPr>
                <w:p w14:paraId="5A20763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BB5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14B1F219">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FF2051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1,1-二氯乙烯</w:t>
                  </w:r>
                </w:p>
              </w:tc>
              <w:tc>
                <w:tcPr>
                  <w:tcW w:w="1061" w:type="dxa"/>
                  <w:noWrap w:val="0"/>
                  <w:vAlign w:val="center"/>
                </w:tcPr>
                <w:p w14:paraId="343495F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D4A09C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785ED16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5A2F4E4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242CBAF">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66</w:t>
                  </w:r>
                </w:p>
              </w:tc>
              <w:tc>
                <w:tcPr>
                  <w:tcW w:w="861" w:type="dxa"/>
                  <w:noWrap w:val="0"/>
                  <w:vAlign w:val="center"/>
                </w:tcPr>
                <w:p w14:paraId="669F5FC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503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F9FB651">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3BCACC6">
                  <w:pPr>
                    <w:keepNext w:val="0"/>
                    <w:keepLines w:val="0"/>
                    <w:pageBreakBefore w:val="0"/>
                    <w:tabs>
                      <w:tab w:val="left" w:pos="780"/>
                    </w:tabs>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pacing w:val="14"/>
                      <w:sz w:val="22"/>
                      <w:highlight w:val="none"/>
                    </w:rPr>
                  </w:pPr>
                  <w:r>
                    <w:rPr>
                      <w:rFonts w:ascii="Times New Roman" w:hAnsi="Times New Roman"/>
                      <w:color w:val="auto"/>
                      <w:spacing w:val="14"/>
                      <w:sz w:val="22"/>
                      <w:highlight w:val="none"/>
                    </w:rPr>
                    <w:t>顺-1,2-二氯乙烯</w:t>
                  </w:r>
                </w:p>
              </w:tc>
              <w:tc>
                <w:tcPr>
                  <w:tcW w:w="1061" w:type="dxa"/>
                  <w:noWrap w:val="0"/>
                  <w:vAlign w:val="center"/>
                </w:tcPr>
                <w:p w14:paraId="5E373A5C">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19CBA1B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78536F2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09F5D54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5837908E">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596</w:t>
                  </w:r>
                </w:p>
              </w:tc>
              <w:tc>
                <w:tcPr>
                  <w:tcW w:w="861" w:type="dxa"/>
                  <w:noWrap w:val="0"/>
                  <w:vAlign w:val="center"/>
                </w:tcPr>
                <w:p w14:paraId="79D220F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1EA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1C932883">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3F9FCB1B">
                  <w:pPr>
                    <w:keepNext w:val="0"/>
                    <w:keepLines w:val="0"/>
                    <w:pageBreakBefore w:val="0"/>
                    <w:tabs>
                      <w:tab w:val="left" w:pos="780"/>
                    </w:tabs>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pacing w:val="14"/>
                      <w:sz w:val="22"/>
                      <w:highlight w:val="none"/>
                    </w:rPr>
                  </w:pPr>
                  <w:r>
                    <w:rPr>
                      <w:rFonts w:ascii="Times New Roman" w:hAnsi="Times New Roman"/>
                      <w:color w:val="auto"/>
                      <w:spacing w:val="14"/>
                      <w:sz w:val="22"/>
                      <w:highlight w:val="none"/>
                    </w:rPr>
                    <w:t>反-1,2-二氯乙烯</w:t>
                  </w:r>
                </w:p>
              </w:tc>
              <w:tc>
                <w:tcPr>
                  <w:tcW w:w="1061" w:type="dxa"/>
                  <w:noWrap w:val="0"/>
                  <w:vAlign w:val="center"/>
                </w:tcPr>
                <w:p w14:paraId="2D0AB34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12CC46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0C74046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3434D3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0127BBD">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54</w:t>
                  </w:r>
                </w:p>
              </w:tc>
              <w:tc>
                <w:tcPr>
                  <w:tcW w:w="861" w:type="dxa"/>
                  <w:noWrap w:val="0"/>
                  <w:vAlign w:val="center"/>
                </w:tcPr>
                <w:p w14:paraId="3D08F85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70A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B4B46BB">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46D4C4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二氯甲烷</w:t>
                  </w:r>
                </w:p>
              </w:tc>
              <w:tc>
                <w:tcPr>
                  <w:tcW w:w="1061" w:type="dxa"/>
                  <w:noWrap w:val="0"/>
                  <w:vAlign w:val="center"/>
                </w:tcPr>
                <w:p w14:paraId="5560669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2C2171D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2146A55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2015B1D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0FF7E49">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616</w:t>
                  </w:r>
                </w:p>
              </w:tc>
              <w:tc>
                <w:tcPr>
                  <w:tcW w:w="861" w:type="dxa"/>
                  <w:noWrap w:val="0"/>
                  <w:vAlign w:val="center"/>
                </w:tcPr>
                <w:p w14:paraId="1FB98FA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973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D290767">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0453BE4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1,2-二氯丙烷</w:t>
                  </w:r>
                </w:p>
              </w:tc>
              <w:tc>
                <w:tcPr>
                  <w:tcW w:w="1061" w:type="dxa"/>
                  <w:noWrap w:val="0"/>
                  <w:vAlign w:val="center"/>
                </w:tcPr>
                <w:p w14:paraId="3847D96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B86E7E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CA77F3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CF3F95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1FEA8FEC">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w:t>
                  </w:r>
                </w:p>
              </w:tc>
              <w:tc>
                <w:tcPr>
                  <w:tcW w:w="861" w:type="dxa"/>
                  <w:noWrap w:val="0"/>
                  <w:vAlign w:val="center"/>
                </w:tcPr>
                <w:p w14:paraId="4C58E23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DC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2A6D758">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02D4351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1,1,1,2-四氯乙烷</w:t>
                  </w:r>
                </w:p>
              </w:tc>
              <w:tc>
                <w:tcPr>
                  <w:tcW w:w="1061" w:type="dxa"/>
                  <w:noWrap w:val="0"/>
                  <w:vAlign w:val="center"/>
                </w:tcPr>
                <w:p w14:paraId="38F2A44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7979628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1792177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F3F8FD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F883415">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10</w:t>
                  </w:r>
                </w:p>
              </w:tc>
              <w:tc>
                <w:tcPr>
                  <w:tcW w:w="861" w:type="dxa"/>
                  <w:noWrap w:val="0"/>
                  <w:vAlign w:val="center"/>
                </w:tcPr>
                <w:p w14:paraId="5192AEF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53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5A572B95">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216E3A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1,1,2,2-四氯乙烷</w:t>
                  </w:r>
                </w:p>
              </w:tc>
              <w:tc>
                <w:tcPr>
                  <w:tcW w:w="1061" w:type="dxa"/>
                  <w:noWrap w:val="0"/>
                  <w:vAlign w:val="center"/>
                </w:tcPr>
                <w:p w14:paraId="7618212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862649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0C5E4C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E6F8B8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39C46AF">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6.8</w:t>
                  </w:r>
                </w:p>
              </w:tc>
              <w:tc>
                <w:tcPr>
                  <w:tcW w:w="861" w:type="dxa"/>
                  <w:noWrap w:val="0"/>
                  <w:vAlign w:val="center"/>
                </w:tcPr>
                <w:p w14:paraId="6A83FD8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A54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4B2A6289">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4B7453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四氯乙烯</w:t>
                  </w:r>
                </w:p>
              </w:tc>
              <w:tc>
                <w:tcPr>
                  <w:tcW w:w="1061" w:type="dxa"/>
                  <w:noWrap w:val="0"/>
                  <w:vAlign w:val="center"/>
                </w:tcPr>
                <w:p w14:paraId="0323DAA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8B1FF7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20DA281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5C215A5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1632B28">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53</w:t>
                  </w:r>
                </w:p>
              </w:tc>
              <w:tc>
                <w:tcPr>
                  <w:tcW w:w="861" w:type="dxa"/>
                  <w:noWrap w:val="0"/>
                  <w:vAlign w:val="center"/>
                </w:tcPr>
                <w:p w14:paraId="4A07D76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3DC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B9D4670">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D4ACE0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1,1,1-三氯乙烷</w:t>
                  </w:r>
                </w:p>
              </w:tc>
              <w:tc>
                <w:tcPr>
                  <w:tcW w:w="1061" w:type="dxa"/>
                  <w:noWrap w:val="0"/>
                  <w:vAlign w:val="center"/>
                </w:tcPr>
                <w:p w14:paraId="3C95792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b/>
                      <w:color w:val="auto"/>
                      <w:sz w:val="22"/>
                      <w:highlight w:val="none"/>
                    </w:rPr>
                  </w:pPr>
                  <w:r>
                    <w:rPr>
                      <w:rFonts w:hint="eastAsia"/>
                      <w:color w:val="auto"/>
                      <w:sz w:val="22"/>
                      <w:highlight w:val="none"/>
                      <w:lang w:val="en-US" w:eastAsia="zh-CN"/>
                    </w:rPr>
                    <w:t>ND</w:t>
                  </w:r>
                </w:p>
              </w:tc>
              <w:tc>
                <w:tcPr>
                  <w:tcW w:w="836" w:type="dxa"/>
                  <w:noWrap w:val="0"/>
                  <w:vAlign w:val="center"/>
                </w:tcPr>
                <w:p w14:paraId="7E046D9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5A6DED8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DA6094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02F3904B">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840</w:t>
                  </w:r>
                </w:p>
              </w:tc>
              <w:tc>
                <w:tcPr>
                  <w:tcW w:w="861" w:type="dxa"/>
                  <w:noWrap w:val="0"/>
                  <w:vAlign w:val="center"/>
                </w:tcPr>
                <w:p w14:paraId="36B3859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1F9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8628319">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52F21E8">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1,1,2-三氯乙烷</w:t>
                  </w:r>
                </w:p>
              </w:tc>
              <w:tc>
                <w:tcPr>
                  <w:tcW w:w="1061" w:type="dxa"/>
                  <w:noWrap w:val="0"/>
                  <w:vAlign w:val="center"/>
                </w:tcPr>
                <w:p w14:paraId="212C7A1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20EBB62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20B1950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09E197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78B6F2F">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2.8</w:t>
                  </w:r>
                </w:p>
              </w:tc>
              <w:tc>
                <w:tcPr>
                  <w:tcW w:w="861" w:type="dxa"/>
                  <w:noWrap w:val="0"/>
                  <w:vAlign w:val="center"/>
                </w:tcPr>
                <w:p w14:paraId="7AABBE7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A3D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29FA2C63">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59943F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三氯乙烯</w:t>
                  </w:r>
                </w:p>
              </w:tc>
              <w:tc>
                <w:tcPr>
                  <w:tcW w:w="1061" w:type="dxa"/>
                  <w:noWrap w:val="0"/>
                  <w:vAlign w:val="center"/>
                </w:tcPr>
                <w:p w14:paraId="3C2B209C">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9B9E1D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90452C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995EB4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4B65F0E">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2.8</w:t>
                  </w:r>
                </w:p>
              </w:tc>
              <w:tc>
                <w:tcPr>
                  <w:tcW w:w="861" w:type="dxa"/>
                  <w:noWrap w:val="0"/>
                  <w:vAlign w:val="center"/>
                </w:tcPr>
                <w:p w14:paraId="46AFE7A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70F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404F7A0B">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FB3EAB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1,2,3-三氯丙烷</w:t>
                  </w:r>
                </w:p>
              </w:tc>
              <w:tc>
                <w:tcPr>
                  <w:tcW w:w="1061" w:type="dxa"/>
                  <w:noWrap w:val="0"/>
                  <w:vAlign w:val="center"/>
                </w:tcPr>
                <w:p w14:paraId="08DB9BA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70196C3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DEFB95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B010AC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5D0E1397">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0.5</w:t>
                  </w:r>
                </w:p>
              </w:tc>
              <w:tc>
                <w:tcPr>
                  <w:tcW w:w="861" w:type="dxa"/>
                  <w:noWrap w:val="0"/>
                  <w:vAlign w:val="center"/>
                </w:tcPr>
                <w:p w14:paraId="2C6D73A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2A0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4" w:type="dxa"/>
                  <w:noWrap w:val="0"/>
                  <w:vAlign w:val="center"/>
                </w:tcPr>
                <w:p w14:paraId="7B922ECB">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0FBDD9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氯乙烯</w:t>
                  </w:r>
                </w:p>
              </w:tc>
              <w:tc>
                <w:tcPr>
                  <w:tcW w:w="1061" w:type="dxa"/>
                  <w:noWrap w:val="0"/>
                  <w:vAlign w:val="center"/>
                </w:tcPr>
                <w:p w14:paraId="28DF164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277094DC">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17BC854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3CBFF68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084A43B1">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0.43</w:t>
                  </w:r>
                </w:p>
              </w:tc>
              <w:tc>
                <w:tcPr>
                  <w:tcW w:w="861" w:type="dxa"/>
                  <w:noWrap w:val="0"/>
                  <w:vAlign w:val="center"/>
                </w:tcPr>
                <w:p w14:paraId="5D43360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761C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F18CF91">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EBEFE6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w:t>
                  </w:r>
                </w:p>
              </w:tc>
              <w:tc>
                <w:tcPr>
                  <w:tcW w:w="1061" w:type="dxa"/>
                  <w:noWrap w:val="0"/>
                  <w:vAlign w:val="center"/>
                </w:tcPr>
                <w:p w14:paraId="7E267A8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6E74D9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585690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693B948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63CDE07">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4</w:t>
                  </w:r>
                </w:p>
              </w:tc>
              <w:tc>
                <w:tcPr>
                  <w:tcW w:w="861" w:type="dxa"/>
                  <w:noWrap w:val="0"/>
                  <w:vAlign w:val="center"/>
                </w:tcPr>
                <w:p w14:paraId="18C4044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00A0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28320BB6">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48BF5A9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氯苯</w:t>
                  </w:r>
                </w:p>
              </w:tc>
              <w:tc>
                <w:tcPr>
                  <w:tcW w:w="1061" w:type="dxa"/>
                  <w:noWrap w:val="0"/>
                  <w:vAlign w:val="center"/>
                </w:tcPr>
                <w:p w14:paraId="201E068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273F28C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924219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E006B9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349277A4">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270</w:t>
                  </w:r>
                </w:p>
              </w:tc>
              <w:tc>
                <w:tcPr>
                  <w:tcW w:w="861" w:type="dxa"/>
                  <w:noWrap w:val="0"/>
                  <w:vAlign w:val="center"/>
                </w:tcPr>
                <w:p w14:paraId="683FCBEF">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0610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657894E0">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33770C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乙苯</w:t>
                  </w:r>
                </w:p>
              </w:tc>
              <w:tc>
                <w:tcPr>
                  <w:tcW w:w="1061" w:type="dxa"/>
                  <w:noWrap w:val="0"/>
                  <w:vAlign w:val="center"/>
                </w:tcPr>
                <w:p w14:paraId="13D9179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334E703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529871D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21E4ED2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7BEDCF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w:t>
                  </w:r>
                </w:p>
              </w:tc>
              <w:tc>
                <w:tcPr>
                  <w:tcW w:w="861" w:type="dxa"/>
                  <w:noWrap w:val="0"/>
                  <w:vAlign w:val="center"/>
                </w:tcPr>
                <w:p w14:paraId="00FAB68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452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4FD6D79A">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3E29990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苯乙烯</w:t>
                  </w:r>
                </w:p>
              </w:tc>
              <w:tc>
                <w:tcPr>
                  <w:tcW w:w="1061" w:type="dxa"/>
                  <w:noWrap w:val="0"/>
                  <w:vAlign w:val="center"/>
                </w:tcPr>
                <w:p w14:paraId="79545CB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AC8998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BF02DE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32CED1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2F7FEFD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1290</w:t>
                  </w:r>
                </w:p>
              </w:tc>
              <w:tc>
                <w:tcPr>
                  <w:tcW w:w="861" w:type="dxa"/>
                  <w:noWrap w:val="0"/>
                  <w:vAlign w:val="center"/>
                </w:tcPr>
                <w:p w14:paraId="0EACD8E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0DB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9D058DD">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00CBA8A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甲苯</w:t>
                  </w:r>
                </w:p>
              </w:tc>
              <w:tc>
                <w:tcPr>
                  <w:tcW w:w="1061" w:type="dxa"/>
                  <w:noWrap w:val="0"/>
                  <w:vAlign w:val="center"/>
                </w:tcPr>
                <w:p w14:paraId="73D4AE7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A78434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623851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8B4771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66B46D5B">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1200</w:t>
                  </w:r>
                </w:p>
              </w:tc>
              <w:tc>
                <w:tcPr>
                  <w:tcW w:w="861" w:type="dxa"/>
                  <w:noWrap w:val="0"/>
                  <w:vAlign w:val="center"/>
                </w:tcPr>
                <w:p w14:paraId="1C69544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37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E60D64E">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2A41A42E">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间二甲苯+对二甲苯</w:t>
                  </w:r>
                </w:p>
              </w:tc>
              <w:tc>
                <w:tcPr>
                  <w:tcW w:w="1061" w:type="dxa"/>
                  <w:noWrap w:val="0"/>
                  <w:vAlign w:val="center"/>
                </w:tcPr>
                <w:p w14:paraId="7057FA6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40B1A6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259E79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5CEAD03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9208235">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570</w:t>
                  </w:r>
                </w:p>
              </w:tc>
              <w:tc>
                <w:tcPr>
                  <w:tcW w:w="861" w:type="dxa"/>
                  <w:noWrap w:val="0"/>
                  <w:vAlign w:val="center"/>
                </w:tcPr>
                <w:p w14:paraId="4201396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914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337771A">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3A32168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邻二甲苯</w:t>
                  </w:r>
                </w:p>
              </w:tc>
              <w:tc>
                <w:tcPr>
                  <w:tcW w:w="1061" w:type="dxa"/>
                  <w:noWrap w:val="0"/>
                  <w:vAlign w:val="center"/>
                </w:tcPr>
                <w:p w14:paraId="3F15008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1714249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7888BD9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6FC41E2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C11AB3B">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640</w:t>
                  </w:r>
                </w:p>
              </w:tc>
              <w:tc>
                <w:tcPr>
                  <w:tcW w:w="861" w:type="dxa"/>
                  <w:noWrap w:val="0"/>
                  <w:vAlign w:val="center"/>
                </w:tcPr>
                <w:p w14:paraId="427E314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4BE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48221F8C">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EE4C10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1,2-二氯苯</w:t>
                  </w:r>
                </w:p>
              </w:tc>
              <w:tc>
                <w:tcPr>
                  <w:tcW w:w="1061" w:type="dxa"/>
                  <w:noWrap w:val="0"/>
                  <w:vAlign w:val="center"/>
                </w:tcPr>
                <w:p w14:paraId="5162499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11603DC6">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054895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EEB7DE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6151FC29">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560</w:t>
                  </w:r>
                </w:p>
              </w:tc>
              <w:tc>
                <w:tcPr>
                  <w:tcW w:w="861" w:type="dxa"/>
                  <w:noWrap w:val="0"/>
                  <w:vAlign w:val="center"/>
                </w:tcPr>
                <w:p w14:paraId="2E63C06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733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1443402">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BDAFDC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1,4-二氯苯</w:t>
                  </w:r>
                </w:p>
              </w:tc>
              <w:tc>
                <w:tcPr>
                  <w:tcW w:w="1061" w:type="dxa"/>
                  <w:noWrap w:val="0"/>
                  <w:vAlign w:val="center"/>
                </w:tcPr>
                <w:p w14:paraId="2CE21A2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7855881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F8E1B3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D7D8B8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5F5BACF7">
                  <w:pPr>
                    <w:keepNext w:val="0"/>
                    <w:keepLines w:val="0"/>
                    <w:pageBreakBefore w:val="0"/>
                    <w:kinsoku/>
                    <w:wordWrap/>
                    <w:overflowPunct/>
                    <w:topLinePunct w:val="0"/>
                    <w:autoSpaceDE/>
                    <w:autoSpaceDN/>
                    <w:bidi w:val="0"/>
                    <w:adjustRightInd/>
                    <w:snapToGrid/>
                    <w:spacing w:line="320" w:lineRule="exact"/>
                    <w:ind w:left="0" w:right="-2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5.6</w:t>
                  </w:r>
                </w:p>
              </w:tc>
              <w:tc>
                <w:tcPr>
                  <w:tcW w:w="861" w:type="dxa"/>
                  <w:noWrap w:val="0"/>
                  <w:vAlign w:val="center"/>
                </w:tcPr>
                <w:p w14:paraId="7637CD0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0BD7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64645CE">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5757DC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硝基苯</w:t>
                  </w:r>
                </w:p>
              </w:tc>
              <w:tc>
                <w:tcPr>
                  <w:tcW w:w="1061" w:type="dxa"/>
                  <w:noWrap w:val="0"/>
                  <w:vAlign w:val="center"/>
                </w:tcPr>
                <w:p w14:paraId="0980FC6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275B922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441BA27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28D4299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25F507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76</w:t>
                  </w:r>
                </w:p>
              </w:tc>
              <w:tc>
                <w:tcPr>
                  <w:tcW w:w="861" w:type="dxa"/>
                  <w:noWrap w:val="0"/>
                  <w:vAlign w:val="center"/>
                </w:tcPr>
                <w:p w14:paraId="1969BCA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537F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B07BFA2">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48429E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苯胺</w:t>
                  </w:r>
                </w:p>
              </w:tc>
              <w:tc>
                <w:tcPr>
                  <w:tcW w:w="1061" w:type="dxa"/>
                  <w:noWrap w:val="0"/>
                  <w:vAlign w:val="center"/>
                </w:tcPr>
                <w:p w14:paraId="06CF497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1F2475D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98C937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388683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065A080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260</w:t>
                  </w:r>
                </w:p>
              </w:tc>
              <w:tc>
                <w:tcPr>
                  <w:tcW w:w="861" w:type="dxa"/>
                  <w:noWrap w:val="0"/>
                  <w:vAlign w:val="center"/>
                </w:tcPr>
                <w:p w14:paraId="77A32E9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757A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74D2236D">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4E0FFA86">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2-氯酚</w:t>
                  </w:r>
                </w:p>
              </w:tc>
              <w:tc>
                <w:tcPr>
                  <w:tcW w:w="1061" w:type="dxa"/>
                  <w:noWrap w:val="0"/>
                  <w:vAlign w:val="center"/>
                </w:tcPr>
                <w:p w14:paraId="5ACD874D">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0AD30E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609F992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27724A6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6909488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2256</w:t>
                  </w:r>
                </w:p>
              </w:tc>
              <w:tc>
                <w:tcPr>
                  <w:tcW w:w="861" w:type="dxa"/>
                  <w:noWrap w:val="0"/>
                  <w:vAlign w:val="center"/>
                </w:tcPr>
                <w:p w14:paraId="27EA2F3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1D47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28933C9">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80BBBB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苯并[a]</w:t>
                  </w:r>
                </w:p>
              </w:tc>
              <w:tc>
                <w:tcPr>
                  <w:tcW w:w="1061" w:type="dxa"/>
                  <w:noWrap w:val="0"/>
                  <w:vAlign w:val="center"/>
                </w:tcPr>
                <w:p w14:paraId="03DAB5E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2FF27F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6E0C7B4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142903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366703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w:t>
                  </w:r>
                </w:p>
              </w:tc>
              <w:tc>
                <w:tcPr>
                  <w:tcW w:w="861" w:type="dxa"/>
                  <w:noWrap w:val="0"/>
                  <w:vAlign w:val="center"/>
                </w:tcPr>
                <w:p w14:paraId="17E4A6B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4CD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12957C43">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F64FCA2">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苯并[a]芘</w:t>
                  </w:r>
                </w:p>
              </w:tc>
              <w:tc>
                <w:tcPr>
                  <w:tcW w:w="1061" w:type="dxa"/>
                  <w:noWrap w:val="0"/>
                  <w:vAlign w:val="center"/>
                </w:tcPr>
                <w:p w14:paraId="6AD5C38C">
                  <w:pPr>
                    <w:keepNext w:val="0"/>
                    <w:keepLines w:val="0"/>
                    <w:pageBreakBefore w:val="0"/>
                    <w:widowControl/>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w w:val="80"/>
                      <w:sz w:val="22"/>
                      <w:highlight w:val="none"/>
                    </w:rPr>
                  </w:pPr>
                  <w:r>
                    <w:rPr>
                      <w:rFonts w:hint="eastAsia"/>
                      <w:color w:val="auto"/>
                      <w:sz w:val="22"/>
                      <w:highlight w:val="none"/>
                      <w:lang w:val="en-US" w:eastAsia="zh-CN"/>
                    </w:rPr>
                    <w:t>ND</w:t>
                  </w:r>
                </w:p>
              </w:tc>
              <w:tc>
                <w:tcPr>
                  <w:tcW w:w="836" w:type="dxa"/>
                  <w:noWrap w:val="0"/>
                  <w:vAlign w:val="center"/>
                </w:tcPr>
                <w:p w14:paraId="188AC29E">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245DD83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5888BD0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C78C78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w:t>
                  </w:r>
                </w:p>
              </w:tc>
              <w:tc>
                <w:tcPr>
                  <w:tcW w:w="861" w:type="dxa"/>
                  <w:noWrap w:val="0"/>
                  <w:vAlign w:val="center"/>
                </w:tcPr>
                <w:p w14:paraId="4D3468D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3A2C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4A545640">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10A401D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苯并[b]荧蒽</w:t>
                  </w:r>
                </w:p>
              </w:tc>
              <w:tc>
                <w:tcPr>
                  <w:tcW w:w="1061" w:type="dxa"/>
                  <w:noWrap w:val="0"/>
                  <w:vAlign w:val="center"/>
                </w:tcPr>
                <w:p w14:paraId="4112C6F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470318F7">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66F062C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31DE865C">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D9F241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w:t>
                  </w:r>
                </w:p>
              </w:tc>
              <w:tc>
                <w:tcPr>
                  <w:tcW w:w="861" w:type="dxa"/>
                  <w:noWrap w:val="0"/>
                  <w:vAlign w:val="center"/>
                </w:tcPr>
                <w:p w14:paraId="521E628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1F3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C58F0D3">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7126518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苯并[k]荧蒽</w:t>
                  </w:r>
                </w:p>
              </w:tc>
              <w:tc>
                <w:tcPr>
                  <w:tcW w:w="1061" w:type="dxa"/>
                  <w:noWrap w:val="0"/>
                  <w:vAlign w:val="center"/>
                </w:tcPr>
                <w:p w14:paraId="14CC8AC1">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1A823B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5E5B0ED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7C6208E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E7368E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151</w:t>
                  </w:r>
                </w:p>
              </w:tc>
              <w:tc>
                <w:tcPr>
                  <w:tcW w:w="861" w:type="dxa"/>
                  <w:noWrap w:val="0"/>
                  <w:vAlign w:val="center"/>
                </w:tcPr>
                <w:p w14:paraId="3667A9C0">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3854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F132702">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622A78F4">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䓛</w:t>
                  </w:r>
                </w:p>
              </w:tc>
              <w:tc>
                <w:tcPr>
                  <w:tcW w:w="1061" w:type="dxa"/>
                  <w:noWrap w:val="0"/>
                  <w:vAlign w:val="center"/>
                </w:tcPr>
                <w:p w14:paraId="205EBB03">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585D25F8">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B84E56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4B7B3D3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4DBFD9D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1293</w:t>
                  </w:r>
                </w:p>
              </w:tc>
              <w:tc>
                <w:tcPr>
                  <w:tcW w:w="861" w:type="dxa"/>
                  <w:noWrap w:val="0"/>
                  <w:vAlign w:val="center"/>
                </w:tcPr>
                <w:p w14:paraId="023FAFAA">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22B9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3DAA348D">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57E02D7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二苯并[a, h]蒽</w:t>
                  </w:r>
                </w:p>
              </w:tc>
              <w:tc>
                <w:tcPr>
                  <w:tcW w:w="1061" w:type="dxa"/>
                  <w:noWrap w:val="0"/>
                  <w:vAlign w:val="center"/>
                </w:tcPr>
                <w:p w14:paraId="0A9E1BEA">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37B4F889">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2EE9DBA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EF2C450">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3C978B8B">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w:t>
                  </w:r>
                </w:p>
              </w:tc>
              <w:tc>
                <w:tcPr>
                  <w:tcW w:w="861" w:type="dxa"/>
                  <w:noWrap w:val="0"/>
                  <w:vAlign w:val="center"/>
                </w:tcPr>
                <w:p w14:paraId="34F089F9">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642B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0EB50CD0">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37A63533">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茚并[1,2,3-cd]芘</w:t>
                  </w:r>
                </w:p>
              </w:tc>
              <w:tc>
                <w:tcPr>
                  <w:tcW w:w="1061" w:type="dxa"/>
                  <w:noWrap w:val="0"/>
                  <w:vAlign w:val="center"/>
                </w:tcPr>
                <w:p w14:paraId="4E84570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7D4B51C4">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3AE0611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1F42F40F">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761F8607">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15</w:t>
                  </w:r>
                </w:p>
              </w:tc>
              <w:tc>
                <w:tcPr>
                  <w:tcW w:w="861" w:type="dxa"/>
                  <w:noWrap w:val="0"/>
                  <w:vAlign w:val="center"/>
                </w:tcPr>
                <w:p w14:paraId="47973A6D">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r w14:paraId="3991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noWrap w:val="0"/>
                  <w:vAlign w:val="center"/>
                </w:tcPr>
                <w:p w14:paraId="1505A5D6">
                  <w:pPr>
                    <w:keepNext w:val="0"/>
                    <w:keepLines w:val="0"/>
                    <w:pageBreakBefore w:val="0"/>
                    <w:numPr>
                      <w:ilvl w:val="0"/>
                      <w:numId w:val="1"/>
                    </w:numPr>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lang w:val="zh-CN"/>
                    </w:rPr>
                  </w:pPr>
                </w:p>
              </w:tc>
              <w:tc>
                <w:tcPr>
                  <w:tcW w:w="1760" w:type="dxa"/>
                  <w:noWrap w:val="0"/>
                  <w:vAlign w:val="center"/>
                </w:tcPr>
                <w:p w14:paraId="3422DA35">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萘</w:t>
                  </w:r>
                </w:p>
              </w:tc>
              <w:tc>
                <w:tcPr>
                  <w:tcW w:w="1061" w:type="dxa"/>
                  <w:noWrap w:val="0"/>
                  <w:vAlign w:val="center"/>
                </w:tcPr>
                <w:p w14:paraId="772CF46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836" w:type="dxa"/>
                  <w:noWrap w:val="0"/>
                  <w:vAlign w:val="center"/>
                </w:tcPr>
                <w:p w14:paraId="0FF9E502">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723" w:type="dxa"/>
                  <w:noWrap w:val="0"/>
                  <w:vAlign w:val="center"/>
                </w:tcPr>
                <w:p w14:paraId="731EDFCB">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947" w:type="dxa"/>
                  <w:noWrap w:val="0"/>
                  <w:vAlign w:val="center"/>
                </w:tcPr>
                <w:p w14:paraId="371654B5">
                  <w:pPr>
                    <w:keepNext w:val="0"/>
                    <w:keepLines w:val="0"/>
                    <w:pageBreakBefore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olor w:val="auto"/>
                      <w:sz w:val="22"/>
                      <w:highlight w:val="none"/>
                    </w:rPr>
                  </w:pPr>
                  <w:r>
                    <w:rPr>
                      <w:rFonts w:hint="eastAsia"/>
                      <w:color w:val="auto"/>
                      <w:sz w:val="22"/>
                      <w:highlight w:val="none"/>
                      <w:lang w:val="en-US" w:eastAsia="zh-CN"/>
                    </w:rPr>
                    <w:t>ND</w:t>
                  </w:r>
                </w:p>
              </w:tc>
              <w:tc>
                <w:tcPr>
                  <w:tcW w:w="1559" w:type="dxa"/>
                  <w:noWrap w:val="0"/>
                  <w:vAlign w:val="center"/>
                </w:tcPr>
                <w:p w14:paraId="666CAB4C">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rPr>
                    <w:t>70</w:t>
                  </w:r>
                </w:p>
              </w:tc>
              <w:tc>
                <w:tcPr>
                  <w:tcW w:w="861" w:type="dxa"/>
                  <w:noWrap w:val="0"/>
                  <w:vAlign w:val="center"/>
                </w:tcPr>
                <w:p w14:paraId="3F15E0A1">
                  <w:pPr>
                    <w:keepNext w:val="0"/>
                    <w:keepLines w:val="0"/>
                    <w:pageBreakBefore w:val="0"/>
                    <w:kinsoku/>
                    <w:wordWrap/>
                    <w:overflowPunct/>
                    <w:topLinePunct w:val="0"/>
                    <w:autoSpaceDE/>
                    <w:autoSpaceDN/>
                    <w:bidi w:val="0"/>
                    <w:adjustRightInd/>
                    <w:snapToGrid/>
                    <w:spacing w:line="320" w:lineRule="exact"/>
                    <w:ind w:left="0" w:firstLine="0" w:firstLineChars="0"/>
                    <w:jc w:val="center"/>
                    <w:textAlignment w:val="auto"/>
                    <w:rPr>
                      <w:rFonts w:ascii="Times New Roman" w:hAnsi="Times New Roman"/>
                      <w:color w:val="auto"/>
                      <w:sz w:val="22"/>
                      <w:highlight w:val="none"/>
                    </w:rPr>
                  </w:pPr>
                  <w:r>
                    <w:rPr>
                      <w:rFonts w:ascii="Times New Roman" w:hAnsi="Times New Roman"/>
                      <w:color w:val="auto"/>
                      <w:sz w:val="22"/>
                      <w:highlight w:val="none"/>
                      <w:lang w:val="zh-CN"/>
                    </w:rPr>
                    <w:t>达标</w:t>
                  </w:r>
                </w:p>
              </w:tc>
            </w:tr>
          </w:tbl>
          <w:p w14:paraId="5E04C153">
            <w:pPr>
              <w:spacing w:line="480" w:lineRule="exact"/>
              <w:ind w:firstLine="520" w:firstLineChars="200"/>
              <w:rPr>
                <w:rFonts w:ascii="Times New Roman" w:hAnsi="Times New Roman"/>
                <w:color w:val="auto"/>
                <w:kern w:val="0"/>
                <w:sz w:val="26"/>
                <w:szCs w:val="26"/>
                <w:highlight w:val="none"/>
                <w:lang w:val="zh-CN"/>
              </w:rPr>
            </w:pPr>
            <w:r>
              <w:rPr>
                <w:rFonts w:ascii="Times New Roman" w:hAnsi="Times New Roman"/>
                <w:color w:val="auto"/>
                <w:kern w:val="0"/>
                <w:sz w:val="26"/>
                <w:szCs w:val="26"/>
                <w:highlight w:val="none"/>
                <w:lang w:val="zh-CN"/>
              </w:rPr>
              <w:t>本项目场地内土壤属于建用地，根据上述监测结果表明，各监测点位均能满足《土壤环境质量 建设用地土壤污染风险管控标准（试行）》（GB36600-2018）第二类用地筛选值标准。</w:t>
            </w:r>
          </w:p>
          <w:p w14:paraId="25FA9EB2">
            <w:pPr>
              <w:adjustRightInd w:val="0"/>
              <w:snapToGrid w:val="0"/>
              <w:ind w:firstLine="522"/>
              <w:rPr>
                <w:rFonts w:ascii="Times New Roman" w:hAnsi="Times New Roman"/>
                <w:b/>
                <w:color w:val="auto"/>
                <w:highlight w:val="none"/>
              </w:rPr>
            </w:pPr>
            <w:r>
              <w:rPr>
                <w:rFonts w:ascii="Times New Roman" w:hAnsi="Times New Roman"/>
                <w:b/>
                <w:color w:val="auto"/>
                <w:highlight w:val="none"/>
              </w:rPr>
              <w:t>4、生态环境质量现状</w:t>
            </w:r>
          </w:p>
          <w:p w14:paraId="6EC2ED5D">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highlight w:val="none"/>
              </w:rPr>
            </w:pPr>
            <w:r>
              <w:rPr>
                <w:rFonts w:hint="eastAsia" w:ascii="Times New Roman" w:hAnsi="Times New Roman"/>
                <w:color w:val="auto"/>
                <w:highlight w:val="none"/>
              </w:rPr>
              <w:t>根据现场调查，</w:t>
            </w:r>
            <w:r>
              <w:rPr>
                <w:rFonts w:hint="eastAsia"/>
                <w:color w:val="auto"/>
                <w:highlight w:val="none"/>
                <w:lang w:val="en-US" w:eastAsia="zh-CN"/>
              </w:rPr>
              <w:t>本项目</w:t>
            </w:r>
            <w:r>
              <w:rPr>
                <w:rFonts w:hint="eastAsia" w:ascii="Times New Roman" w:hAnsi="Times New Roman"/>
                <w:color w:val="auto"/>
                <w:highlight w:val="none"/>
              </w:rPr>
              <w:t>周边为村庄居民区</w:t>
            </w:r>
            <w:r>
              <w:rPr>
                <w:rFonts w:hint="eastAsia"/>
                <w:color w:val="auto"/>
                <w:highlight w:val="none"/>
                <w:lang w:val="en-US" w:eastAsia="zh-CN"/>
              </w:rPr>
              <w:t>距离较远</w:t>
            </w:r>
            <w:r>
              <w:rPr>
                <w:rFonts w:hint="eastAsia" w:ascii="Times New Roman" w:hAnsi="Times New Roman"/>
                <w:color w:val="auto"/>
                <w:highlight w:val="none"/>
              </w:rPr>
              <w:t>，</w:t>
            </w:r>
            <w:r>
              <w:rPr>
                <w:rFonts w:hint="eastAsia" w:cstheme="minorBidi"/>
                <w:color w:val="auto"/>
                <w:kern w:val="0"/>
                <w:sz w:val="26"/>
                <w:szCs w:val="26"/>
                <w:highlight w:val="none"/>
                <w:lang w:val="en-US" w:eastAsia="zh-CN" w:bidi="ar-SA"/>
              </w:rPr>
              <w:t>本项目区位于</w:t>
            </w:r>
            <w:r>
              <w:rPr>
                <w:rFonts w:hint="eastAsia" w:ascii="Times New Roman" w:hAnsi="Times New Roman" w:eastAsia="宋体" w:cstheme="minorBidi"/>
                <w:color w:val="auto"/>
                <w:kern w:val="0"/>
                <w:sz w:val="26"/>
                <w:szCs w:val="26"/>
                <w:highlight w:val="none"/>
                <w:lang w:val="zh-CN" w:eastAsia="zh-CN" w:bidi="ar-SA"/>
              </w:rPr>
              <w:t>海拔1600米以下的金沙江、小江河谷地区燥热河谷植被带，降水不足，植物群落的代表类型为稀树草丛</w:t>
            </w:r>
            <w:r>
              <w:rPr>
                <w:rFonts w:hint="eastAsia" w:cstheme="minorBidi"/>
                <w:color w:val="auto"/>
                <w:kern w:val="0"/>
                <w:sz w:val="26"/>
                <w:szCs w:val="26"/>
                <w:highlight w:val="none"/>
                <w:lang w:val="zh-CN" w:eastAsia="zh-CN" w:bidi="ar-SA"/>
              </w:rPr>
              <w:t>；</w:t>
            </w:r>
            <w:r>
              <w:rPr>
                <w:rFonts w:ascii="Times New Roman" w:hAnsi="Times New Roman"/>
                <w:color w:val="auto"/>
                <w:highlight w:val="none"/>
              </w:rPr>
              <w:t>本工程</w:t>
            </w:r>
            <w:r>
              <w:rPr>
                <w:rFonts w:hint="eastAsia" w:ascii="Times New Roman" w:hAnsi="Times New Roman"/>
                <w:color w:val="auto"/>
                <w:highlight w:val="none"/>
              </w:rPr>
              <w:t>占用土地主要</w:t>
            </w:r>
            <w:r>
              <w:rPr>
                <w:rFonts w:hint="eastAsia"/>
                <w:color w:val="auto"/>
                <w:highlight w:val="none"/>
                <w:lang w:val="en-US" w:eastAsia="zh-CN"/>
              </w:rPr>
              <w:t>为荒山荒坡，植被覆盖极少，</w:t>
            </w:r>
            <w:r>
              <w:rPr>
                <w:rFonts w:hint="eastAsia" w:ascii="Times New Roman" w:hAnsi="Times New Roman"/>
                <w:color w:val="auto"/>
                <w:highlight w:val="none"/>
              </w:rPr>
              <w:t>项目区目前大多为空地，未栽种植被，长有多种杂草，如鬼针草、紫茎泽兰、假酸浆、扭黄茅、狗尾草、牵牛花等。动物种类主要为少量鸟类及啮齿类动物等区域常见的广布种，无国家珍稀濒危保护物种、国家重点保护野生植物和云南省级重点保护动物，也没有发现特有种类存在，生物物种较少，生物多样性不高。项目建设区域内不涉及各类生态环境敏感区。</w:t>
            </w:r>
          </w:p>
          <w:p w14:paraId="1789681A">
            <w:pPr>
              <w:adjustRightInd w:val="0"/>
              <w:snapToGrid w:val="0"/>
              <w:ind w:firstLine="522"/>
              <w:rPr>
                <w:rFonts w:ascii="Times New Roman" w:hAnsi="Times New Roman"/>
                <w:b/>
                <w:color w:val="auto"/>
                <w:highlight w:val="none"/>
              </w:rPr>
            </w:pPr>
            <w:r>
              <w:rPr>
                <w:rFonts w:ascii="Times New Roman" w:hAnsi="Times New Roman"/>
                <w:b/>
                <w:color w:val="auto"/>
                <w:highlight w:val="none"/>
              </w:rPr>
              <w:t>5、主要环境保护目标</w:t>
            </w:r>
          </w:p>
          <w:p w14:paraId="22F1CACF">
            <w:pPr>
              <w:ind w:firstLine="520"/>
              <w:rPr>
                <w:rFonts w:ascii="Times New Roman" w:hAnsi="Times New Roman"/>
                <w:color w:val="auto"/>
                <w:highlight w:val="none"/>
              </w:rPr>
            </w:pPr>
            <w:r>
              <w:rPr>
                <w:rFonts w:hint="eastAsia" w:ascii="Times New Roman" w:hAnsi="Times New Roman"/>
                <w:color w:val="auto"/>
                <w:highlight w:val="none"/>
              </w:rPr>
              <w:t>根据现场踏勘和环境现状调查，确定本项目的主要环境保护目标为附近居民。根据项目特征及所在地的环境功能，项目周边环境保护目标具体位置见附图</w:t>
            </w:r>
            <w:r>
              <w:rPr>
                <w:rFonts w:hint="eastAsia"/>
                <w:color w:val="auto"/>
                <w:highlight w:val="none"/>
                <w:lang w:val="en-US" w:eastAsia="zh-CN"/>
              </w:rPr>
              <w:t>6</w:t>
            </w:r>
            <w:r>
              <w:rPr>
                <w:rFonts w:hint="eastAsia" w:ascii="Times New Roman" w:hAnsi="Times New Roman"/>
                <w:color w:val="auto"/>
                <w:highlight w:val="none"/>
              </w:rPr>
              <w:t>。项目区周边</w:t>
            </w:r>
            <w:r>
              <w:rPr>
                <w:rFonts w:hint="eastAsia"/>
                <w:color w:val="auto"/>
                <w:highlight w:val="none"/>
                <w:lang w:val="en-US" w:eastAsia="zh-CN"/>
              </w:rPr>
              <w:t>大气</w:t>
            </w:r>
            <w:r>
              <w:rPr>
                <w:rFonts w:hint="eastAsia" w:ascii="Times New Roman" w:hAnsi="Times New Roman"/>
                <w:color w:val="auto"/>
                <w:highlight w:val="none"/>
              </w:rPr>
              <w:t>环境主要保护目标见下表：</w:t>
            </w:r>
          </w:p>
          <w:p w14:paraId="26B6F50A">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表3-</w:t>
            </w:r>
            <w:r>
              <w:rPr>
                <w:rFonts w:hint="eastAsia" w:ascii="Times New Roman" w:hAnsi="Times New Roman" w:eastAsia="宋体" w:cs="Times New Roman"/>
                <w:b/>
                <w:bCs/>
                <w:color w:val="auto"/>
                <w:sz w:val="21"/>
                <w:szCs w:val="21"/>
                <w:highlight w:val="none"/>
              </w:rPr>
              <w:t>5</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大气</w:t>
            </w:r>
            <w:r>
              <w:rPr>
                <w:rFonts w:ascii="Times New Roman" w:hAnsi="Times New Roman" w:eastAsia="宋体" w:cs="Times New Roman"/>
                <w:b/>
                <w:bCs/>
                <w:color w:val="auto"/>
                <w:sz w:val="21"/>
                <w:szCs w:val="21"/>
                <w:highlight w:val="none"/>
              </w:rPr>
              <w:t>环境保护目标一览表</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36"/>
              <w:gridCol w:w="1481"/>
              <w:gridCol w:w="1371"/>
              <w:gridCol w:w="558"/>
              <w:gridCol w:w="1622"/>
              <w:gridCol w:w="1555"/>
              <w:gridCol w:w="829"/>
            </w:tblGrid>
            <w:tr w14:paraId="1B7F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1" w:type="pct"/>
                  <w:vMerge w:val="restart"/>
                  <w:noWrap w:val="0"/>
                  <w:vAlign w:val="center"/>
                </w:tcPr>
                <w:p w14:paraId="0515F91B">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类别</w:t>
                  </w:r>
                </w:p>
              </w:tc>
              <w:tc>
                <w:tcPr>
                  <w:tcW w:w="343" w:type="pct"/>
                  <w:vMerge w:val="restart"/>
                  <w:noWrap w:val="0"/>
                  <w:vAlign w:val="center"/>
                </w:tcPr>
                <w:p w14:paraId="20316064">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保护目标名称</w:t>
                  </w:r>
                </w:p>
              </w:tc>
              <w:tc>
                <w:tcPr>
                  <w:tcW w:w="1768" w:type="pct"/>
                  <w:gridSpan w:val="2"/>
                  <w:noWrap w:val="0"/>
                  <w:vAlign w:val="center"/>
                </w:tcPr>
                <w:p w14:paraId="4879E7B8">
                  <w:pPr>
                    <w:spacing w:line="320" w:lineRule="exact"/>
                    <w:ind w:firstLine="0" w:firstLineChars="0"/>
                    <w:jc w:val="center"/>
                    <w:rPr>
                      <w:rFonts w:ascii="Times New Roman" w:hAnsi="Times New Roman"/>
                      <w:color w:val="auto"/>
                      <w:sz w:val="22"/>
                      <w:szCs w:val="22"/>
                      <w:highlight w:val="none"/>
                    </w:rPr>
                  </w:pPr>
                </w:p>
                <w:p w14:paraId="6043C294">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坐标</w:t>
                  </w:r>
                </w:p>
              </w:tc>
              <w:tc>
                <w:tcPr>
                  <w:tcW w:w="596" w:type="pct"/>
                  <w:vMerge w:val="restart"/>
                  <w:noWrap w:val="0"/>
                  <w:vAlign w:val="center"/>
                </w:tcPr>
                <w:p w14:paraId="6D32E947">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保护内容</w:t>
                  </w:r>
                </w:p>
              </w:tc>
              <w:tc>
                <w:tcPr>
                  <w:tcW w:w="462" w:type="pct"/>
                  <w:vMerge w:val="restart"/>
                  <w:noWrap w:val="0"/>
                  <w:vAlign w:val="center"/>
                </w:tcPr>
                <w:p w14:paraId="66D24036">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环境功能区</w:t>
                  </w:r>
                </w:p>
              </w:tc>
              <w:tc>
                <w:tcPr>
                  <w:tcW w:w="1067" w:type="pct"/>
                  <w:vMerge w:val="restart"/>
                  <w:noWrap w:val="0"/>
                  <w:vAlign w:val="center"/>
                </w:tcPr>
                <w:p w14:paraId="30577ED5">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相对</w:t>
                  </w:r>
                  <w:r>
                    <w:rPr>
                      <w:rFonts w:hint="eastAsia"/>
                      <w:color w:val="auto"/>
                      <w:sz w:val="22"/>
                      <w:szCs w:val="22"/>
                      <w:highlight w:val="none"/>
                      <w:lang w:val="en-US" w:eastAsia="zh-CN"/>
                    </w:rPr>
                    <w:t>1号场地</w:t>
                  </w:r>
                  <w:r>
                    <w:rPr>
                      <w:rFonts w:hint="eastAsia" w:ascii="Times New Roman" w:hAnsi="Times New Roman"/>
                      <w:color w:val="auto"/>
                      <w:sz w:val="22"/>
                      <w:szCs w:val="22"/>
                      <w:highlight w:val="none"/>
                    </w:rPr>
                    <w:t>位置</w:t>
                  </w:r>
                </w:p>
              </w:tc>
              <w:tc>
                <w:tcPr>
                  <w:tcW w:w="499" w:type="pct"/>
                  <w:vMerge w:val="restart"/>
                  <w:noWrap w:val="0"/>
                  <w:vAlign w:val="center"/>
                </w:tcPr>
                <w:p w14:paraId="3F90ACF3">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距离（m）</w:t>
                  </w:r>
                </w:p>
              </w:tc>
            </w:tr>
            <w:tr w14:paraId="1AC3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261" w:type="pct"/>
                  <w:vMerge w:val="continue"/>
                  <w:noWrap w:val="0"/>
                  <w:vAlign w:val="center"/>
                </w:tcPr>
                <w:p w14:paraId="69E868DD">
                  <w:pPr>
                    <w:spacing w:line="320" w:lineRule="exact"/>
                    <w:ind w:firstLine="0" w:firstLineChars="0"/>
                    <w:jc w:val="center"/>
                    <w:rPr>
                      <w:rFonts w:ascii="Times New Roman" w:hAnsi="Times New Roman"/>
                      <w:color w:val="auto"/>
                      <w:sz w:val="22"/>
                      <w:szCs w:val="22"/>
                      <w:highlight w:val="none"/>
                    </w:rPr>
                  </w:pPr>
                </w:p>
              </w:tc>
              <w:tc>
                <w:tcPr>
                  <w:tcW w:w="343" w:type="pct"/>
                  <w:vMerge w:val="continue"/>
                  <w:noWrap w:val="0"/>
                  <w:vAlign w:val="center"/>
                </w:tcPr>
                <w:p w14:paraId="78866199">
                  <w:pPr>
                    <w:spacing w:line="320" w:lineRule="exact"/>
                    <w:ind w:firstLine="0" w:firstLineChars="0"/>
                    <w:jc w:val="center"/>
                    <w:rPr>
                      <w:rFonts w:ascii="Times New Roman" w:hAnsi="Times New Roman"/>
                      <w:color w:val="auto"/>
                      <w:sz w:val="22"/>
                      <w:szCs w:val="22"/>
                      <w:highlight w:val="none"/>
                    </w:rPr>
                  </w:pPr>
                </w:p>
              </w:tc>
              <w:tc>
                <w:tcPr>
                  <w:tcW w:w="893" w:type="pct"/>
                  <w:noWrap w:val="0"/>
                  <w:vAlign w:val="center"/>
                </w:tcPr>
                <w:p w14:paraId="2ED9DA1E">
                  <w:pPr>
                    <w:spacing w:line="320" w:lineRule="exact"/>
                    <w:ind w:firstLine="0" w:firstLineChars="0"/>
                    <w:jc w:val="center"/>
                    <w:rPr>
                      <w:rFonts w:hint="eastAsia" w:ascii="Times New Roman" w:hAnsi="Times New Roman" w:eastAsia="宋体"/>
                      <w:color w:val="auto"/>
                      <w:sz w:val="22"/>
                      <w:szCs w:val="22"/>
                      <w:highlight w:val="none"/>
                      <w:lang w:eastAsia="zh-CN"/>
                    </w:rPr>
                  </w:pPr>
                  <w:r>
                    <w:rPr>
                      <w:rFonts w:hint="eastAsia"/>
                      <w:color w:val="auto"/>
                      <w:sz w:val="22"/>
                      <w:szCs w:val="22"/>
                      <w:highlight w:val="none"/>
                      <w:lang w:val="en-US" w:eastAsia="zh-CN"/>
                    </w:rPr>
                    <w:t>东经</w:t>
                  </w:r>
                </w:p>
              </w:tc>
              <w:tc>
                <w:tcPr>
                  <w:tcW w:w="874" w:type="pct"/>
                  <w:noWrap w:val="0"/>
                  <w:vAlign w:val="center"/>
                </w:tcPr>
                <w:p w14:paraId="65C887B6">
                  <w:pPr>
                    <w:spacing w:line="320" w:lineRule="exact"/>
                    <w:ind w:firstLine="0" w:firstLineChars="0"/>
                    <w:jc w:val="center"/>
                    <w:rPr>
                      <w:rFonts w:hint="eastAsia" w:ascii="Times New Roman" w:hAnsi="Times New Roman" w:eastAsia="宋体"/>
                      <w:color w:val="auto"/>
                      <w:sz w:val="22"/>
                      <w:szCs w:val="22"/>
                      <w:highlight w:val="none"/>
                      <w:lang w:eastAsia="zh-CN"/>
                    </w:rPr>
                  </w:pPr>
                  <w:r>
                    <w:rPr>
                      <w:rFonts w:hint="eastAsia"/>
                      <w:color w:val="auto"/>
                      <w:sz w:val="22"/>
                      <w:szCs w:val="22"/>
                      <w:highlight w:val="none"/>
                      <w:lang w:val="en-US" w:eastAsia="zh-CN"/>
                    </w:rPr>
                    <w:t>北纬</w:t>
                  </w:r>
                </w:p>
              </w:tc>
              <w:tc>
                <w:tcPr>
                  <w:tcW w:w="596" w:type="pct"/>
                  <w:vMerge w:val="continue"/>
                  <w:noWrap w:val="0"/>
                  <w:vAlign w:val="center"/>
                </w:tcPr>
                <w:p w14:paraId="4FDD928D">
                  <w:pPr>
                    <w:spacing w:line="320" w:lineRule="exact"/>
                    <w:ind w:firstLine="0" w:firstLineChars="0"/>
                    <w:jc w:val="center"/>
                    <w:rPr>
                      <w:rFonts w:ascii="Times New Roman" w:hAnsi="Times New Roman"/>
                      <w:color w:val="auto"/>
                      <w:sz w:val="22"/>
                      <w:szCs w:val="22"/>
                      <w:highlight w:val="none"/>
                    </w:rPr>
                  </w:pPr>
                </w:p>
              </w:tc>
              <w:tc>
                <w:tcPr>
                  <w:tcW w:w="462" w:type="pct"/>
                  <w:vMerge w:val="continue"/>
                  <w:noWrap w:val="0"/>
                  <w:vAlign w:val="center"/>
                </w:tcPr>
                <w:p w14:paraId="002601E3">
                  <w:pPr>
                    <w:spacing w:line="320" w:lineRule="exact"/>
                    <w:ind w:firstLine="0" w:firstLineChars="0"/>
                    <w:jc w:val="center"/>
                    <w:rPr>
                      <w:rFonts w:ascii="Times New Roman" w:hAnsi="Times New Roman"/>
                      <w:color w:val="auto"/>
                      <w:sz w:val="22"/>
                      <w:szCs w:val="22"/>
                      <w:highlight w:val="none"/>
                    </w:rPr>
                  </w:pPr>
                </w:p>
              </w:tc>
              <w:tc>
                <w:tcPr>
                  <w:tcW w:w="1067" w:type="pct"/>
                  <w:vMerge w:val="continue"/>
                  <w:noWrap w:val="0"/>
                  <w:vAlign w:val="center"/>
                </w:tcPr>
                <w:p w14:paraId="58CBA825">
                  <w:pPr>
                    <w:spacing w:line="320" w:lineRule="exact"/>
                    <w:ind w:firstLine="0" w:firstLineChars="0"/>
                    <w:jc w:val="center"/>
                    <w:rPr>
                      <w:rFonts w:ascii="Times New Roman" w:hAnsi="Times New Roman"/>
                      <w:color w:val="auto"/>
                      <w:sz w:val="22"/>
                      <w:szCs w:val="22"/>
                      <w:highlight w:val="none"/>
                    </w:rPr>
                  </w:pPr>
                </w:p>
              </w:tc>
              <w:tc>
                <w:tcPr>
                  <w:tcW w:w="499" w:type="pct"/>
                  <w:vMerge w:val="continue"/>
                  <w:noWrap w:val="0"/>
                  <w:vAlign w:val="center"/>
                </w:tcPr>
                <w:p w14:paraId="1B23908E">
                  <w:pPr>
                    <w:spacing w:line="320" w:lineRule="exact"/>
                    <w:ind w:firstLine="0" w:firstLineChars="0"/>
                    <w:jc w:val="center"/>
                    <w:rPr>
                      <w:rFonts w:ascii="Times New Roman" w:hAnsi="Times New Roman"/>
                      <w:color w:val="auto"/>
                      <w:sz w:val="22"/>
                      <w:szCs w:val="22"/>
                      <w:highlight w:val="none"/>
                    </w:rPr>
                  </w:pPr>
                </w:p>
              </w:tc>
            </w:tr>
            <w:tr w14:paraId="4EF0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61" w:type="pct"/>
                  <w:vMerge w:val="restart"/>
                  <w:noWrap w:val="0"/>
                  <w:vAlign w:val="center"/>
                </w:tcPr>
                <w:p w14:paraId="3999A115">
                  <w:pPr>
                    <w:spacing w:line="320" w:lineRule="exact"/>
                    <w:ind w:firstLine="0" w:firstLineChars="0"/>
                    <w:jc w:val="center"/>
                    <w:rPr>
                      <w:rFonts w:ascii="Times New Roman" w:hAnsi="Times New Roman"/>
                      <w:color w:val="auto"/>
                      <w:sz w:val="22"/>
                      <w:szCs w:val="22"/>
                      <w:highlight w:val="none"/>
                    </w:rPr>
                  </w:pPr>
                </w:p>
                <w:p w14:paraId="07757A29">
                  <w:pPr>
                    <w:spacing w:line="320" w:lineRule="exact"/>
                    <w:ind w:firstLine="0" w:firstLineChars="0"/>
                    <w:jc w:val="center"/>
                    <w:rPr>
                      <w:rFonts w:ascii="Times New Roman" w:hAnsi="Times New Roman"/>
                      <w:color w:val="auto"/>
                      <w:sz w:val="22"/>
                      <w:szCs w:val="22"/>
                      <w:highlight w:val="none"/>
                    </w:rPr>
                  </w:pPr>
                </w:p>
                <w:p w14:paraId="085ADA7E">
                  <w:pPr>
                    <w:spacing w:line="320" w:lineRule="exact"/>
                    <w:ind w:firstLine="0" w:firstLineChars="0"/>
                    <w:jc w:val="center"/>
                    <w:rPr>
                      <w:rFonts w:ascii="Times New Roman" w:hAnsi="Times New Roman"/>
                      <w:color w:val="auto"/>
                      <w:sz w:val="22"/>
                      <w:szCs w:val="22"/>
                      <w:highlight w:val="none"/>
                    </w:rPr>
                  </w:pPr>
                </w:p>
                <w:p w14:paraId="611CEF53">
                  <w:pPr>
                    <w:spacing w:line="320" w:lineRule="exact"/>
                    <w:ind w:firstLine="0" w:firstLineChars="0"/>
                    <w:jc w:val="center"/>
                    <w:rPr>
                      <w:rFonts w:ascii="Times New Roman" w:hAnsi="Times New Roman"/>
                      <w:color w:val="auto"/>
                      <w:sz w:val="22"/>
                      <w:szCs w:val="22"/>
                      <w:highlight w:val="none"/>
                    </w:rPr>
                  </w:pPr>
                </w:p>
                <w:p w14:paraId="45AF483D">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大气</w:t>
                  </w:r>
                </w:p>
                <w:p w14:paraId="1624298E">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环境</w:t>
                  </w:r>
                </w:p>
              </w:tc>
              <w:tc>
                <w:tcPr>
                  <w:tcW w:w="343" w:type="pct"/>
                  <w:noWrap w:val="0"/>
                  <w:vAlign w:val="center"/>
                </w:tcPr>
                <w:p w14:paraId="1F6AA987">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坡头村</w:t>
                  </w:r>
                </w:p>
              </w:tc>
              <w:tc>
                <w:tcPr>
                  <w:tcW w:w="893" w:type="pct"/>
                  <w:noWrap w:val="0"/>
                  <w:vAlign w:val="center"/>
                </w:tcPr>
                <w:p w14:paraId="7C7F8087">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103.05338860</w:t>
                  </w:r>
                </w:p>
              </w:tc>
              <w:tc>
                <w:tcPr>
                  <w:tcW w:w="874" w:type="pct"/>
                  <w:noWrap w:val="0"/>
                  <w:vAlign w:val="center"/>
                </w:tcPr>
                <w:p w14:paraId="30839898">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26.40606880</w:t>
                  </w:r>
                </w:p>
              </w:tc>
              <w:tc>
                <w:tcPr>
                  <w:tcW w:w="596" w:type="pct"/>
                  <w:noWrap w:val="0"/>
                  <w:vAlign w:val="center"/>
                </w:tcPr>
                <w:p w14:paraId="6735A75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75户240人</w:t>
                  </w:r>
                </w:p>
              </w:tc>
              <w:tc>
                <w:tcPr>
                  <w:tcW w:w="462" w:type="pct"/>
                  <w:vMerge w:val="restart"/>
                  <w:noWrap w:val="0"/>
                  <w:vAlign w:val="center"/>
                </w:tcPr>
                <w:p w14:paraId="2001FC48">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《环境空气质量标准》(GB3095-2012)二级标准</w:t>
                  </w:r>
                </w:p>
              </w:tc>
              <w:tc>
                <w:tcPr>
                  <w:tcW w:w="1067" w:type="pct"/>
                  <w:noWrap w:val="0"/>
                  <w:vAlign w:val="center"/>
                </w:tcPr>
                <w:p w14:paraId="153EAAA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1号场地西北侧</w:t>
                  </w:r>
                </w:p>
              </w:tc>
              <w:tc>
                <w:tcPr>
                  <w:tcW w:w="499" w:type="pct"/>
                  <w:noWrap w:val="0"/>
                  <w:vAlign w:val="center"/>
                </w:tcPr>
                <w:p w14:paraId="3B297C7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3400</w:t>
                  </w:r>
                </w:p>
              </w:tc>
            </w:tr>
            <w:tr w14:paraId="111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61" w:type="pct"/>
                  <w:vMerge w:val="continue"/>
                  <w:noWrap w:val="0"/>
                  <w:vAlign w:val="center"/>
                </w:tcPr>
                <w:p w14:paraId="201349A9">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20D852E1">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坡头</w:t>
                  </w:r>
                </w:p>
              </w:tc>
              <w:tc>
                <w:tcPr>
                  <w:tcW w:w="893" w:type="pct"/>
                  <w:noWrap w:val="0"/>
                  <w:vAlign w:val="center"/>
                </w:tcPr>
                <w:p w14:paraId="0AD96539">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103.05991173 </w:t>
                  </w:r>
                </w:p>
              </w:tc>
              <w:tc>
                <w:tcPr>
                  <w:tcW w:w="874" w:type="pct"/>
                  <w:noWrap w:val="0"/>
                  <w:vAlign w:val="center"/>
                </w:tcPr>
                <w:p w14:paraId="359EE698">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26.40392303</w:t>
                  </w:r>
                </w:p>
              </w:tc>
              <w:tc>
                <w:tcPr>
                  <w:tcW w:w="596" w:type="pct"/>
                  <w:noWrap w:val="0"/>
                  <w:vAlign w:val="center"/>
                </w:tcPr>
                <w:p w14:paraId="6373B16A">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35户122人</w:t>
                  </w:r>
                </w:p>
              </w:tc>
              <w:tc>
                <w:tcPr>
                  <w:tcW w:w="462" w:type="pct"/>
                  <w:vMerge w:val="continue"/>
                  <w:noWrap w:val="0"/>
                  <w:vAlign w:val="center"/>
                </w:tcPr>
                <w:p w14:paraId="17F641FD">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5B75B1A2">
                  <w:pPr>
                    <w:spacing w:line="320" w:lineRule="exact"/>
                    <w:ind w:firstLine="0" w:firstLineChars="0"/>
                    <w:jc w:val="center"/>
                    <w:rPr>
                      <w:rFonts w:ascii="Times New Roman" w:hAnsi="Times New Roman"/>
                      <w:color w:val="auto"/>
                      <w:sz w:val="22"/>
                      <w:szCs w:val="22"/>
                      <w:highlight w:val="none"/>
                    </w:rPr>
                  </w:pPr>
                  <w:r>
                    <w:rPr>
                      <w:rFonts w:hint="eastAsia"/>
                      <w:color w:val="auto"/>
                      <w:sz w:val="22"/>
                      <w:szCs w:val="22"/>
                      <w:highlight w:val="none"/>
                      <w:lang w:val="en-US" w:eastAsia="zh-CN"/>
                    </w:rPr>
                    <w:t>1号场地西北侧</w:t>
                  </w:r>
                </w:p>
              </w:tc>
              <w:tc>
                <w:tcPr>
                  <w:tcW w:w="499" w:type="pct"/>
                  <w:noWrap w:val="0"/>
                  <w:vAlign w:val="center"/>
                </w:tcPr>
                <w:p w14:paraId="4A3E5C0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2770</w:t>
                  </w:r>
                </w:p>
              </w:tc>
            </w:tr>
            <w:tr w14:paraId="4338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7C82F549">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35C8A19B">
                  <w:pPr>
                    <w:spacing w:line="320" w:lineRule="exact"/>
                    <w:ind w:firstLine="0" w:firstLineChars="0"/>
                    <w:jc w:val="center"/>
                    <w:rPr>
                      <w:rFonts w:hint="eastAsia"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下老林</w:t>
                  </w:r>
                </w:p>
              </w:tc>
              <w:tc>
                <w:tcPr>
                  <w:tcW w:w="893" w:type="pct"/>
                  <w:noWrap w:val="0"/>
                  <w:vAlign w:val="center"/>
                </w:tcPr>
                <w:p w14:paraId="365B88DC">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103.06849480 </w:t>
                  </w:r>
                </w:p>
              </w:tc>
              <w:tc>
                <w:tcPr>
                  <w:tcW w:w="874" w:type="pct"/>
                  <w:noWrap w:val="0"/>
                  <w:vAlign w:val="center"/>
                </w:tcPr>
                <w:p w14:paraId="43919541">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26.40864372</w:t>
                  </w:r>
                </w:p>
              </w:tc>
              <w:tc>
                <w:tcPr>
                  <w:tcW w:w="596" w:type="pct"/>
                  <w:noWrap w:val="0"/>
                  <w:vAlign w:val="center"/>
                </w:tcPr>
                <w:p w14:paraId="3C34805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26户92人</w:t>
                  </w:r>
                </w:p>
              </w:tc>
              <w:tc>
                <w:tcPr>
                  <w:tcW w:w="462" w:type="pct"/>
                  <w:vMerge w:val="continue"/>
                  <w:noWrap w:val="0"/>
                  <w:vAlign w:val="center"/>
                </w:tcPr>
                <w:p w14:paraId="1E1F1328">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53E869B9">
                  <w:pPr>
                    <w:spacing w:line="320" w:lineRule="exact"/>
                    <w:ind w:firstLine="0" w:firstLineChars="0"/>
                    <w:jc w:val="center"/>
                    <w:rPr>
                      <w:rFonts w:ascii="Times New Roman" w:hAnsi="Times New Roman"/>
                      <w:color w:val="auto"/>
                      <w:sz w:val="22"/>
                      <w:szCs w:val="22"/>
                      <w:highlight w:val="none"/>
                    </w:rPr>
                  </w:pPr>
                  <w:r>
                    <w:rPr>
                      <w:rFonts w:hint="eastAsia"/>
                      <w:color w:val="auto"/>
                      <w:sz w:val="22"/>
                      <w:szCs w:val="22"/>
                      <w:highlight w:val="none"/>
                      <w:lang w:val="en-US" w:eastAsia="zh-CN"/>
                    </w:rPr>
                    <w:t>1号场地西北侧</w:t>
                  </w:r>
                </w:p>
              </w:tc>
              <w:tc>
                <w:tcPr>
                  <w:tcW w:w="499" w:type="pct"/>
                  <w:noWrap w:val="0"/>
                  <w:vAlign w:val="center"/>
                </w:tcPr>
                <w:p w14:paraId="0DC9AAC4">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2800</w:t>
                  </w:r>
                </w:p>
              </w:tc>
            </w:tr>
            <w:tr w14:paraId="46B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6DEDD8F4">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3291EF0B">
                  <w:pPr>
                    <w:spacing w:line="320" w:lineRule="exact"/>
                    <w:ind w:firstLine="0" w:firstLineChars="0"/>
                    <w:jc w:val="center"/>
                    <w:rPr>
                      <w:rFonts w:hint="eastAsia"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高烟冲</w:t>
                  </w:r>
                </w:p>
              </w:tc>
              <w:tc>
                <w:tcPr>
                  <w:tcW w:w="893" w:type="pct"/>
                  <w:noWrap w:val="0"/>
                  <w:vAlign w:val="center"/>
                </w:tcPr>
                <w:p w14:paraId="1C19D41E">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103.06506157 </w:t>
                  </w:r>
                </w:p>
              </w:tc>
              <w:tc>
                <w:tcPr>
                  <w:tcW w:w="874" w:type="pct"/>
                  <w:noWrap w:val="0"/>
                  <w:vAlign w:val="center"/>
                </w:tcPr>
                <w:p w14:paraId="7DD70EEF">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26.40581131</w:t>
                  </w:r>
                </w:p>
              </w:tc>
              <w:tc>
                <w:tcPr>
                  <w:tcW w:w="596" w:type="pct"/>
                  <w:noWrap w:val="0"/>
                  <w:vAlign w:val="center"/>
                </w:tcPr>
                <w:p w14:paraId="0E950D43">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24户80人</w:t>
                  </w:r>
                </w:p>
              </w:tc>
              <w:tc>
                <w:tcPr>
                  <w:tcW w:w="462" w:type="pct"/>
                  <w:vMerge w:val="continue"/>
                  <w:noWrap w:val="0"/>
                  <w:vAlign w:val="center"/>
                </w:tcPr>
                <w:p w14:paraId="3D71B130">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562EA6A4">
                  <w:pPr>
                    <w:spacing w:line="320" w:lineRule="exact"/>
                    <w:ind w:firstLine="0" w:firstLineChars="0"/>
                    <w:jc w:val="center"/>
                    <w:rPr>
                      <w:rFonts w:ascii="Times New Roman" w:hAnsi="Times New Roman"/>
                      <w:color w:val="auto"/>
                      <w:sz w:val="22"/>
                      <w:szCs w:val="22"/>
                      <w:highlight w:val="none"/>
                    </w:rPr>
                  </w:pPr>
                  <w:r>
                    <w:rPr>
                      <w:rFonts w:hint="eastAsia"/>
                      <w:color w:val="auto"/>
                      <w:sz w:val="22"/>
                      <w:szCs w:val="22"/>
                      <w:highlight w:val="none"/>
                      <w:lang w:val="en-US" w:eastAsia="zh-CN"/>
                    </w:rPr>
                    <w:t>1号场地西北侧</w:t>
                  </w:r>
                </w:p>
              </w:tc>
              <w:tc>
                <w:tcPr>
                  <w:tcW w:w="499" w:type="pct"/>
                  <w:noWrap w:val="0"/>
                  <w:vAlign w:val="center"/>
                </w:tcPr>
                <w:p w14:paraId="05866F2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2650</w:t>
                  </w:r>
                </w:p>
              </w:tc>
            </w:tr>
            <w:tr w14:paraId="167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14BB73CE">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47F8DB60">
                  <w:pPr>
                    <w:spacing w:line="320" w:lineRule="exact"/>
                    <w:ind w:firstLine="0" w:firstLineChars="0"/>
                    <w:jc w:val="center"/>
                    <w:rPr>
                      <w:rFonts w:hint="eastAsia"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石膏塘</w:t>
                  </w:r>
                </w:p>
              </w:tc>
              <w:tc>
                <w:tcPr>
                  <w:tcW w:w="893" w:type="pct"/>
                  <w:noWrap w:val="0"/>
                  <w:vAlign w:val="center"/>
                </w:tcPr>
                <w:p w14:paraId="1F2C912E">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103.09432983 </w:t>
                  </w:r>
                </w:p>
              </w:tc>
              <w:tc>
                <w:tcPr>
                  <w:tcW w:w="874" w:type="pct"/>
                  <w:noWrap w:val="0"/>
                  <w:vAlign w:val="center"/>
                </w:tcPr>
                <w:p w14:paraId="1E1DB042">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26.40452385</w:t>
                  </w:r>
                </w:p>
              </w:tc>
              <w:tc>
                <w:tcPr>
                  <w:tcW w:w="596" w:type="pct"/>
                  <w:noWrap w:val="0"/>
                  <w:vAlign w:val="center"/>
                </w:tcPr>
                <w:p w14:paraId="17F54DF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10户32人</w:t>
                  </w:r>
                </w:p>
              </w:tc>
              <w:tc>
                <w:tcPr>
                  <w:tcW w:w="462" w:type="pct"/>
                  <w:vMerge w:val="continue"/>
                  <w:noWrap w:val="0"/>
                  <w:vAlign w:val="center"/>
                </w:tcPr>
                <w:p w14:paraId="233155B1">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31AEEFC3">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1号场地东北侧</w:t>
                  </w:r>
                </w:p>
              </w:tc>
              <w:tc>
                <w:tcPr>
                  <w:tcW w:w="499" w:type="pct"/>
                  <w:noWrap w:val="0"/>
                  <w:vAlign w:val="center"/>
                </w:tcPr>
                <w:p w14:paraId="587AFC92">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3580</w:t>
                  </w:r>
                </w:p>
              </w:tc>
            </w:tr>
            <w:tr w14:paraId="0C6C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0A45A3CC">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5EBD3B5B">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升家水</w:t>
                  </w:r>
                </w:p>
              </w:tc>
              <w:tc>
                <w:tcPr>
                  <w:tcW w:w="893" w:type="pct"/>
                  <w:noWrap w:val="0"/>
                  <w:vAlign w:val="center"/>
                </w:tcPr>
                <w:p w14:paraId="23025C9E">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103.10239792 </w:t>
                  </w:r>
                </w:p>
              </w:tc>
              <w:tc>
                <w:tcPr>
                  <w:tcW w:w="874" w:type="pct"/>
                  <w:noWrap w:val="0"/>
                  <w:vAlign w:val="center"/>
                </w:tcPr>
                <w:p w14:paraId="637D804D">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26.39945984</w:t>
                  </w:r>
                </w:p>
              </w:tc>
              <w:tc>
                <w:tcPr>
                  <w:tcW w:w="596" w:type="pct"/>
                  <w:noWrap w:val="0"/>
                  <w:vAlign w:val="center"/>
                </w:tcPr>
                <w:p w14:paraId="7550B6DF">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20户64人</w:t>
                  </w:r>
                </w:p>
              </w:tc>
              <w:tc>
                <w:tcPr>
                  <w:tcW w:w="462" w:type="pct"/>
                  <w:vMerge w:val="continue"/>
                  <w:noWrap w:val="0"/>
                  <w:vAlign w:val="center"/>
                </w:tcPr>
                <w:p w14:paraId="23C7EA45">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0B0BAA08">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1号场地东北侧</w:t>
                  </w:r>
                </w:p>
              </w:tc>
              <w:tc>
                <w:tcPr>
                  <w:tcW w:w="499" w:type="pct"/>
                  <w:noWrap w:val="0"/>
                  <w:vAlign w:val="center"/>
                </w:tcPr>
                <w:p w14:paraId="6E8BDF46">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2800</w:t>
                  </w:r>
                </w:p>
              </w:tc>
            </w:tr>
            <w:tr w14:paraId="339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35E8E441">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49A83922">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长岭子</w:t>
                  </w:r>
                </w:p>
              </w:tc>
              <w:tc>
                <w:tcPr>
                  <w:tcW w:w="893" w:type="pct"/>
                  <w:noWrap w:val="0"/>
                  <w:vAlign w:val="center"/>
                </w:tcPr>
                <w:p w14:paraId="2C421E53">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103.10136795 </w:t>
                  </w:r>
                </w:p>
              </w:tc>
              <w:tc>
                <w:tcPr>
                  <w:tcW w:w="874" w:type="pct"/>
                  <w:noWrap w:val="0"/>
                  <w:vAlign w:val="center"/>
                </w:tcPr>
                <w:p w14:paraId="6AB1E8A3">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26.39533997</w:t>
                  </w:r>
                </w:p>
              </w:tc>
              <w:tc>
                <w:tcPr>
                  <w:tcW w:w="596" w:type="pct"/>
                  <w:noWrap w:val="0"/>
                  <w:vAlign w:val="center"/>
                </w:tcPr>
                <w:p w14:paraId="68437680">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33户100人</w:t>
                  </w:r>
                </w:p>
              </w:tc>
              <w:tc>
                <w:tcPr>
                  <w:tcW w:w="462" w:type="pct"/>
                  <w:vMerge w:val="continue"/>
                  <w:noWrap w:val="0"/>
                  <w:vAlign w:val="center"/>
                </w:tcPr>
                <w:p w14:paraId="272D969E">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1952D8CA">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1号场地东北侧</w:t>
                  </w:r>
                </w:p>
              </w:tc>
              <w:tc>
                <w:tcPr>
                  <w:tcW w:w="499" w:type="pct"/>
                  <w:noWrap w:val="0"/>
                  <w:vAlign w:val="center"/>
                </w:tcPr>
                <w:p w14:paraId="06CB2964">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2510</w:t>
                  </w:r>
                </w:p>
              </w:tc>
            </w:tr>
            <w:tr w14:paraId="7FA5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424C9A87">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25E1E36F">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大红地</w:t>
                  </w:r>
                </w:p>
              </w:tc>
              <w:tc>
                <w:tcPr>
                  <w:tcW w:w="893" w:type="pct"/>
                  <w:noWrap w:val="0"/>
                  <w:vAlign w:val="center"/>
                </w:tcPr>
                <w:p w14:paraId="5CF7C235">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103.10291290 </w:t>
                  </w:r>
                </w:p>
              </w:tc>
              <w:tc>
                <w:tcPr>
                  <w:tcW w:w="874" w:type="pct"/>
                  <w:noWrap w:val="0"/>
                  <w:vAlign w:val="center"/>
                </w:tcPr>
                <w:p w14:paraId="413372A9">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26.38838768</w:t>
                  </w:r>
                </w:p>
              </w:tc>
              <w:tc>
                <w:tcPr>
                  <w:tcW w:w="596" w:type="pct"/>
                  <w:noWrap w:val="0"/>
                  <w:vAlign w:val="center"/>
                </w:tcPr>
                <w:p w14:paraId="6D005332">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5户17人</w:t>
                  </w:r>
                </w:p>
              </w:tc>
              <w:tc>
                <w:tcPr>
                  <w:tcW w:w="462" w:type="pct"/>
                  <w:vMerge w:val="continue"/>
                  <w:noWrap w:val="0"/>
                  <w:vAlign w:val="center"/>
                </w:tcPr>
                <w:p w14:paraId="42E572CA">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62B36284">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1号场地东侧</w:t>
                  </w:r>
                </w:p>
              </w:tc>
              <w:tc>
                <w:tcPr>
                  <w:tcW w:w="499" w:type="pct"/>
                  <w:noWrap w:val="0"/>
                  <w:vAlign w:val="center"/>
                </w:tcPr>
                <w:p w14:paraId="64145E69">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2350</w:t>
                  </w:r>
                </w:p>
              </w:tc>
            </w:tr>
            <w:tr w14:paraId="2D0B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3329C8B8">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453DAAFC">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太平村</w:t>
                  </w:r>
                </w:p>
              </w:tc>
              <w:tc>
                <w:tcPr>
                  <w:tcW w:w="893" w:type="pct"/>
                  <w:noWrap w:val="0"/>
                  <w:vAlign w:val="center"/>
                </w:tcPr>
                <w:p w14:paraId="3930C40F">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103.10214043 </w:t>
                  </w:r>
                </w:p>
              </w:tc>
              <w:tc>
                <w:tcPr>
                  <w:tcW w:w="874" w:type="pct"/>
                  <w:noWrap w:val="0"/>
                  <w:vAlign w:val="center"/>
                </w:tcPr>
                <w:p w14:paraId="70A45F02">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26.37645721</w:t>
                  </w:r>
                </w:p>
              </w:tc>
              <w:tc>
                <w:tcPr>
                  <w:tcW w:w="596" w:type="pct"/>
                  <w:noWrap w:val="0"/>
                  <w:vAlign w:val="center"/>
                </w:tcPr>
                <w:p w14:paraId="2CC0BFE8">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58户203人</w:t>
                  </w:r>
                </w:p>
              </w:tc>
              <w:tc>
                <w:tcPr>
                  <w:tcW w:w="462" w:type="pct"/>
                  <w:vMerge w:val="continue"/>
                  <w:noWrap w:val="0"/>
                  <w:vAlign w:val="center"/>
                </w:tcPr>
                <w:p w14:paraId="693709B2">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2B62ECD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1号场地东南侧</w:t>
                  </w:r>
                </w:p>
              </w:tc>
              <w:tc>
                <w:tcPr>
                  <w:tcW w:w="499" w:type="pct"/>
                  <w:noWrap w:val="0"/>
                  <w:vAlign w:val="center"/>
                </w:tcPr>
                <w:p w14:paraId="09FF214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2450</w:t>
                  </w:r>
                </w:p>
              </w:tc>
            </w:tr>
            <w:tr w14:paraId="0AE8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238F79A7">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69BA10F7">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上马嘎</w:t>
                  </w:r>
                </w:p>
              </w:tc>
              <w:tc>
                <w:tcPr>
                  <w:tcW w:w="893" w:type="pct"/>
                  <w:noWrap w:val="0"/>
                  <w:vAlign w:val="center"/>
                </w:tcPr>
                <w:p w14:paraId="4F0A0BEC">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103.07012558 </w:t>
                  </w:r>
                </w:p>
              </w:tc>
              <w:tc>
                <w:tcPr>
                  <w:tcW w:w="874" w:type="pct"/>
                  <w:noWrap w:val="0"/>
                  <w:vAlign w:val="center"/>
                </w:tcPr>
                <w:p w14:paraId="52AADDC4">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26.39739990</w:t>
                  </w:r>
                </w:p>
              </w:tc>
              <w:tc>
                <w:tcPr>
                  <w:tcW w:w="596" w:type="pct"/>
                  <w:noWrap w:val="0"/>
                  <w:vAlign w:val="center"/>
                </w:tcPr>
                <w:p w14:paraId="0FF5932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27户95人</w:t>
                  </w:r>
                </w:p>
              </w:tc>
              <w:tc>
                <w:tcPr>
                  <w:tcW w:w="462" w:type="pct"/>
                  <w:vMerge w:val="continue"/>
                  <w:noWrap w:val="0"/>
                  <w:vAlign w:val="center"/>
                </w:tcPr>
                <w:p w14:paraId="2E7A87C6">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672433E9">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1号场地西北侧</w:t>
                  </w:r>
                </w:p>
              </w:tc>
              <w:tc>
                <w:tcPr>
                  <w:tcW w:w="499" w:type="pct"/>
                  <w:noWrap w:val="0"/>
                  <w:vAlign w:val="center"/>
                </w:tcPr>
                <w:p w14:paraId="7A58293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1610</w:t>
                  </w:r>
                </w:p>
              </w:tc>
            </w:tr>
            <w:tr w14:paraId="7123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61" w:type="pct"/>
                  <w:vMerge w:val="continue"/>
                  <w:noWrap w:val="0"/>
                  <w:vAlign w:val="center"/>
                </w:tcPr>
                <w:p w14:paraId="426994E9">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3B83B914">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马嘎</w:t>
                  </w:r>
                </w:p>
              </w:tc>
              <w:tc>
                <w:tcPr>
                  <w:tcW w:w="893" w:type="pct"/>
                  <w:noWrap w:val="0"/>
                  <w:vAlign w:val="center"/>
                </w:tcPr>
                <w:p w14:paraId="23534DC5">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103.07390213 </w:t>
                  </w:r>
                </w:p>
              </w:tc>
              <w:tc>
                <w:tcPr>
                  <w:tcW w:w="874" w:type="pct"/>
                  <w:noWrap w:val="0"/>
                  <w:vAlign w:val="center"/>
                </w:tcPr>
                <w:p w14:paraId="35BFB1B4">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26.39439583</w:t>
                  </w:r>
                </w:p>
              </w:tc>
              <w:tc>
                <w:tcPr>
                  <w:tcW w:w="596" w:type="pct"/>
                  <w:noWrap w:val="0"/>
                  <w:vAlign w:val="center"/>
                </w:tcPr>
                <w:p w14:paraId="4542158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8户30人</w:t>
                  </w:r>
                </w:p>
              </w:tc>
              <w:tc>
                <w:tcPr>
                  <w:tcW w:w="462" w:type="pct"/>
                  <w:vMerge w:val="continue"/>
                  <w:noWrap w:val="0"/>
                  <w:vAlign w:val="center"/>
                </w:tcPr>
                <w:p w14:paraId="7487298F">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0D6F4794">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1号场地西北侧</w:t>
                  </w:r>
                </w:p>
              </w:tc>
              <w:tc>
                <w:tcPr>
                  <w:tcW w:w="499" w:type="pct"/>
                  <w:noWrap w:val="0"/>
                  <w:vAlign w:val="center"/>
                </w:tcPr>
                <w:p w14:paraId="2798DB6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1160</w:t>
                  </w:r>
                </w:p>
              </w:tc>
            </w:tr>
            <w:tr w14:paraId="3FB4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3623ED53">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211F1B78">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下马嘎</w:t>
                  </w:r>
                </w:p>
              </w:tc>
              <w:tc>
                <w:tcPr>
                  <w:tcW w:w="893" w:type="pct"/>
                  <w:noWrap w:val="0"/>
                  <w:vAlign w:val="center"/>
                </w:tcPr>
                <w:p w14:paraId="1A74F94C">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103.07544708 </w:t>
                  </w:r>
                </w:p>
              </w:tc>
              <w:tc>
                <w:tcPr>
                  <w:tcW w:w="874" w:type="pct"/>
                  <w:noWrap w:val="0"/>
                  <w:vAlign w:val="center"/>
                </w:tcPr>
                <w:p w14:paraId="0715A23A">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26.39242172</w:t>
                  </w:r>
                </w:p>
              </w:tc>
              <w:tc>
                <w:tcPr>
                  <w:tcW w:w="596" w:type="pct"/>
                  <w:noWrap w:val="0"/>
                  <w:vAlign w:val="center"/>
                </w:tcPr>
                <w:p w14:paraId="36B0EF09">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12户41人</w:t>
                  </w:r>
                </w:p>
              </w:tc>
              <w:tc>
                <w:tcPr>
                  <w:tcW w:w="462" w:type="pct"/>
                  <w:vMerge w:val="continue"/>
                  <w:noWrap w:val="0"/>
                  <w:vAlign w:val="center"/>
                </w:tcPr>
                <w:p w14:paraId="3F0C504D">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1D016D37">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1号场地西北侧</w:t>
                  </w:r>
                </w:p>
              </w:tc>
              <w:tc>
                <w:tcPr>
                  <w:tcW w:w="499" w:type="pct"/>
                  <w:noWrap w:val="0"/>
                  <w:vAlign w:val="center"/>
                </w:tcPr>
                <w:p w14:paraId="50881A90">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860</w:t>
                  </w:r>
                </w:p>
              </w:tc>
            </w:tr>
            <w:tr w14:paraId="2AAD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2273EB67">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049A5D32">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新厂沟</w:t>
                  </w:r>
                </w:p>
              </w:tc>
              <w:tc>
                <w:tcPr>
                  <w:tcW w:w="893" w:type="pct"/>
                  <w:noWrap w:val="0"/>
                  <w:vAlign w:val="center"/>
                </w:tcPr>
                <w:p w14:paraId="2A984CED">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103.05690765</w:t>
                  </w:r>
                </w:p>
              </w:tc>
              <w:tc>
                <w:tcPr>
                  <w:tcW w:w="874" w:type="pct"/>
                  <w:noWrap w:val="0"/>
                  <w:vAlign w:val="center"/>
                </w:tcPr>
                <w:p w14:paraId="403BEB68">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26.39173508</w:t>
                  </w:r>
                </w:p>
              </w:tc>
              <w:tc>
                <w:tcPr>
                  <w:tcW w:w="596" w:type="pct"/>
                  <w:noWrap w:val="0"/>
                  <w:vAlign w:val="center"/>
                </w:tcPr>
                <w:p w14:paraId="712DE754">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31户113人</w:t>
                  </w:r>
                </w:p>
              </w:tc>
              <w:tc>
                <w:tcPr>
                  <w:tcW w:w="462" w:type="pct"/>
                  <w:vMerge w:val="continue"/>
                  <w:noWrap w:val="0"/>
                  <w:vAlign w:val="center"/>
                </w:tcPr>
                <w:p w14:paraId="47F4D4D4">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55CF4B29">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1号场地西侧</w:t>
                  </w:r>
                </w:p>
              </w:tc>
              <w:tc>
                <w:tcPr>
                  <w:tcW w:w="499" w:type="pct"/>
                  <w:noWrap w:val="0"/>
                  <w:vAlign w:val="center"/>
                </w:tcPr>
                <w:p w14:paraId="04DCD383">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2400</w:t>
                  </w:r>
                </w:p>
              </w:tc>
            </w:tr>
            <w:tr w14:paraId="77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1" w:type="pct"/>
                  <w:vMerge w:val="continue"/>
                  <w:noWrap w:val="0"/>
                  <w:vAlign w:val="center"/>
                </w:tcPr>
                <w:p w14:paraId="35A0CA98">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2E532B13">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坪子地</w:t>
                  </w:r>
                </w:p>
              </w:tc>
              <w:tc>
                <w:tcPr>
                  <w:tcW w:w="893" w:type="pct"/>
                  <w:noWrap w:val="0"/>
                  <w:vAlign w:val="center"/>
                </w:tcPr>
                <w:p w14:paraId="1DEAE40A">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103.05956841</w:t>
                  </w:r>
                </w:p>
              </w:tc>
              <w:tc>
                <w:tcPr>
                  <w:tcW w:w="874" w:type="pct"/>
                  <w:noWrap w:val="0"/>
                  <w:vAlign w:val="center"/>
                </w:tcPr>
                <w:p w14:paraId="73DFC003">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26.38701439</w:t>
                  </w:r>
                </w:p>
              </w:tc>
              <w:tc>
                <w:tcPr>
                  <w:tcW w:w="596" w:type="pct"/>
                  <w:noWrap w:val="0"/>
                  <w:vAlign w:val="center"/>
                </w:tcPr>
                <w:p w14:paraId="47531463">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12户44人</w:t>
                  </w:r>
                </w:p>
              </w:tc>
              <w:tc>
                <w:tcPr>
                  <w:tcW w:w="462" w:type="pct"/>
                  <w:vMerge w:val="continue"/>
                  <w:noWrap w:val="0"/>
                  <w:vAlign w:val="center"/>
                </w:tcPr>
                <w:p w14:paraId="79B61EBA">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050D95C8">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1号场地西侧</w:t>
                  </w:r>
                </w:p>
              </w:tc>
              <w:tc>
                <w:tcPr>
                  <w:tcW w:w="499" w:type="pct"/>
                  <w:noWrap w:val="0"/>
                  <w:vAlign w:val="center"/>
                </w:tcPr>
                <w:p w14:paraId="61ECE273">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2000</w:t>
                  </w:r>
                </w:p>
              </w:tc>
            </w:tr>
            <w:tr w14:paraId="0C29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1" w:type="pct"/>
                  <w:vMerge w:val="continue"/>
                  <w:noWrap w:val="0"/>
                  <w:vAlign w:val="center"/>
                </w:tcPr>
                <w:p w14:paraId="6FC7563C">
                  <w:pPr>
                    <w:spacing w:line="320" w:lineRule="exact"/>
                    <w:ind w:firstLine="0" w:firstLineChars="0"/>
                    <w:jc w:val="center"/>
                    <w:rPr>
                      <w:color w:val="auto"/>
                      <w:highlight w:val="none"/>
                    </w:rPr>
                  </w:pPr>
                </w:p>
              </w:tc>
              <w:tc>
                <w:tcPr>
                  <w:tcW w:w="343" w:type="pct"/>
                  <w:noWrap w:val="0"/>
                  <w:vAlign w:val="center"/>
                </w:tcPr>
                <w:p w14:paraId="7C1DB2E6">
                  <w:pPr>
                    <w:spacing w:line="320" w:lineRule="exact"/>
                    <w:ind w:firstLine="0" w:firstLineChars="0"/>
                    <w:jc w:val="center"/>
                    <w:rPr>
                      <w:rFonts w:hint="default"/>
                      <w:color w:val="auto"/>
                      <w:sz w:val="22"/>
                      <w:szCs w:val="22"/>
                      <w:highlight w:val="none"/>
                      <w:lang w:val="en-US" w:eastAsia="zh-CN"/>
                    </w:rPr>
                  </w:pPr>
                  <w:r>
                    <w:rPr>
                      <w:rFonts w:hint="eastAsia"/>
                      <w:color w:val="auto"/>
                      <w:sz w:val="22"/>
                      <w:szCs w:val="22"/>
                      <w:highlight w:val="none"/>
                      <w:lang w:val="en-US" w:eastAsia="zh-CN"/>
                    </w:rPr>
                    <w:t>蒿枝脑包</w:t>
                  </w:r>
                </w:p>
              </w:tc>
              <w:tc>
                <w:tcPr>
                  <w:tcW w:w="893" w:type="pct"/>
                  <w:noWrap w:val="0"/>
                  <w:vAlign w:val="center"/>
                </w:tcPr>
                <w:p w14:paraId="6492096C">
                  <w:pPr>
                    <w:spacing w:line="320" w:lineRule="exact"/>
                    <w:ind w:firstLine="0" w:firstLineChars="0"/>
                    <w:jc w:val="center"/>
                    <w:rPr>
                      <w:rFonts w:hint="eastAsia"/>
                      <w:color w:val="auto"/>
                      <w:sz w:val="22"/>
                      <w:szCs w:val="22"/>
                      <w:highlight w:val="none"/>
                      <w:lang w:val="en-US" w:eastAsia="zh-CN"/>
                    </w:rPr>
                  </w:pPr>
                  <w:r>
                    <w:rPr>
                      <w:rFonts w:hint="eastAsia"/>
                      <w:color w:val="auto"/>
                      <w:sz w:val="22"/>
                      <w:szCs w:val="22"/>
                      <w:highlight w:val="none"/>
                      <w:lang w:val="en-US" w:eastAsia="zh-CN"/>
                    </w:rPr>
                    <w:t xml:space="preserve">103.05424690 </w:t>
                  </w:r>
                </w:p>
              </w:tc>
              <w:tc>
                <w:tcPr>
                  <w:tcW w:w="874" w:type="pct"/>
                  <w:noWrap w:val="0"/>
                  <w:vAlign w:val="center"/>
                </w:tcPr>
                <w:p w14:paraId="06AFF1D8">
                  <w:pPr>
                    <w:spacing w:line="320" w:lineRule="exact"/>
                    <w:ind w:firstLine="0" w:firstLineChars="0"/>
                    <w:jc w:val="center"/>
                    <w:rPr>
                      <w:rFonts w:hint="eastAsia"/>
                      <w:color w:val="auto"/>
                      <w:sz w:val="22"/>
                      <w:szCs w:val="22"/>
                      <w:highlight w:val="none"/>
                      <w:lang w:val="en-US" w:eastAsia="zh-CN"/>
                    </w:rPr>
                  </w:pPr>
                  <w:r>
                    <w:rPr>
                      <w:rFonts w:hint="eastAsia"/>
                      <w:color w:val="auto"/>
                      <w:sz w:val="22"/>
                      <w:szCs w:val="22"/>
                      <w:highlight w:val="none"/>
                      <w:lang w:val="en-US" w:eastAsia="zh-CN"/>
                    </w:rPr>
                    <w:t>26.38770103</w:t>
                  </w:r>
                </w:p>
              </w:tc>
              <w:tc>
                <w:tcPr>
                  <w:tcW w:w="596" w:type="pct"/>
                  <w:noWrap w:val="0"/>
                  <w:vAlign w:val="center"/>
                </w:tcPr>
                <w:p w14:paraId="77030C39">
                  <w:pPr>
                    <w:spacing w:line="320" w:lineRule="exact"/>
                    <w:ind w:firstLine="0" w:firstLineChars="0"/>
                    <w:jc w:val="center"/>
                    <w:rPr>
                      <w:rFonts w:hint="default"/>
                      <w:color w:val="auto"/>
                      <w:sz w:val="22"/>
                      <w:szCs w:val="22"/>
                      <w:highlight w:val="none"/>
                      <w:lang w:val="en-US" w:eastAsia="zh-CN"/>
                    </w:rPr>
                  </w:pPr>
                  <w:r>
                    <w:rPr>
                      <w:rFonts w:hint="eastAsia"/>
                      <w:color w:val="auto"/>
                      <w:sz w:val="22"/>
                      <w:szCs w:val="22"/>
                      <w:highlight w:val="none"/>
                      <w:lang w:val="en-US" w:eastAsia="zh-CN"/>
                    </w:rPr>
                    <w:t>14户56人</w:t>
                  </w:r>
                </w:p>
              </w:tc>
              <w:tc>
                <w:tcPr>
                  <w:tcW w:w="462" w:type="pct"/>
                  <w:vMerge w:val="continue"/>
                  <w:noWrap w:val="0"/>
                  <w:vAlign w:val="center"/>
                </w:tcPr>
                <w:p w14:paraId="4220EB47">
                  <w:pPr>
                    <w:spacing w:line="320" w:lineRule="exact"/>
                    <w:ind w:firstLine="0" w:firstLineChars="0"/>
                    <w:jc w:val="center"/>
                    <w:rPr>
                      <w:rFonts w:hint="eastAsia"/>
                      <w:color w:val="auto"/>
                      <w:sz w:val="22"/>
                      <w:szCs w:val="22"/>
                      <w:highlight w:val="none"/>
                      <w:lang w:val="en-US" w:eastAsia="zh-CN"/>
                    </w:rPr>
                  </w:pPr>
                </w:p>
              </w:tc>
              <w:tc>
                <w:tcPr>
                  <w:tcW w:w="1067" w:type="pct"/>
                  <w:noWrap w:val="0"/>
                  <w:vAlign w:val="center"/>
                </w:tcPr>
                <w:p w14:paraId="6BE4D24E">
                  <w:pPr>
                    <w:spacing w:line="320" w:lineRule="exact"/>
                    <w:ind w:firstLine="0" w:firstLineChars="0"/>
                    <w:jc w:val="center"/>
                    <w:rPr>
                      <w:rFonts w:hint="eastAsia"/>
                      <w:color w:val="auto"/>
                      <w:sz w:val="22"/>
                      <w:szCs w:val="22"/>
                      <w:highlight w:val="none"/>
                      <w:lang w:val="en-US" w:eastAsia="zh-CN"/>
                    </w:rPr>
                  </w:pPr>
                  <w:r>
                    <w:rPr>
                      <w:rFonts w:hint="eastAsia"/>
                      <w:color w:val="auto"/>
                      <w:sz w:val="22"/>
                      <w:szCs w:val="22"/>
                      <w:highlight w:val="none"/>
                      <w:lang w:val="en-US" w:eastAsia="zh-CN"/>
                    </w:rPr>
                    <w:t>1号场地西侧</w:t>
                  </w:r>
                </w:p>
              </w:tc>
              <w:tc>
                <w:tcPr>
                  <w:tcW w:w="499" w:type="pct"/>
                  <w:noWrap w:val="0"/>
                  <w:vAlign w:val="center"/>
                </w:tcPr>
                <w:p w14:paraId="5007ED0C">
                  <w:pPr>
                    <w:spacing w:line="320" w:lineRule="exact"/>
                    <w:ind w:firstLine="0" w:firstLineChars="0"/>
                    <w:jc w:val="center"/>
                    <w:rPr>
                      <w:rFonts w:hint="default"/>
                      <w:color w:val="auto"/>
                      <w:sz w:val="22"/>
                      <w:szCs w:val="22"/>
                      <w:highlight w:val="none"/>
                      <w:lang w:val="en-US" w:eastAsia="zh-CN"/>
                    </w:rPr>
                  </w:pPr>
                  <w:r>
                    <w:rPr>
                      <w:rFonts w:hint="eastAsia"/>
                      <w:color w:val="auto"/>
                      <w:sz w:val="22"/>
                      <w:szCs w:val="22"/>
                      <w:highlight w:val="none"/>
                      <w:lang w:val="en-US" w:eastAsia="zh-CN"/>
                    </w:rPr>
                    <w:t>2550</w:t>
                  </w:r>
                </w:p>
              </w:tc>
            </w:tr>
            <w:tr w14:paraId="1B67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0D04E2E4">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4E493532">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董家梁子</w:t>
                  </w:r>
                </w:p>
              </w:tc>
              <w:tc>
                <w:tcPr>
                  <w:tcW w:w="893" w:type="pct"/>
                  <w:noWrap w:val="0"/>
                  <w:vAlign w:val="center"/>
                </w:tcPr>
                <w:p w14:paraId="4C1B8F00">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103.05699348 </w:t>
                  </w:r>
                </w:p>
              </w:tc>
              <w:tc>
                <w:tcPr>
                  <w:tcW w:w="874" w:type="pct"/>
                  <w:noWrap w:val="0"/>
                  <w:vAlign w:val="center"/>
                </w:tcPr>
                <w:p w14:paraId="59DF815F">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26.37903214</w:t>
                  </w:r>
                </w:p>
              </w:tc>
              <w:tc>
                <w:tcPr>
                  <w:tcW w:w="596" w:type="pct"/>
                  <w:noWrap w:val="0"/>
                  <w:vAlign w:val="center"/>
                </w:tcPr>
                <w:p w14:paraId="37C64F9D">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34户120人</w:t>
                  </w:r>
                </w:p>
              </w:tc>
              <w:tc>
                <w:tcPr>
                  <w:tcW w:w="462" w:type="pct"/>
                  <w:vMerge w:val="continue"/>
                  <w:noWrap w:val="0"/>
                  <w:vAlign w:val="center"/>
                </w:tcPr>
                <w:p w14:paraId="1FACC7BA">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67316EED">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1号场地西南侧</w:t>
                  </w:r>
                </w:p>
              </w:tc>
              <w:tc>
                <w:tcPr>
                  <w:tcW w:w="499" w:type="pct"/>
                  <w:noWrap w:val="0"/>
                  <w:vAlign w:val="center"/>
                </w:tcPr>
                <w:p w14:paraId="47EFF060">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2300</w:t>
                  </w:r>
                </w:p>
              </w:tc>
            </w:tr>
            <w:tr w14:paraId="5D43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5C4A65F0">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7FF3AEE1">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大荒地村</w:t>
                  </w:r>
                </w:p>
              </w:tc>
              <w:tc>
                <w:tcPr>
                  <w:tcW w:w="893" w:type="pct"/>
                  <w:noWrap w:val="0"/>
                  <w:vAlign w:val="center"/>
                </w:tcPr>
                <w:p w14:paraId="4DFDAA36">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103.06094170 </w:t>
                  </w:r>
                </w:p>
              </w:tc>
              <w:tc>
                <w:tcPr>
                  <w:tcW w:w="874" w:type="pct"/>
                  <w:noWrap w:val="0"/>
                  <w:vAlign w:val="center"/>
                </w:tcPr>
                <w:p w14:paraId="5F6E8B6D">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26.37010574</w:t>
                  </w:r>
                </w:p>
              </w:tc>
              <w:tc>
                <w:tcPr>
                  <w:tcW w:w="596" w:type="pct"/>
                  <w:noWrap w:val="0"/>
                  <w:vAlign w:val="center"/>
                </w:tcPr>
                <w:p w14:paraId="302E5BD0">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53户180人</w:t>
                  </w:r>
                </w:p>
              </w:tc>
              <w:tc>
                <w:tcPr>
                  <w:tcW w:w="462" w:type="pct"/>
                  <w:vMerge w:val="continue"/>
                  <w:noWrap w:val="0"/>
                  <w:vAlign w:val="center"/>
                </w:tcPr>
                <w:p w14:paraId="4CC4CC15">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2B667451">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1号场地西南侧</w:t>
                  </w:r>
                </w:p>
              </w:tc>
              <w:tc>
                <w:tcPr>
                  <w:tcW w:w="499" w:type="pct"/>
                  <w:noWrap w:val="0"/>
                  <w:vAlign w:val="center"/>
                </w:tcPr>
                <w:p w14:paraId="2551452C">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2580</w:t>
                  </w:r>
                </w:p>
              </w:tc>
            </w:tr>
            <w:tr w14:paraId="5E08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48279B3C">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3819CC28">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老干沟</w:t>
                  </w:r>
                </w:p>
              </w:tc>
              <w:tc>
                <w:tcPr>
                  <w:tcW w:w="893" w:type="pct"/>
                  <w:noWrap w:val="0"/>
                  <w:vAlign w:val="center"/>
                </w:tcPr>
                <w:p w14:paraId="5E07E8D6">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103.07373047</w:t>
                  </w:r>
                </w:p>
              </w:tc>
              <w:tc>
                <w:tcPr>
                  <w:tcW w:w="874" w:type="pct"/>
                  <w:noWrap w:val="0"/>
                  <w:vAlign w:val="center"/>
                </w:tcPr>
                <w:p w14:paraId="299B16D1">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26.37920380</w:t>
                  </w:r>
                </w:p>
              </w:tc>
              <w:tc>
                <w:tcPr>
                  <w:tcW w:w="596" w:type="pct"/>
                  <w:noWrap w:val="0"/>
                  <w:vAlign w:val="center"/>
                </w:tcPr>
                <w:p w14:paraId="420A9525">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4户15人</w:t>
                  </w:r>
                </w:p>
              </w:tc>
              <w:tc>
                <w:tcPr>
                  <w:tcW w:w="462" w:type="pct"/>
                  <w:vMerge w:val="continue"/>
                  <w:noWrap w:val="0"/>
                  <w:vAlign w:val="center"/>
                </w:tcPr>
                <w:p w14:paraId="61ABE267">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2A5567D9">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1号场地西南侧</w:t>
                  </w:r>
                </w:p>
              </w:tc>
              <w:tc>
                <w:tcPr>
                  <w:tcW w:w="499" w:type="pct"/>
                  <w:noWrap w:val="0"/>
                  <w:vAlign w:val="center"/>
                </w:tcPr>
                <w:p w14:paraId="2EB9EED7">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770</w:t>
                  </w:r>
                </w:p>
              </w:tc>
            </w:tr>
            <w:tr w14:paraId="2071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4F94E7C5">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4E671B5D">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余家包</w:t>
                  </w:r>
                </w:p>
              </w:tc>
              <w:tc>
                <w:tcPr>
                  <w:tcW w:w="893" w:type="pct"/>
                  <w:noWrap w:val="0"/>
                  <w:vAlign w:val="center"/>
                </w:tcPr>
                <w:p w14:paraId="46C6940B">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103.06763649 </w:t>
                  </w:r>
                </w:p>
              </w:tc>
              <w:tc>
                <w:tcPr>
                  <w:tcW w:w="874" w:type="pct"/>
                  <w:noWrap w:val="0"/>
                  <w:vAlign w:val="center"/>
                </w:tcPr>
                <w:p w14:paraId="41DC0C1F">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26.37147903</w:t>
                  </w:r>
                </w:p>
              </w:tc>
              <w:tc>
                <w:tcPr>
                  <w:tcW w:w="596" w:type="pct"/>
                  <w:noWrap w:val="0"/>
                  <w:vAlign w:val="center"/>
                </w:tcPr>
                <w:p w14:paraId="75D7CEF7">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7户23人</w:t>
                  </w:r>
                </w:p>
              </w:tc>
              <w:tc>
                <w:tcPr>
                  <w:tcW w:w="462" w:type="pct"/>
                  <w:vMerge w:val="continue"/>
                  <w:noWrap w:val="0"/>
                  <w:vAlign w:val="center"/>
                </w:tcPr>
                <w:p w14:paraId="4FF96764">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2D877D5E">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1号场地西南侧</w:t>
                  </w:r>
                </w:p>
              </w:tc>
              <w:tc>
                <w:tcPr>
                  <w:tcW w:w="499" w:type="pct"/>
                  <w:noWrap w:val="0"/>
                  <w:vAlign w:val="center"/>
                </w:tcPr>
                <w:p w14:paraId="2468880E">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1950</w:t>
                  </w:r>
                </w:p>
              </w:tc>
            </w:tr>
            <w:tr w14:paraId="323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6B90F052">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2ADB1C5E">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野猪塘</w:t>
                  </w:r>
                </w:p>
              </w:tc>
              <w:tc>
                <w:tcPr>
                  <w:tcW w:w="893" w:type="pct"/>
                  <w:noWrap w:val="0"/>
                  <w:vAlign w:val="center"/>
                </w:tcPr>
                <w:p w14:paraId="232D423E">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103.07579041 </w:t>
                  </w:r>
                </w:p>
              </w:tc>
              <w:tc>
                <w:tcPr>
                  <w:tcW w:w="874" w:type="pct"/>
                  <w:noWrap w:val="0"/>
                  <w:vAlign w:val="center"/>
                </w:tcPr>
                <w:p w14:paraId="63FF0115">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26.37422562</w:t>
                  </w:r>
                </w:p>
              </w:tc>
              <w:tc>
                <w:tcPr>
                  <w:tcW w:w="596" w:type="pct"/>
                  <w:noWrap w:val="0"/>
                  <w:vAlign w:val="center"/>
                </w:tcPr>
                <w:p w14:paraId="27134957">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45户152人</w:t>
                  </w:r>
                </w:p>
              </w:tc>
              <w:tc>
                <w:tcPr>
                  <w:tcW w:w="462" w:type="pct"/>
                  <w:vMerge w:val="continue"/>
                  <w:noWrap w:val="0"/>
                  <w:vAlign w:val="center"/>
                </w:tcPr>
                <w:p w14:paraId="376E8F16">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5421DFDF">
                  <w:pPr>
                    <w:spacing w:line="320" w:lineRule="exact"/>
                    <w:ind w:firstLine="0" w:firstLineChars="0"/>
                    <w:jc w:val="center"/>
                    <w:rPr>
                      <w:rFonts w:hint="eastAsia" w:ascii="Times New Roman" w:hAnsi="Times New Roman"/>
                      <w:color w:val="auto"/>
                      <w:sz w:val="22"/>
                      <w:szCs w:val="22"/>
                      <w:highlight w:val="none"/>
                    </w:rPr>
                  </w:pPr>
                  <w:r>
                    <w:rPr>
                      <w:rFonts w:hint="eastAsia"/>
                      <w:color w:val="auto"/>
                      <w:sz w:val="22"/>
                      <w:szCs w:val="22"/>
                      <w:highlight w:val="none"/>
                      <w:lang w:val="en-US" w:eastAsia="zh-CN"/>
                    </w:rPr>
                    <w:t>1号场地西南侧</w:t>
                  </w:r>
                </w:p>
              </w:tc>
              <w:tc>
                <w:tcPr>
                  <w:tcW w:w="499" w:type="pct"/>
                  <w:noWrap w:val="0"/>
                  <w:vAlign w:val="center"/>
                </w:tcPr>
                <w:p w14:paraId="44A94028">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1200</w:t>
                  </w:r>
                </w:p>
              </w:tc>
            </w:tr>
            <w:tr w14:paraId="14EA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5A9D591D">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5DBEF9D3">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补味</w:t>
                  </w:r>
                </w:p>
              </w:tc>
              <w:tc>
                <w:tcPr>
                  <w:tcW w:w="893" w:type="pct"/>
                  <w:noWrap w:val="0"/>
                  <w:vAlign w:val="center"/>
                </w:tcPr>
                <w:p w14:paraId="31B63929">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103.09184074 </w:t>
                  </w:r>
                </w:p>
              </w:tc>
              <w:tc>
                <w:tcPr>
                  <w:tcW w:w="874" w:type="pct"/>
                  <w:noWrap w:val="0"/>
                  <w:vAlign w:val="center"/>
                </w:tcPr>
                <w:p w14:paraId="43527405">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26.37182236</w:t>
                  </w:r>
                </w:p>
              </w:tc>
              <w:tc>
                <w:tcPr>
                  <w:tcW w:w="596" w:type="pct"/>
                  <w:noWrap w:val="0"/>
                  <w:vAlign w:val="center"/>
                </w:tcPr>
                <w:p w14:paraId="2876828B">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46户171人</w:t>
                  </w:r>
                </w:p>
              </w:tc>
              <w:tc>
                <w:tcPr>
                  <w:tcW w:w="462" w:type="pct"/>
                  <w:vMerge w:val="continue"/>
                  <w:noWrap w:val="0"/>
                  <w:vAlign w:val="center"/>
                </w:tcPr>
                <w:p w14:paraId="60A32813">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21FF75D3">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1号场地东南侧</w:t>
                  </w:r>
                </w:p>
              </w:tc>
              <w:tc>
                <w:tcPr>
                  <w:tcW w:w="499" w:type="pct"/>
                  <w:noWrap w:val="0"/>
                  <w:vAlign w:val="center"/>
                </w:tcPr>
                <w:p w14:paraId="333010E8">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1550</w:t>
                  </w:r>
                </w:p>
              </w:tc>
            </w:tr>
            <w:tr w14:paraId="4A63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1" w:type="pct"/>
                  <w:vMerge w:val="continue"/>
                  <w:noWrap w:val="0"/>
                  <w:vAlign w:val="center"/>
                </w:tcPr>
                <w:p w14:paraId="65D99B31">
                  <w:pPr>
                    <w:spacing w:line="320" w:lineRule="exact"/>
                    <w:ind w:firstLine="0" w:firstLineChars="0"/>
                    <w:jc w:val="center"/>
                    <w:rPr>
                      <w:rFonts w:ascii="Times New Roman" w:hAnsi="Times New Roman"/>
                      <w:color w:val="auto"/>
                      <w:sz w:val="22"/>
                      <w:szCs w:val="22"/>
                      <w:highlight w:val="none"/>
                    </w:rPr>
                  </w:pPr>
                </w:p>
              </w:tc>
              <w:tc>
                <w:tcPr>
                  <w:tcW w:w="343" w:type="pct"/>
                  <w:noWrap w:val="0"/>
                  <w:vAlign w:val="center"/>
                </w:tcPr>
                <w:p w14:paraId="11A2BD4E">
                  <w:pPr>
                    <w:spacing w:line="320" w:lineRule="exact"/>
                    <w:ind w:firstLine="0" w:firstLineChars="0"/>
                    <w:jc w:val="center"/>
                    <w:rPr>
                      <w:rFonts w:hint="default" w:ascii="Times New Roman" w:hAnsi="Times New Roman" w:eastAsia="宋体" w:cstheme="minorBidi"/>
                      <w:color w:val="auto"/>
                      <w:kern w:val="2"/>
                      <w:sz w:val="22"/>
                      <w:szCs w:val="22"/>
                      <w:highlight w:val="none"/>
                      <w:lang w:val="en-US" w:eastAsia="zh-CN" w:bidi="ar-SA"/>
                    </w:rPr>
                  </w:pPr>
                  <w:r>
                    <w:rPr>
                      <w:rFonts w:hint="eastAsia"/>
                      <w:color w:val="auto"/>
                      <w:sz w:val="22"/>
                      <w:szCs w:val="22"/>
                      <w:highlight w:val="none"/>
                      <w:lang w:val="en-US" w:eastAsia="zh-CN"/>
                    </w:rPr>
                    <w:t>排子田</w:t>
                  </w:r>
                </w:p>
              </w:tc>
              <w:tc>
                <w:tcPr>
                  <w:tcW w:w="893" w:type="pct"/>
                  <w:noWrap w:val="0"/>
                  <w:vAlign w:val="center"/>
                </w:tcPr>
                <w:p w14:paraId="72698CFD">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 xml:space="preserve">103.08720589 </w:t>
                  </w:r>
                </w:p>
              </w:tc>
              <w:tc>
                <w:tcPr>
                  <w:tcW w:w="874" w:type="pct"/>
                  <w:noWrap w:val="0"/>
                  <w:vAlign w:val="center"/>
                </w:tcPr>
                <w:p w14:paraId="731CB86C">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26.38409615</w:t>
                  </w:r>
                </w:p>
              </w:tc>
              <w:tc>
                <w:tcPr>
                  <w:tcW w:w="596" w:type="pct"/>
                  <w:noWrap w:val="0"/>
                  <w:vAlign w:val="center"/>
                </w:tcPr>
                <w:p w14:paraId="457A6801">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37户143人</w:t>
                  </w:r>
                </w:p>
              </w:tc>
              <w:tc>
                <w:tcPr>
                  <w:tcW w:w="462" w:type="pct"/>
                  <w:vMerge w:val="continue"/>
                  <w:noWrap w:val="0"/>
                  <w:vAlign w:val="center"/>
                </w:tcPr>
                <w:p w14:paraId="5A7A7E73">
                  <w:pPr>
                    <w:spacing w:line="320" w:lineRule="exact"/>
                    <w:ind w:firstLine="0" w:firstLineChars="0"/>
                    <w:jc w:val="center"/>
                    <w:rPr>
                      <w:rFonts w:ascii="Times New Roman" w:hAnsi="Times New Roman"/>
                      <w:color w:val="auto"/>
                      <w:sz w:val="22"/>
                      <w:szCs w:val="22"/>
                      <w:highlight w:val="none"/>
                    </w:rPr>
                  </w:pPr>
                </w:p>
              </w:tc>
              <w:tc>
                <w:tcPr>
                  <w:tcW w:w="1067" w:type="pct"/>
                  <w:noWrap w:val="0"/>
                  <w:vAlign w:val="center"/>
                </w:tcPr>
                <w:p w14:paraId="3EB70B31">
                  <w:pPr>
                    <w:spacing w:line="320" w:lineRule="exact"/>
                    <w:ind w:firstLine="0" w:firstLineChars="0"/>
                    <w:jc w:val="center"/>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1号场地东侧</w:t>
                  </w:r>
                </w:p>
              </w:tc>
              <w:tc>
                <w:tcPr>
                  <w:tcW w:w="499" w:type="pct"/>
                  <w:noWrap w:val="0"/>
                  <w:vAlign w:val="center"/>
                </w:tcPr>
                <w:p w14:paraId="664CF749">
                  <w:pPr>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650</w:t>
                  </w:r>
                </w:p>
              </w:tc>
            </w:tr>
          </w:tbl>
          <w:p w14:paraId="79224DD2">
            <w:pPr>
              <w:ind w:firstLine="520"/>
              <w:rPr>
                <w:rFonts w:ascii="Times New Roman" w:hAnsi="Times New Roman"/>
                <w:color w:val="auto"/>
                <w:kern w:val="2"/>
                <w:highlight w:val="none"/>
              </w:rPr>
            </w:pPr>
            <w:r>
              <w:rPr>
                <w:rFonts w:hint="eastAsia" w:ascii="Times New Roman" w:hAnsi="Times New Roman"/>
                <w:color w:val="auto"/>
                <w:kern w:val="2"/>
                <w:highlight w:val="none"/>
              </w:rPr>
              <w:t>地表水、声及生态的环境保护目标见表3-6：</w:t>
            </w:r>
          </w:p>
          <w:p w14:paraId="7ED64FF8">
            <w:pPr>
              <w:ind w:firstLine="0" w:firstLineChars="0"/>
              <w:jc w:val="center"/>
              <w:rPr>
                <w:rFonts w:ascii="Times New Roman" w:hAnsi="Times New Roman"/>
                <w:color w:val="auto"/>
                <w:sz w:val="18"/>
                <w:szCs w:val="18"/>
                <w:highlight w:val="none"/>
              </w:rPr>
            </w:pPr>
            <w:r>
              <w:rPr>
                <w:rFonts w:hint="eastAsia" w:ascii="Times New Roman" w:hAnsi="Times New Roman"/>
                <w:b/>
                <w:color w:val="auto"/>
                <w:sz w:val="21"/>
                <w:highlight w:val="none"/>
              </w:rPr>
              <w:t>表3-6  项目区周边地表水、生态环境</w:t>
            </w:r>
            <w:r>
              <w:rPr>
                <w:rFonts w:ascii="Times New Roman" w:hAnsi="Times New Roman"/>
                <w:b/>
                <w:color w:val="auto"/>
                <w:sz w:val="21"/>
                <w:highlight w:val="none"/>
              </w:rPr>
              <w:t>主要环境保护目标</w:t>
            </w:r>
            <w:r>
              <w:rPr>
                <w:rFonts w:hint="eastAsia" w:ascii="Times New Roman" w:hAnsi="Times New Roman"/>
                <w:b/>
                <w:color w:val="auto"/>
                <w:sz w:val="21"/>
                <w:highlight w:val="none"/>
              </w:rPr>
              <w:t>一览表</w:t>
            </w:r>
          </w:p>
          <w:tbl>
            <w:tblPr>
              <w:tblStyle w:val="22"/>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079"/>
              <w:gridCol w:w="1624"/>
              <w:gridCol w:w="1287"/>
              <w:gridCol w:w="2967"/>
            </w:tblGrid>
            <w:tr w14:paraId="3E48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1" w:type="dxa"/>
                  <w:noWrap w:val="0"/>
                  <w:vAlign w:val="center"/>
                </w:tcPr>
                <w:p w14:paraId="0B028E75">
                  <w:pPr>
                    <w:spacing w:line="320" w:lineRule="exact"/>
                    <w:ind w:firstLine="0" w:firstLineChars="0"/>
                    <w:jc w:val="center"/>
                    <w:rPr>
                      <w:rFonts w:ascii="Times New Roman" w:hAnsi="Times New Roman"/>
                      <w:b/>
                      <w:bCs/>
                      <w:color w:val="auto"/>
                      <w:sz w:val="22"/>
                      <w:szCs w:val="22"/>
                      <w:highlight w:val="none"/>
                    </w:rPr>
                  </w:pPr>
                  <w:r>
                    <w:rPr>
                      <w:rFonts w:hint="eastAsia" w:ascii="Times New Roman" w:hAnsi="Times New Roman"/>
                      <w:b/>
                      <w:bCs/>
                      <w:color w:val="auto"/>
                      <w:sz w:val="22"/>
                      <w:szCs w:val="22"/>
                      <w:highlight w:val="none"/>
                    </w:rPr>
                    <w:t>类别</w:t>
                  </w:r>
                </w:p>
              </w:tc>
              <w:tc>
                <w:tcPr>
                  <w:tcW w:w="1079" w:type="dxa"/>
                  <w:noWrap w:val="0"/>
                  <w:vAlign w:val="center"/>
                </w:tcPr>
                <w:p w14:paraId="4702D7BF">
                  <w:pPr>
                    <w:spacing w:line="320" w:lineRule="exact"/>
                    <w:ind w:firstLine="0" w:firstLineChars="0"/>
                    <w:jc w:val="center"/>
                    <w:rPr>
                      <w:rFonts w:ascii="Times New Roman" w:hAnsi="Times New Roman"/>
                      <w:b/>
                      <w:bCs/>
                      <w:color w:val="auto"/>
                      <w:sz w:val="22"/>
                      <w:szCs w:val="22"/>
                      <w:highlight w:val="none"/>
                    </w:rPr>
                  </w:pPr>
                  <w:r>
                    <w:rPr>
                      <w:rFonts w:hint="eastAsia" w:ascii="Times New Roman" w:hAnsi="Times New Roman"/>
                      <w:b/>
                      <w:bCs/>
                      <w:color w:val="auto"/>
                      <w:sz w:val="22"/>
                      <w:szCs w:val="22"/>
                      <w:highlight w:val="none"/>
                    </w:rPr>
                    <w:t>保护目标名称</w:t>
                  </w:r>
                </w:p>
              </w:tc>
              <w:tc>
                <w:tcPr>
                  <w:tcW w:w="2911" w:type="dxa"/>
                  <w:gridSpan w:val="2"/>
                  <w:noWrap w:val="0"/>
                  <w:vAlign w:val="center"/>
                </w:tcPr>
                <w:p w14:paraId="286C7DE8">
                  <w:pPr>
                    <w:spacing w:line="320" w:lineRule="exact"/>
                    <w:ind w:firstLine="0" w:firstLineChars="0"/>
                    <w:jc w:val="center"/>
                    <w:rPr>
                      <w:rFonts w:ascii="Times New Roman" w:hAnsi="Times New Roman"/>
                      <w:b/>
                      <w:bCs/>
                      <w:color w:val="auto"/>
                      <w:sz w:val="22"/>
                      <w:szCs w:val="22"/>
                      <w:highlight w:val="none"/>
                    </w:rPr>
                  </w:pPr>
                  <w:r>
                    <w:rPr>
                      <w:rFonts w:hint="eastAsia" w:ascii="Times New Roman" w:hAnsi="Times New Roman"/>
                      <w:b/>
                      <w:bCs/>
                      <w:color w:val="auto"/>
                      <w:sz w:val="22"/>
                      <w:szCs w:val="22"/>
                      <w:highlight w:val="none"/>
                    </w:rPr>
                    <w:t>方位、距离</w:t>
                  </w:r>
                </w:p>
              </w:tc>
              <w:tc>
                <w:tcPr>
                  <w:tcW w:w="2967" w:type="dxa"/>
                  <w:noWrap w:val="0"/>
                  <w:vAlign w:val="center"/>
                </w:tcPr>
                <w:p w14:paraId="03DECC4E">
                  <w:pPr>
                    <w:spacing w:line="320" w:lineRule="exact"/>
                    <w:ind w:firstLine="0" w:firstLineChars="0"/>
                    <w:jc w:val="center"/>
                    <w:rPr>
                      <w:rFonts w:ascii="Times New Roman" w:hAnsi="Times New Roman"/>
                      <w:b/>
                      <w:bCs/>
                      <w:color w:val="auto"/>
                      <w:sz w:val="22"/>
                      <w:szCs w:val="22"/>
                      <w:highlight w:val="none"/>
                    </w:rPr>
                  </w:pPr>
                  <w:r>
                    <w:rPr>
                      <w:rFonts w:hint="eastAsia" w:ascii="Times New Roman" w:hAnsi="Times New Roman"/>
                      <w:b/>
                      <w:bCs/>
                      <w:color w:val="auto"/>
                      <w:sz w:val="22"/>
                      <w:szCs w:val="22"/>
                      <w:highlight w:val="none"/>
                    </w:rPr>
                    <w:t>保护级别</w:t>
                  </w:r>
                </w:p>
              </w:tc>
            </w:tr>
            <w:tr w14:paraId="118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1" w:type="dxa"/>
                  <w:vMerge w:val="restart"/>
                  <w:noWrap w:val="0"/>
                  <w:vAlign w:val="center"/>
                </w:tcPr>
                <w:p w14:paraId="137DB01A">
                  <w:pPr>
                    <w:adjustRightInd w:val="0"/>
                    <w:snapToGrid w:val="0"/>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地表水</w:t>
                  </w:r>
                </w:p>
              </w:tc>
              <w:tc>
                <w:tcPr>
                  <w:tcW w:w="1079" w:type="dxa"/>
                  <w:noWrap w:val="0"/>
                  <w:vAlign w:val="center"/>
                </w:tcPr>
                <w:p w14:paraId="6EA99CE4">
                  <w:pPr>
                    <w:adjustRightInd w:val="0"/>
                    <w:snapToGrid w:val="0"/>
                    <w:spacing w:line="320" w:lineRule="exact"/>
                    <w:ind w:firstLine="0" w:firstLineChars="0"/>
                    <w:jc w:val="center"/>
                    <w:rPr>
                      <w:rFonts w:hint="eastAsia" w:ascii="Times New Roman" w:hAnsi="Times New Roman" w:eastAsia="宋体"/>
                      <w:color w:val="auto"/>
                      <w:sz w:val="22"/>
                      <w:szCs w:val="22"/>
                      <w:highlight w:val="none"/>
                      <w:lang w:eastAsia="zh-CN"/>
                    </w:rPr>
                  </w:pPr>
                  <w:r>
                    <w:rPr>
                      <w:rFonts w:hint="eastAsia"/>
                      <w:color w:val="auto"/>
                      <w:sz w:val="22"/>
                      <w:szCs w:val="22"/>
                      <w:highlight w:val="none"/>
                      <w:lang w:val="en-US" w:eastAsia="zh-CN"/>
                    </w:rPr>
                    <w:t>老干沟</w:t>
                  </w:r>
                </w:p>
              </w:tc>
              <w:tc>
                <w:tcPr>
                  <w:tcW w:w="2911" w:type="dxa"/>
                  <w:gridSpan w:val="2"/>
                  <w:noWrap w:val="0"/>
                  <w:vAlign w:val="center"/>
                </w:tcPr>
                <w:p w14:paraId="222D457D">
                  <w:pPr>
                    <w:adjustRightInd w:val="0"/>
                    <w:snapToGrid w:val="0"/>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自西北向东流，位于采区北侧外约40m</w:t>
                  </w:r>
                </w:p>
              </w:tc>
              <w:tc>
                <w:tcPr>
                  <w:tcW w:w="2967" w:type="dxa"/>
                  <w:vMerge w:val="restart"/>
                  <w:noWrap w:val="0"/>
                  <w:vAlign w:val="center"/>
                </w:tcPr>
                <w:p w14:paraId="33C49365">
                  <w:pPr>
                    <w:adjustRightInd w:val="0"/>
                    <w:snapToGrid w:val="0"/>
                    <w:spacing w:line="320" w:lineRule="exact"/>
                    <w:ind w:firstLine="0" w:firstLineChars="0"/>
                    <w:rPr>
                      <w:rFonts w:ascii="Times New Roman" w:hAnsi="Times New Roman"/>
                      <w:color w:val="auto"/>
                      <w:sz w:val="22"/>
                      <w:szCs w:val="22"/>
                      <w:highlight w:val="none"/>
                    </w:rPr>
                  </w:pPr>
                  <w:r>
                    <w:rPr>
                      <w:rFonts w:hint="eastAsia" w:ascii="Times New Roman" w:hAnsi="Times New Roman"/>
                      <w:color w:val="auto"/>
                      <w:sz w:val="22"/>
                      <w:szCs w:val="22"/>
                      <w:highlight w:val="none"/>
                    </w:rPr>
                    <w:t>《地表水环境质量标准》（GB3838-2002）中</w:t>
                  </w:r>
                  <w:r>
                    <w:rPr>
                      <w:rFonts w:hint="eastAsia" w:ascii="Times New Roman" w:hAnsi="Times New Roman" w:eastAsia="宋体"/>
                      <w:color w:val="auto"/>
                      <w:sz w:val="22"/>
                      <w:szCs w:val="22"/>
                      <w:highlight w:val="none"/>
                      <w:lang w:val="en-US" w:eastAsia="zh-CN"/>
                    </w:rPr>
                    <w:t>Ⅳ类</w:t>
                  </w:r>
                  <w:r>
                    <w:rPr>
                      <w:rFonts w:hint="eastAsia" w:ascii="Times New Roman" w:hAnsi="Times New Roman"/>
                      <w:color w:val="auto"/>
                      <w:sz w:val="22"/>
                      <w:szCs w:val="22"/>
                      <w:highlight w:val="none"/>
                    </w:rPr>
                    <w:t>标准</w:t>
                  </w:r>
                </w:p>
              </w:tc>
            </w:tr>
            <w:tr w14:paraId="6E2C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1" w:type="dxa"/>
                  <w:vMerge w:val="continue"/>
                  <w:noWrap w:val="0"/>
                  <w:vAlign w:val="center"/>
                </w:tcPr>
                <w:p w14:paraId="4BFD1084">
                  <w:pPr>
                    <w:adjustRightInd w:val="0"/>
                    <w:snapToGrid w:val="0"/>
                    <w:spacing w:line="320" w:lineRule="exact"/>
                    <w:ind w:firstLine="0" w:firstLineChars="0"/>
                    <w:jc w:val="center"/>
                    <w:rPr>
                      <w:rFonts w:ascii="Times New Roman" w:hAnsi="Times New Roman"/>
                      <w:color w:val="auto"/>
                      <w:highlight w:val="none"/>
                    </w:rPr>
                  </w:pPr>
                </w:p>
              </w:tc>
              <w:tc>
                <w:tcPr>
                  <w:tcW w:w="1079" w:type="dxa"/>
                  <w:noWrap w:val="0"/>
                  <w:vAlign w:val="center"/>
                </w:tcPr>
                <w:p w14:paraId="108E10FB">
                  <w:pPr>
                    <w:adjustRightInd w:val="0"/>
                    <w:snapToGrid w:val="0"/>
                    <w:spacing w:line="320" w:lineRule="exact"/>
                    <w:ind w:firstLine="0" w:firstLineChars="0"/>
                    <w:jc w:val="center"/>
                    <w:rPr>
                      <w:rFonts w:hint="eastAsia" w:ascii="Times New Roman" w:hAnsi="Times New Roman" w:eastAsia="宋体"/>
                      <w:color w:val="auto"/>
                      <w:sz w:val="22"/>
                      <w:szCs w:val="22"/>
                      <w:highlight w:val="none"/>
                      <w:lang w:eastAsia="zh-CN"/>
                    </w:rPr>
                  </w:pPr>
                  <w:r>
                    <w:rPr>
                      <w:rFonts w:hint="eastAsia"/>
                      <w:color w:val="auto"/>
                      <w:sz w:val="22"/>
                      <w:szCs w:val="22"/>
                      <w:highlight w:val="none"/>
                      <w:lang w:val="en-US" w:eastAsia="zh-CN"/>
                    </w:rPr>
                    <w:t>小江</w:t>
                  </w:r>
                </w:p>
              </w:tc>
              <w:tc>
                <w:tcPr>
                  <w:tcW w:w="2911" w:type="dxa"/>
                  <w:gridSpan w:val="2"/>
                  <w:noWrap w:val="0"/>
                  <w:vAlign w:val="center"/>
                </w:tcPr>
                <w:p w14:paraId="0AC0193F">
                  <w:pPr>
                    <w:adjustRightInd w:val="0"/>
                    <w:snapToGrid w:val="0"/>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自南向北流，位于采区东侧外约1km</w:t>
                  </w:r>
                </w:p>
              </w:tc>
              <w:tc>
                <w:tcPr>
                  <w:tcW w:w="2967" w:type="dxa"/>
                  <w:vMerge w:val="continue"/>
                  <w:noWrap w:val="0"/>
                  <w:vAlign w:val="center"/>
                </w:tcPr>
                <w:p w14:paraId="35CEFE20">
                  <w:pPr>
                    <w:adjustRightInd w:val="0"/>
                    <w:snapToGrid w:val="0"/>
                    <w:spacing w:line="320" w:lineRule="exact"/>
                    <w:ind w:firstLine="0" w:firstLineChars="0"/>
                    <w:jc w:val="center"/>
                    <w:rPr>
                      <w:rFonts w:ascii="Times New Roman" w:hAnsi="Times New Roman"/>
                      <w:color w:val="auto"/>
                      <w:sz w:val="22"/>
                      <w:szCs w:val="22"/>
                      <w:highlight w:val="none"/>
                    </w:rPr>
                  </w:pPr>
                </w:p>
              </w:tc>
            </w:tr>
            <w:tr w14:paraId="11B0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1" w:type="dxa"/>
                  <w:noWrap w:val="0"/>
                  <w:vAlign w:val="center"/>
                </w:tcPr>
                <w:p w14:paraId="09E17469">
                  <w:pPr>
                    <w:adjustRightInd w:val="0"/>
                    <w:snapToGrid w:val="0"/>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声环境</w:t>
                  </w:r>
                </w:p>
              </w:tc>
              <w:tc>
                <w:tcPr>
                  <w:tcW w:w="1079" w:type="dxa"/>
                  <w:noWrap w:val="0"/>
                  <w:vAlign w:val="center"/>
                </w:tcPr>
                <w:p w14:paraId="4EBA091D">
                  <w:pPr>
                    <w:adjustRightInd w:val="0"/>
                    <w:snapToGrid w:val="0"/>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排子田散户</w:t>
                  </w:r>
                </w:p>
              </w:tc>
              <w:tc>
                <w:tcPr>
                  <w:tcW w:w="1624" w:type="dxa"/>
                  <w:noWrap w:val="0"/>
                  <w:vAlign w:val="center"/>
                </w:tcPr>
                <w:p w14:paraId="13DD9803">
                  <w:pPr>
                    <w:adjustRightInd w:val="0"/>
                    <w:snapToGrid w:val="0"/>
                    <w:spacing w:line="320" w:lineRule="exact"/>
                    <w:ind w:firstLine="0" w:firstLineChars="0"/>
                    <w:jc w:val="center"/>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1号场地东侧600m</w:t>
                  </w:r>
                </w:p>
              </w:tc>
              <w:tc>
                <w:tcPr>
                  <w:tcW w:w="1287" w:type="dxa"/>
                  <w:noWrap w:val="0"/>
                  <w:vAlign w:val="center"/>
                </w:tcPr>
                <w:p w14:paraId="46B7C998">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1户</w:t>
                  </w:r>
                </w:p>
                <w:p w14:paraId="5BF6FB72">
                  <w:pPr>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w:t>
                  </w:r>
                  <w:r>
                    <w:rPr>
                      <w:rFonts w:hint="eastAsia"/>
                      <w:color w:val="auto"/>
                      <w:sz w:val="22"/>
                      <w:szCs w:val="22"/>
                      <w:highlight w:val="none"/>
                      <w:lang w:val="en-US" w:eastAsia="zh-CN"/>
                    </w:rPr>
                    <w:t>6</w:t>
                  </w:r>
                  <w:r>
                    <w:rPr>
                      <w:rFonts w:hint="eastAsia" w:ascii="Times New Roman" w:hAnsi="Times New Roman"/>
                      <w:color w:val="auto"/>
                      <w:sz w:val="22"/>
                      <w:szCs w:val="22"/>
                      <w:highlight w:val="none"/>
                    </w:rPr>
                    <w:t>人）</w:t>
                  </w:r>
                </w:p>
              </w:tc>
              <w:tc>
                <w:tcPr>
                  <w:tcW w:w="2967" w:type="dxa"/>
                  <w:noWrap w:val="0"/>
                  <w:vAlign w:val="center"/>
                </w:tcPr>
                <w:p w14:paraId="627116FB">
                  <w:pPr>
                    <w:adjustRightInd w:val="0"/>
                    <w:snapToGrid w:val="0"/>
                    <w:spacing w:line="320" w:lineRule="exact"/>
                    <w:ind w:firstLine="0" w:firstLineChars="0"/>
                    <w:rPr>
                      <w:rFonts w:ascii="Times New Roman" w:hAnsi="Times New Roman"/>
                      <w:color w:val="auto"/>
                      <w:sz w:val="22"/>
                      <w:szCs w:val="22"/>
                      <w:highlight w:val="none"/>
                    </w:rPr>
                  </w:pPr>
                  <w:r>
                    <w:rPr>
                      <w:rFonts w:hint="eastAsia" w:ascii="Times New Roman" w:hAnsi="Times New Roman"/>
                      <w:color w:val="auto"/>
                      <w:sz w:val="22"/>
                      <w:szCs w:val="22"/>
                      <w:highlight w:val="none"/>
                    </w:rPr>
                    <w:t>《声环境质量标准》（GB3096-2008）2类标准</w:t>
                  </w:r>
                </w:p>
              </w:tc>
            </w:tr>
            <w:tr w14:paraId="1702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61" w:type="dxa"/>
                  <w:noWrap w:val="0"/>
                  <w:vAlign w:val="center"/>
                </w:tcPr>
                <w:p w14:paraId="437DC521">
                  <w:pPr>
                    <w:adjustRightInd w:val="0"/>
                    <w:snapToGrid w:val="0"/>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生态环境</w:t>
                  </w:r>
                </w:p>
              </w:tc>
              <w:tc>
                <w:tcPr>
                  <w:tcW w:w="6957" w:type="dxa"/>
                  <w:gridSpan w:val="4"/>
                  <w:noWrap w:val="0"/>
                  <w:vAlign w:val="center"/>
                </w:tcPr>
                <w:p w14:paraId="0EFB9E8D">
                  <w:pPr>
                    <w:adjustRightInd w:val="0"/>
                    <w:snapToGrid w:val="0"/>
                    <w:spacing w:line="320" w:lineRule="exact"/>
                    <w:ind w:firstLine="44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项目占地范围内无濒危保护动植物，不降低现有生态功能。</w:t>
                  </w:r>
                </w:p>
              </w:tc>
            </w:tr>
          </w:tbl>
          <w:p w14:paraId="68B0F11E">
            <w:pPr>
              <w:ind w:firstLine="0" w:firstLineChars="0"/>
              <w:rPr>
                <w:rFonts w:ascii="Times New Roman" w:hAnsi="Times New Roman"/>
                <w:color w:val="auto"/>
                <w:sz w:val="18"/>
                <w:szCs w:val="18"/>
                <w:highlight w:val="none"/>
              </w:rPr>
            </w:pPr>
            <w:r>
              <w:rPr>
                <w:rFonts w:hint="eastAsia" w:ascii="Times New Roman" w:hAnsi="Times New Roman"/>
                <w:color w:val="auto"/>
                <w:sz w:val="18"/>
                <w:szCs w:val="18"/>
                <w:highlight w:val="none"/>
              </w:rPr>
              <w:t>注：以上距离为直线距离。</w:t>
            </w:r>
          </w:p>
          <w:p w14:paraId="6D0291DC">
            <w:pPr>
              <w:spacing w:line="360" w:lineRule="auto"/>
              <w:ind w:right="130" w:rightChars="50" w:firstLine="0" w:firstLineChars="0"/>
              <w:rPr>
                <w:rFonts w:ascii="Times New Roman" w:hAnsi="Times New Roman"/>
                <w:color w:val="auto"/>
                <w:sz w:val="24"/>
                <w:highlight w:val="none"/>
              </w:rPr>
            </w:pPr>
          </w:p>
          <w:p w14:paraId="7A2FCD76">
            <w:pPr>
              <w:spacing w:line="360" w:lineRule="auto"/>
              <w:ind w:right="130" w:rightChars="50" w:firstLine="0" w:firstLineChars="0"/>
              <w:rPr>
                <w:rFonts w:ascii="Times New Roman" w:hAnsi="Times New Roman"/>
                <w:color w:val="auto"/>
                <w:sz w:val="24"/>
                <w:highlight w:val="none"/>
              </w:rPr>
            </w:pPr>
          </w:p>
        </w:tc>
      </w:tr>
    </w:tbl>
    <w:p w14:paraId="60DF0081">
      <w:pPr>
        <w:pStyle w:val="15"/>
        <w:rPr>
          <w:color w:val="auto"/>
          <w:highlight w:val="none"/>
        </w:rPr>
      </w:pPr>
    </w:p>
    <w:p w14:paraId="43946A4B">
      <w:pPr>
        <w:pStyle w:val="15"/>
        <w:rPr>
          <w:color w:val="auto"/>
          <w:highlight w:val="none"/>
        </w:rPr>
      </w:pPr>
    </w:p>
    <w:p w14:paraId="32982C45">
      <w:pPr>
        <w:pStyle w:val="15"/>
        <w:rPr>
          <w:color w:val="auto"/>
          <w:highlight w:val="none"/>
        </w:rPr>
      </w:pPr>
    </w:p>
    <w:p w14:paraId="59137553">
      <w:pPr>
        <w:pStyle w:val="6"/>
        <w:keepNext/>
        <w:keepLines/>
        <w:pageBreakBefore/>
        <w:widowControl w:val="0"/>
        <w:kinsoku/>
        <w:wordWrap/>
        <w:overflowPunct/>
        <w:topLinePunct w:val="0"/>
        <w:autoSpaceDE/>
        <w:autoSpaceDN/>
        <w:bidi w:val="0"/>
        <w:adjustRightInd/>
        <w:snapToGrid/>
        <w:spacing w:before="312" w:after="312"/>
        <w:jc w:val="left"/>
        <w:textAlignment w:val="auto"/>
        <w:rPr>
          <w:rFonts w:ascii="Times New Roman" w:hAnsi="Times New Roman"/>
          <w:color w:val="auto"/>
          <w:highlight w:val="none"/>
        </w:rPr>
      </w:pPr>
      <w:bookmarkStart w:id="38" w:name="_Toc526626944"/>
      <w:bookmarkStart w:id="39" w:name="_Toc931"/>
      <w:r>
        <w:rPr>
          <w:rFonts w:ascii="Times New Roman" w:hAnsi="Times New Roman"/>
          <w:color w:val="auto"/>
          <w:highlight w:val="none"/>
        </w:rPr>
        <w:t>表四、评价适用标准</w:t>
      </w:r>
      <w:bookmarkEnd w:id="38"/>
      <w:bookmarkEnd w:id="39"/>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939"/>
      </w:tblGrid>
      <w:tr w14:paraId="484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359" w:type="pct"/>
            <w:noWrap w:val="0"/>
            <w:vAlign w:val="center"/>
          </w:tcPr>
          <w:p w14:paraId="28DF9968">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环</w:t>
            </w:r>
          </w:p>
          <w:p w14:paraId="60BA6ED3">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境</w:t>
            </w:r>
          </w:p>
          <w:p w14:paraId="11C4876D">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质</w:t>
            </w:r>
          </w:p>
          <w:p w14:paraId="50EBC9E4">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量</w:t>
            </w:r>
          </w:p>
          <w:p w14:paraId="0EE2EA66">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标</w:t>
            </w:r>
          </w:p>
          <w:p w14:paraId="18921516">
            <w:pPr>
              <w:spacing w:line="360" w:lineRule="auto"/>
              <w:ind w:right="130" w:rightChars="50" w:firstLine="0" w:firstLineChars="0"/>
              <w:rPr>
                <w:rFonts w:ascii="Times New Roman" w:hAnsi="Times New Roman"/>
                <w:color w:val="auto"/>
                <w:sz w:val="24"/>
                <w:highlight w:val="none"/>
              </w:rPr>
            </w:pPr>
            <w:r>
              <w:rPr>
                <w:rFonts w:ascii="Times New Roman" w:hAnsi="Times New Roman"/>
                <w:b/>
                <w:color w:val="auto"/>
                <w:sz w:val="24"/>
                <w:highlight w:val="none"/>
              </w:rPr>
              <w:t>准</w:t>
            </w:r>
          </w:p>
        </w:tc>
        <w:tc>
          <w:tcPr>
            <w:tcW w:w="4640" w:type="pct"/>
            <w:noWrap w:val="0"/>
            <w:vAlign w:val="top"/>
          </w:tcPr>
          <w:p w14:paraId="2C69AF1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2"/>
              <w:textAlignment w:val="auto"/>
              <w:rPr>
                <w:rFonts w:ascii="Times New Roman" w:hAnsi="Times New Roman"/>
                <w:b/>
                <w:color w:val="auto"/>
                <w:highlight w:val="none"/>
              </w:rPr>
            </w:pPr>
            <w:r>
              <w:rPr>
                <w:rFonts w:ascii="Times New Roman" w:hAnsi="Times New Roman"/>
                <w:b/>
                <w:color w:val="auto"/>
                <w:highlight w:val="none"/>
              </w:rPr>
              <w:t>1、大气环境质量标准</w:t>
            </w:r>
          </w:p>
          <w:p w14:paraId="79A8F74F">
            <w:pPr>
              <w:adjustRightInd w:val="0"/>
              <w:snapToGrid w:val="0"/>
              <w:spacing w:line="360" w:lineRule="auto"/>
              <w:ind w:firstLine="520"/>
              <w:rPr>
                <w:rFonts w:ascii="Times New Roman" w:hAnsi="Times New Roman"/>
                <w:color w:val="auto"/>
                <w:highlight w:val="none"/>
              </w:rPr>
            </w:pPr>
            <w:r>
              <w:rPr>
                <w:rFonts w:ascii="Times New Roman" w:hAnsi="Times New Roman"/>
                <w:color w:val="auto"/>
                <w:highlight w:val="none"/>
              </w:rPr>
              <w:t>项目主要位于</w:t>
            </w:r>
            <w:r>
              <w:rPr>
                <w:rFonts w:hint="eastAsia" w:ascii="Times New Roman" w:hAnsi="Times New Roman"/>
                <w:color w:val="auto"/>
                <w:highlight w:val="none"/>
              </w:rPr>
              <w:t>昆明市</w:t>
            </w:r>
            <w:r>
              <w:rPr>
                <w:rFonts w:hint="eastAsia" w:ascii="Times New Roman" w:hAnsi="Times New Roman" w:eastAsia="宋体" w:cs="Times New Roman"/>
                <w:color w:val="auto"/>
                <w:highlight w:val="none"/>
              </w:rPr>
              <w:t>东川区拖布卡镇大荒地村排子田小组境内</w:t>
            </w:r>
            <w:r>
              <w:rPr>
                <w:rFonts w:hint="eastAsia" w:ascii="Times New Roman" w:hAnsi="Times New Roman"/>
                <w:color w:val="auto"/>
                <w:highlight w:val="none"/>
              </w:rPr>
              <w:t>，</w:t>
            </w:r>
            <w:r>
              <w:rPr>
                <w:rFonts w:ascii="Times New Roman" w:hAnsi="Times New Roman"/>
                <w:color w:val="auto"/>
                <w:highlight w:val="none"/>
              </w:rPr>
              <w:t>属环境空气质量功能二类区，执行《环境空气质量标准》（GB3095-2012）二级标准。执行标准见表4-1。</w:t>
            </w:r>
          </w:p>
          <w:p w14:paraId="5D106291">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表4-1   环境空气污染物浓度限值（单位：μg/m</w:t>
            </w:r>
            <w:r>
              <w:rPr>
                <w:rFonts w:ascii="Times New Roman" w:hAnsi="Times New Roman" w:eastAsia="宋体" w:cs="Times New Roman"/>
                <w:b/>
                <w:bCs/>
                <w:color w:val="auto"/>
                <w:sz w:val="21"/>
                <w:szCs w:val="21"/>
                <w:highlight w:val="none"/>
                <w:vertAlign w:val="superscript"/>
              </w:rPr>
              <w:t>3</w:t>
            </w:r>
            <w:r>
              <w:rPr>
                <w:rFonts w:ascii="Times New Roman" w:hAnsi="Times New Roman" w:eastAsia="宋体" w:cs="Times New Roman"/>
                <w:b/>
                <w:bCs/>
                <w:color w:val="auto"/>
                <w:sz w:val="21"/>
                <w:szCs w:val="21"/>
                <w:highlight w:val="none"/>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1423"/>
              <w:gridCol w:w="3213"/>
            </w:tblGrid>
            <w:tr w14:paraId="612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noWrap w:val="0"/>
                  <w:vAlign w:val="center"/>
                </w:tcPr>
                <w:p w14:paraId="5F789BF6">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污染物名称</w:t>
                  </w:r>
                </w:p>
              </w:tc>
              <w:tc>
                <w:tcPr>
                  <w:tcW w:w="3004" w:type="pct"/>
                  <w:gridSpan w:val="2"/>
                  <w:noWrap w:val="0"/>
                  <w:vAlign w:val="center"/>
                </w:tcPr>
                <w:p w14:paraId="6E0C5A3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《环境空气质量标准》（GB3095-2012）二级标准限值</w:t>
                  </w:r>
                </w:p>
              </w:tc>
            </w:tr>
            <w:tr w14:paraId="1FF4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74322BED">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二氧化硫（SO</w:t>
                  </w:r>
                  <w:r>
                    <w:rPr>
                      <w:rFonts w:ascii="Times New Roman" w:hAnsi="Times New Roman"/>
                      <w:snapToGrid/>
                      <w:color w:val="auto"/>
                      <w:sz w:val="22"/>
                      <w:szCs w:val="22"/>
                      <w:highlight w:val="none"/>
                      <w:vertAlign w:val="subscript"/>
                      <w:lang w:bidi="en-US"/>
                    </w:rPr>
                    <w:t>2</w:t>
                  </w:r>
                  <w:r>
                    <w:rPr>
                      <w:rFonts w:ascii="Times New Roman" w:hAnsi="Times New Roman"/>
                      <w:snapToGrid/>
                      <w:color w:val="auto"/>
                      <w:sz w:val="22"/>
                      <w:szCs w:val="22"/>
                      <w:highlight w:val="none"/>
                      <w:lang w:bidi="en-US"/>
                    </w:rPr>
                    <w:t>）</w:t>
                  </w:r>
                </w:p>
              </w:tc>
              <w:tc>
                <w:tcPr>
                  <w:tcW w:w="922" w:type="pct"/>
                  <w:noWrap w:val="0"/>
                  <w:vAlign w:val="center"/>
                </w:tcPr>
                <w:p w14:paraId="128F4C9E">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年平均</w:t>
                  </w:r>
                </w:p>
              </w:tc>
              <w:tc>
                <w:tcPr>
                  <w:tcW w:w="2082" w:type="pct"/>
                  <w:noWrap w:val="0"/>
                  <w:vAlign w:val="center"/>
                </w:tcPr>
                <w:p w14:paraId="51EBB1B2">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60μg/m</w:t>
                  </w:r>
                  <w:r>
                    <w:rPr>
                      <w:rFonts w:ascii="Times New Roman" w:hAnsi="Times New Roman"/>
                      <w:snapToGrid/>
                      <w:color w:val="auto"/>
                      <w:sz w:val="22"/>
                      <w:szCs w:val="22"/>
                      <w:highlight w:val="none"/>
                      <w:vertAlign w:val="superscript"/>
                      <w:lang w:bidi="en-US"/>
                    </w:rPr>
                    <w:t>3</w:t>
                  </w:r>
                </w:p>
              </w:tc>
            </w:tr>
            <w:tr w14:paraId="65D6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661923EE">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70674EAC">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133B6C92">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150μg/m</w:t>
                  </w:r>
                  <w:r>
                    <w:rPr>
                      <w:rFonts w:ascii="Times New Roman" w:hAnsi="Times New Roman"/>
                      <w:snapToGrid/>
                      <w:color w:val="auto"/>
                      <w:sz w:val="22"/>
                      <w:szCs w:val="22"/>
                      <w:highlight w:val="none"/>
                      <w:vertAlign w:val="superscript"/>
                      <w:lang w:bidi="en-US"/>
                    </w:rPr>
                    <w:t>3</w:t>
                  </w:r>
                </w:p>
              </w:tc>
            </w:tr>
            <w:tr w14:paraId="36E8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1AF305E2">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3FBB6C9B">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小时值</w:t>
                  </w:r>
                </w:p>
              </w:tc>
              <w:tc>
                <w:tcPr>
                  <w:tcW w:w="2082" w:type="pct"/>
                  <w:noWrap w:val="0"/>
                  <w:vAlign w:val="center"/>
                </w:tcPr>
                <w:p w14:paraId="58B60799">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500μg/m</w:t>
                  </w:r>
                  <w:r>
                    <w:rPr>
                      <w:rFonts w:ascii="Times New Roman" w:hAnsi="Times New Roman"/>
                      <w:snapToGrid/>
                      <w:color w:val="auto"/>
                      <w:sz w:val="22"/>
                      <w:szCs w:val="22"/>
                      <w:highlight w:val="none"/>
                      <w:vertAlign w:val="superscript"/>
                      <w:lang w:bidi="en-US"/>
                    </w:rPr>
                    <w:t>3</w:t>
                  </w:r>
                </w:p>
              </w:tc>
            </w:tr>
            <w:tr w14:paraId="0A83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6C9D67A1">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二氧化氮（NO</w:t>
                  </w:r>
                  <w:r>
                    <w:rPr>
                      <w:rFonts w:ascii="Times New Roman" w:hAnsi="Times New Roman"/>
                      <w:snapToGrid/>
                      <w:color w:val="auto"/>
                      <w:sz w:val="22"/>
                      <w:szCs w:val="22"/>
                      <w:highlight w:val="none"/>
                      <w:vertAlign w:val="subscript"/>
                      <w:lang w:bidi="en-US"/>
                    </w:rPr>
                    <w:t>2</w:t>
                  </w:r>
                  <w:r>
                    <w:rPr>
                      <w:rFonts w:ascii="Times New Roman" w:hAnsi="Times New Roman"/>
                      <w:snapToGrid/>
                      <w:color w:val="auto"/>
                      <w:sz w:val="22"/>
                      <w:szCs w:val="22"/>
                      <w:highlight w:val="none"/>
                      <w:lang w:bidi="en-US"/>
                    </w:rPr>
                    <w:t>）</w:t>
                  </w:r>
                </w:p>
              </w:tc>
              <w:tc>
                <w:tcPr>
                  <w:tcW w:w="922" w:type="pct"/>
                  <w:noWrap w:val="0"/>
                  <w:vAlign w:val="center"/>
                </w:tcPr>
                <w:p w14:paraId="62C31212">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年平均</w:t>
                  </w:r>
                </w:p>
              </w:tc>
              <w:tc>
                <w:tcPr>
                  <w:tcW w:w="2082" w:type="pct"/>
                  <w:noWrap w:val="0"/>
                  <w:vAlign w:val="center"/>
                </w:tcPr>
                <w:p w14:paraId="573607C8">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40μg/m</w:t>
                  </w:r>
                  <w:r>
                    <w:rPr>
                      <w:rFonts w:ascii="Times New Roman" w:hAnsi="Times New Roman"/>
                      <w:snapToGrid/>
                      <w:color w:val="auto"/>
                      <w:sz w:val="22"/>
                      <w:szCs w:val="22"/>
                      <w:highlight w:val="none"/>
                      <w:vertAlign w:val="superscript"/>
                      <w:lang w:bidi="en-US"/>
                    </w:rPr>
                    <w:t>3</w:t>
                  </w:r>
                </w:p>
              </w:tc>
            </w:tr>
            <w:tr w14:paraId="79EB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03EE13E6">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68F3623A">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73E6FE00">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80μg/m</w:t>
                  </w:r>
                  <w:r>
                    <w:rPr>
                      <w:rFonts w:ascii="Times New Roman" w:hAnsi="Times New Roman"/>
                      <w:snapToGrid/>
                      <w:color w:val="auto"/>
                      <w:sz w:val="22"/>
                      <w:szCs w:val="22"/>
                      <w:highlight w:val="none"/>
                      <w:vertAlign w:val="superscript"/>
                      <w:lang w:bidi="en-US"/>
                    </w:rPr>
                    <w:t>3</w:t>
                  </w:r>
                </w:p>
              </w:tc>
            </w:tr>
            <w:tr w14:paraId="68AB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6BA08C0E">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586A81EB">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小时值</w:t>
                  </w:r>
                </w:p>
              </w:tc>
              <w:tc>
                <w:tcPr>
                  <w:tcW w:w="2082" w:type="pct"/>
                  <w:noWrap w:val="0"/>
                  <w:vAlign w:val="center"/>
                </w:tcPr>
                <w:p w14:paraId="5478B59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200μg/m</w:t>
                  </w:r>
                  <w:r>
                    <w:rPr>
                      <w:rFonts w:ascii="Times New Roman" w:hAnsi="Times New Roman"/>
                      <w:snapToGrid/>
                      <w:color w:val="auto"/>
                      <w:sz w:val="22"/>
                      <w:szCs w:val="22"/>
                      <w:highlight w:val="none"/>
                      <w:vertAlign w:val="superscript"/>
                      <w:lang w:bidi="en-US"/>
                    </w:rPr>
                    <w:t>3</w:t>
                  </w:r>
                </w:p>
              </w:tc>
            </w:tr>
            <w:tr w14:paraId="6501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6364659C">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总悬浮颗粒物（TSP）</w:t>
                  </w:r>
                </w:p>
              </w:tc>
              <w:tc>
                <w:tcPr>
                  <w:tcW w:w="922" w:type="pct"/>
                  <w:noWrap w:val="0"/>
                  <w:vAlign w:val="center"/>
                </w:tcPr>
                <w:p w14:paraId="5EE70221">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年平均</w:t>
                  </w:r>
                </w:p>
              </w:tc>
              <w:tc>
                <w:tcPr>
                  <w:tcW w:w="2082" w:type="pct"/>
                  <w:noWrap w:val="0"/>
                  <w:vAlign w:val="center"/>
                </w:tcPr>
                <w:p w14:paraId="6D00A74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200μg/m</w:t>
                  </w:r>
                  <w:r>
                    <w:rPr>
                      <w:rFonts w:ascii="Times New Roman" w:hAnsi="Times New Roman"/>
                      <w:snapToGrid/>
                      <w:color w:val="auto"/>
                      <w:sz w:val="22"/>
                      <w:szCs w:val="22"/>
                      <w:highlight w:val="none"/>
                      <w:vertAlign w:val="superscript"/>
                      <w:lang w:bidi="en-US"/>
                    </w:rPr>
                    <w:t>3</w:t>
                  </w:r>
                </w:p>
              </w:tc>
            </w:tr>
            <w:tr w14:paraId="77F7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17CCD719">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5B56402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0CE539F2">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300μg/m</w:t>
                  </w:r>
                  <w:r>
                    <w:rPr>
                      <w:rFonts w:ascii="Times New Roman" w:hAnsi="Times New Roman"/>
                      <w:snapToGrid/>
                      <w:color w:val="auto"/>
                      <w:sz w:val="22"/>
                      <w:szCs w:val="22"/>
                      <w:highlight w:val="none"/>
                      <w:vertAlign w:val="superscript"/>
                      <w:lang w:bidi="en-US"/>
                    </w:rPr>
                    <w:t>3</w:t>
                  </w:r>
                </w:p>
              </w:tc>
            </w:tr>
            <w:tr w14:paraId="1FCF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4883CD41">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颗粒物</w:t>
                  </w:r>
                </w:p>
                <w:p w14:paraId="55682CD9">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（PM10）</w:t>
                  </w:r>
                </w:p>
              </w:tc>
              <w:tc>
                <w:tcPr>
                  <w:tcW w:w="922" w:type="pct"/>
                  <w:noWrap w:val="0"/>
                  <w:vAlign w:val="center"/>
                </w:tcPr>
                <w:p w14:paraId="28AEAE20">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年平均</w:t>
                  </w:r>
                </w:p>
              </w:tc>
              <w:tc>
                <w:tcPr>
                  <w:tcW w:w="2082" w:type="pct"/>
                  <w:noWrap w:val="0"/>
                  <w:vAlign w:val="center"/>
                </w:tcPr>
                <w:p w14:paraId="352FBDC0">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70μg/m</w:t>
                  </w:r>
                  <w:r>
                    <w:rPr>
                      <w:rFonts w:ascii="Times New Roman" w:hAnsi="Times New Roman"/>
                      <w:snapToGrid/>
                      <w:color w:val="auto"/>
                      <w:sz w:val="22"/>
                      <w:szCs w:val="22"/>
                      <w:highlight w:val="none"/>
                      <w:vertAlign w:val="superscript"/>
                      <w:lang w:bidi="en-US"/>
                    </w:rPr>
                    <w:t>3</w:t>
                  </w:r>
                </w:p>
              </w:tc>
            </w:tr>
            <w:tr w14:paraId="375A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384EE8F6">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28FB53BA">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6C90043C">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150μg/m</w:t>
                  </w:r>
                  <w:r>
                    <w:rPr>
                      <w:rFonts w:ascii="Times New Roman" w:hAnsi="Times New Roman"/>
                      <w:snapToGrid/>
                      <w:color w:val="auto"/>
                      <w:sz w:val="22"/>
                      <w:szCs w:val="22"/>
                      <w:highlight w:val="none"/>
                      <w:vertAlign w:val="superscript"/>
                      <w:lang w:bidi="en-US"/>
                    </w:rPr>
                    <w:t>3</w:t>
                  </w:r>
                </w:p>
              </w:tc>
            </w:tr>
            <w:tr w14:paraId="2A1D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70213C33">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颗粒物（PM2.5）</w:t>
                  </w:r>
                </w:p>
              </w:tc>
              <w:tc>
                <w:tcPr>
                  <w:tcW w:w="922" w:type="pct"/>
                  <w:noWrap w:val="0"/>
                  <w:vAlign w:val="center"/>
                </w:tcPr>
                <w:p w14:paraId="70BD8334">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年平均</w:t>
                  </w:r>
                </w:p>
              </w:tc>
              <w:tc>
                <w:tcPr>
                  <w:tcW w:w="2082" w:type="pct"/>
                  <w:noWrap w:val="0"/>
                  <w:vAlign w:val="center"/>
                </w:tcPr>
                <w:p w14:paraId="5C81A54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35μg/m</w:t>
                  </w:r>
                  <w:r>
                    <w:rPr>
                      <w:rFonts w:ascii="Times New Roman" w:hAnsi="Times New Roman"/>
                      <w:snapToGrid/>
                      <w:color w:val="auto"/>
                      <w:sz w:val="22"/>
                      <w:szCs w:val="22"/>
                      <w:highlight w:val="none"/>
                      <w:vertAlign w:val="superscript"/>
                      <w:lang w:bidi="en-US"/>
                    </w:rPr>
                    <w:t>3</w:t>
                  </w:r>
                </w:p>
              </w:tc>
            </w:tr>
            <w:tr w14:paraId="1BA3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03EB7CF3">
                  <w:pPr>
                    <w:spacing w:line="240" w:lineRule="auto"/>
                    <w:ind w:firstLine="0" w:firstLineChars="0"/>
                    <w:jc w:val="center"/>
                    <w:rPr>
                      <w:rFonts w:ascii="Times New Roman" w:hAnsi="Times New Roman"/>
                      <w:snapToGrid/>
                      <w:color w:val="auto"/>
                      <w:sz w:val="22"/>
                      <w:szCs w:val="22"/>
                      <w:highlight w:val="none"/>
                      <w:lang w:bidi="en-US"/>
                    </w:rPr>
                  </w:pPr>
                </w:p>
              </w:tc>
              <w:tc>
                <w:tcPr>
                  <w:tcW w:w="922" w:type="pct"/>
                  <w:noWrap w:val="0"/>
                  <w:vAlign w:val="center"/>
                </w:tcPr>
                <w:p w14:paraId="3F3637D7">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5CD9922E">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75μg/m</w:t>
                  </w:r>
                  <w:r>
                    <w:rPr>
                      <w:rFonts w:ascii="Times New Roman" w:hAnsi="Times New Roman"/>
                      <w:snapToGrid/>
                      <w:color w:val="auto"/>
                      <w:sz w:val="22"/>
                      <w:szCs w:val="22"/>
                      <w:highlight w:val="none"/>
                      <w:vertAlign w:val="superscript"/>
                      <w:lang w:bidi="en-US"/>
                    </w:rPr>
                    <w:t>3</w:t>
                  </w:r>
                </w:p>
              </w:tc>
            </w:tr>
            <w:tr w14:paraId="3FBB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restart"/>
                  <w:noWrap w:val="0"/>
                  <w:vAlign w:val="center"/>
                </w:tcPr>
                <w:p w14:paraId="2F2AA38F">
                  <w:pPr>
                    <w:spacing w:line="240" w:lineRule="auto"/>
                    <w:ind w:firstLine="0" w:firstLineChars="0"/>
                    <w:jc w:val="center"/>
                    <w:rPr>
                      <w:rFonts w:hint="eastAsia" w:ascii="Times New Roman" w:hAnsi="Times New Roman"/>
                      <w:snapToGrid/>
                      <w:color w:val="auto"/>
                      <w:sz w:val="22"/>
                      <w:szCs w:val="22"/>
                      <w:highlight w:val="none"/>
                      <w:lang w:bidi="en-US"/>
                    </w:rPr>
                  </w:pPr>
                  <w:r>
                    <w:rPr>
                      <w:rFonts w:hint="eastAsia" w:ascii="Times New Roman" w:hAnsi="Times New Roman"/>
                      <w:snapToGrid/>
                      <w:color w:val="auto"/>
                      <w:sz w:val="22"/>
                      <w:szCs w:val="22"/>
                      <w:highlight w:val="none"/>
                      <w:lang w:bidi="en-US"/>
                    </w:rPr>
                    <w:t>一氧化碳</w:t>
                  </w:r>
                </w:p>
              </w:tc>
              <w:tc>
                <w:tcPr>
                  <w:tcW w:w="1418" w:type="dxa"/>
                  <w:noWrap w:val="0"/>
                  <w:vAlign w:val="center"/>
                </w:tcPr>
                <w:p w14:paraId="1BD4AD2A">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日均值</w:t>
                  </w:r>
                </w:p>
              </w:tc>
              <w:tc>
                <w:tcPr>
                  <w:tcW w:w="2082" w:type="pct"/>
                  <w:noWrap w:val="0"/>
                  <w:vAlign w:val="center"/>
                </w:tcPr>
                <w:p w14:paraId="12E99D37">
                  <w:pPr>
                    <w:spacing w:line="240" w:lineRule="auto"/>
                    <w:ind w:firstLine="0" w:firstLineChars="0"/>
                    <w:jc w:val="center"/>
                    <w:rPr>
                      <w:rFonts w:ascii="Times New Roman" w:hAnsi="Times New Roman"/>
                      <w:snapToGrid/>
                      <w:color w:val="auto"/>
                      <w:sz w:val="22"/>
                      <w:szCs w:val="22"/>
                      <w:highlight w:val="none"/>
                      <w:lang w:bidi="en-US"/>
                    </w:rPr>
                  </w:pPr>
                  <w:r>
                    <w:rPr>
                      <w:rFonts w:hint="eastAsia" w:ascii="Times New Roman" w:hAnsi="Times New Roman"/>
                      <w:snapToGrid/>
                      <w:color w:val="auto"/>
                      <w:sz w:val="22"/>
                      <w:szCs w:val="22"/>
                      <w:highlight w:val="none"/>
                      <w:lang w:bidi="en-US"/>
                    </w:rPr>
                    <w:t>4mg/m</w:t>
                  </w:r>
                  <w:r>
                    <w:rPr>
                      <w:rFonts w:hint="eastAsia" w:ascii="Times New Roman" w:hAnsi="Times New Roman"/>
                      <w:snapToGrid/>
                      <w:color w:val="auto"/>
                      <w:sz w:val="22"/>
                      <w:szCs w:val="22"/>
                      <w:highlight w:val="none"/>
                      <w:vertAlign w:val="superscript"/>
                      <w:lang w:bidi="en-US"/>
                    </w:rPr>
                    <w:t>3</w:t>
                  </w:r>
                </w:p>
              </w:tc>
            </w:tr>
            <w:tr w14:paraId="45C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995" w:type="pct"/>
                  <w:vMerge w:val="continue"/>
                  <w:noWrap w:val="0"/>
                  <w:vAlign w:val="center"/>
                </w:tcPr>
                <w:p w14:paraId="6C747234">
                  <w:pPr>
                    <w:spacing w:line="240" w:lineRule="auto"/>
                    <w:ind w:firstLine="0" w:firstLineChars="0"/>
                    <w:jc w:val="center"/>
                    <w:rPr>
                      <w:rFonts w:ascii="Times New Roman" w:hAnsi="Times New Roman"/>
                      <w:snapToGrid/>
                      <w:color w:val="auto"/>
                      <w:sz w:val="22"/>
                      <w:szCs w:val="22"/>
                      <w:highlight w:val="none"/>
                      <w:lang w:bidi="en-US"/>
                    </w:rPr>
                  </w:pPr>
                </w:p>
              </w:tc>
              <w:tc>
                <w:tcPr>
                  <w:tcW w:w="1418" w:type="dxa"/>
                  <w:noWrap w:val="0"/>
                  <w:vAlign w:val="center"/>
                </w:tcPr>
                <w:p w14:paraId="75AF4870">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小时值</w:t>
                  </w:r>
                </w:p>
              </w:tc>
              <w:tc>
                <w:tcPr>
                  <w:tcW w:w="2082" w:type="pct"/>
                  <w:noWrap w:val="0"/>
                  <w:vAlign w:val="center"/>
                </w:tcPr>
                <w:p w14:paraId="133FF62B">
                  <w:pPr>
                    <w:spacing w:line="240" w:lineRule="auto"/>
                    <w:ind w:firstLine="0" w:firstLineChars="0"/>
                    <w:jc w:val="center"/>
                    <w:rPr>
                      <w:rFonts w:ascii="Times New Roman" w:hAnsi="Times New Roman"/>
                      <w:snapToGrid/>
                      <w:color w:val="auto"/>
                      <w:sz w:val="22"/>
                      <w:szCs w:val="22"/>
                      <w:highlight w:val="none"/>
                      <w:lang w:bidi="en-US"/>
                    </w:rPr>
                  </w:pPr>
                  <w:r>
                    <w:rPr>
                      <w:rFonts w:hint="eastAsia" w:ascii="Times New Roman" w:hAnsi="Times New Roman"/>
                      <w:snapToGrid/>
                      <w:color w:val="auto"/>
                      <w:sz w:val="22"/>
                      <w:szCs w:val="22"/>
                      <w:highlight w:val="none"/>
                      <w:lang w:bidi="en-US"/>
                    </w:rPr>
                    <w:t>10mg/m</w:t>
                  </w:r>
                  <w:r>
                    <w:rPr>
                      <w:rFonts w:hint="eastAsia" w:ascii="Times New Roman" w:hAnsi="Times New Roman"/>
                      <w:snapToGrid/>
                      <w:color w:val="auto"/>
                      <w:sz w:val="22"/>
                      <w:szCs w:val="22"/>
                      <w:highlight w:val="none"/>
                      <w:vertAlign w:val="superscript"/>
                      <w:lang w:bidi="en-US"/>
                    </w:rPr>
                    <w:t>3</w:t>
                  </w:r>
                </w:p>
              </w:tc>
            </w:tr>
          </w:tbl>
          <w:p w14:paraId="2A86235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2"/>
              <w:textAlignment w:val="auto"/>
              <w:rPr>
                <w:rFonts w:ascii="Times New Roman" w:hAnsi="Times New Roman"/>
                <w:b/>
                <w:color w:val="auto"/>
                <w:highlight w:val="none"/>
              </w:rPr>
            </w:pPr>
            <w:r>
              <w:rPr>
                <w:rFonts w:ascii="Times New Roman" w:hAnsi="Times New Roman"/>
                <w:b/>
                <w:color w:val="auto"/>
                <w:highlight w:val="none"/>
              </w:rPr>
              <w:t>2、水环境质量标准</w:t>
            </w:r>
          </w:p>
          <w:p w14:paraId="65E4F205">
            <w:pPr>
              <w:tabs>
                <w:tab w:val="left" w:pos="4404"/>
              </w:tabs>
              <w:ind w:firstLine="520"/>
              <w:jc w:val="left"/>
              <w:rPr>
                <w:rFonts w:ascii="Times New Roman" w:hAnsi="Times New Roman"/>
                <w:color w:val="auto"/>
                <w:highlight w:val="none"/>
              </w:rPr>
            </w:pPr>
            <w:r>
              <w:rPr>
                <w:rFonts w:ascii="Times New Roman" w:hAnsi="Times New Roman"/>
                <w:color w:val="auto"/>
                <w:highlight w:val="none"/>
              </w:rPr>
              <w:t>（1）地表水</w:t>
            </w:r>
          </w:p>
          <w:p w14:paraId="64733BDE">
            <w:pPr>
              <w:adjustRightInd w:val="0"/>
              <w:snapToGrid w:val="0"/>
              <w:ind w:firstLine="520"/>
              <w:rPr>
                <w:rFonts w:ascii="Times New Roman" w:hAnsi="Times New Roman"/>
                <w:color w:val="auto"/>
                <w:highlight w:val="none"/>
              </w:rPr>
            </w:pPr>
            <w:r>
              <w:rPr>
                <w:rFonts w:hint="eastAsia" w:ascii="Times New Roman" w:hAnsi="Times New Roman"/>
                <w:color w:val="auto"/>
                <w:highlight w:val="none"/>
              </w:rPr>
              <w:t>项目区属金沙江水系小江流域。查询《云南省地表水环境功能区划》(2010-2020)，小江（东川城区——四级站）水环境功能为工业用水、农业用水，水体类别为Ⅳ类，应执行《地表水环境质量标准》（GB3838-2002）Ⅳ类标准。</w:t>
            </w:r>
            <w:r>
              <w:rPr>
                <w:rFonts w:ascii="Times New Roman" w:hAnsi="Times New Roman"/>
                <w:color w:val="auto"/>
                <w:highlight w:val="none"/>
              </w:rPr>
              <w:t>见表4-2。</w:t>
            </w:r>
          </w:p>
          <w:p w14:paraId="7EE43F8F">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 xml:space="preserve">表4-2  地表水环境质量标准（单位：mg/L） </w:t>
            </w: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79"/>
              <w:gridCol w:w="2445"/>
              <w:gridCol w:w="1129"/>
              <w:gridCol w:w="679"/>
              <w:gridCol w:w="1196"/>
              <w:gridCol w:w="1182"/>
            </w:tblGrid>
            <w:tr w14:paraId="4E03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700" w:type="pct"/>
                  <w:vAlign w:val="center"/>
                </w:tcPr>
                <w:p w14:paraId="42A5410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序号</w:t>
                  </w:r>
                </w:p>
              </w:tc>
              <w:tc>
                <w:tcPr>
                  <w:tcW w:w="1585" w:type="pct"/>
                  <w:vAlign w:val="center"/>
                </w:tcPr>
                <w:p w14:paraId="2420E2D5">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项目</w:t>
                  </w:r>
                </w:p>
              </w:tc>
              <w:tc>
                <w:tcPr>
                  <w:tcW w:w="732" w:type="pct"/>
                  <w:vAlign w:val="center"/>
                </w:tcPr>
                <w:p w14:paraId="0F98C0F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标准</w:t>
                  </w:r>
                </w:p>
              </w:tc>
              <w:tc>
                <w:tcPr>
                  <w:tcW w:w="440" w:type="pct"/>
                  <w:vAlign w:val="center"/>
                </w:tcPr>
                <w:p w14:paraId="4ECC5DE3">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序号</w:t>
                  </w:r>
                </w:p>
              </w:tc>
              <w:tc>
                <w:tcPr>
                  <w:tcW w:w="775" w:type="pct"/>
                  <w:vAlign w:val="center"/>
                </w:tcPr>
                <w:p w14:paraId="01304F4D">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项目</w:t>
                  </w:r>
                </w:p>
              </w:tc>
              <w:tc>
                <w:tcPr>
                  <w:tcW w:w="766" w:type="pct"/>
                  <w:vAlign w:val="center"/>
                </w:tcPr>
                <w:p w14:paraId="03E5BFA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标准</w:t>
                  </w:r>
                </w:p>
              </w:tc>
            </w:tr>
            <w:tr w14:paraId="374CC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44B2C3F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1</w:t>
                  </w:r>
                </w:p>
              </w:tc>
              <w:tc>
                <w:tcPr>
                  <w:tcW w:w="1585" w:type="pct"/>
                  <w:vAlign w:val="center"/>
                </w:tcPr>
                <w:p w14:paraId="6CA27E67">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pH</w:t>
                  </w:r>
                </w:p>
              </w:tc>
              <w:tc>
                <w:tcPr>
                  <w:tcW w:w="732" w:type="pct"/>
                  <w:vAlign w:val="center"/>
                </w:tcPr>
                <w:p w14:paraId="2DDE250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6~9</w:t>
                  </w:r>
                </w:p>
              </w:tc>
              <w:tc>
                <w:tcPr>
                  <w:tcW w:w="440" w:type="pct"/>
                  <w:vAlign w:val="center"/>
                </w:tcPr>
                <w:p w14:paraId="15B55AFB">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13</w:t>
                  </w:r>
                </w:p>
              </w:tc>
              <w:tc>
                <w:tcPr>
                  <w:tcW w:w="775" w:type="pct"/>
                  <w:vAlign w:val="center"/>
                </w:tcPr>
                <w:p w14:paraId="7ECC9567">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硒</w:t>
                  </w:r>
                </w:p>
              </w:tc>
              <w:tc>
                <w:tcPr>
                  <w:tcW w:w="766" w:type="pct"/>
                  <w:vAlign w:val="center"/>
                </w:tcPr>
                <w:p w14:paraId="10EBDB27">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≤0.02</w:t>
                  </w:r>
                </w:p>
              </w:tc>
            </w:tr>
            <w:tr w14:paraId="1155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1E1A3EA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2</w:t>
                  </w:r>
                </w:p>
              </w:tc>
              <w:tc>
                <w:tcPr>
                  <w:tcW w:w="1585" w:type="pct"/>
                  <w:vAlign w:val="center"/>
                </w:tcPr>
                <w:p w14:paraId="54E46AC5">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溶解氧</w:t>
                  </w:r>
                </w:p>
              </w:tc>
              <w:tc>
                <w:tcPr>
                  <w:tcW w:w="732" w:type="pct"/>
                  <w:vAlign w:val="center"/>
                </w:tcPr>
                <w:p w14:paraId="2852A82E">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≥3</w:t>
                  </w:r>
                </w:p>
              </w:tc>
              <w:tc>
                <w:tcPr>
                  <w:tcW w:w="440" w:type="pct"/>
                  <w:vAlign w:val="center"/>
                </w:tcPr>
                <w:p w14:paraId="3F04CA46">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14</w:t>
                  </w:r>
                </w:p>
              </w:tc>
              <w:tc>
                <w:tcPr>
                  <w:tcW w:w="775" w:type="pct"/>
                  <w:vAlign w:val="center"/>
                </w:tcPr>
                <w:p w14:paraId="4426C62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砷</w:t>
                  </w:r>
                </w:p>
              </w:tc>
              <w:tc>
                <w:tcPr>
                  <w:tcW w:w="766" w:type="pct"/>
                  <w:vAlign w:val="center"/>
                </w:tcPr>
                <w:p w14:paraId="420724F6">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≤0.1</w:t>
                  </w:r>
                </w:p>
              </w:tc>
            </w:tr>
            <w:tr w14:paraId="1AF02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28BB958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3</w:t>
                  </w:r>
                </w:p>
              </w:tc>
              <w:tc>
                <w:tcPr>
                  <w:tcW w:w="1585" w:type="pct"/>
                  <w:vAlign w:val="center"/>
                </w:tcPr>
                <w:p w14:paraId="255A683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高锰酸盐指数</w:t>
                  </w:r>
                </w:p>
              </w:tc>
              <w:tc>
                <w:tcPr>
                  <w:tcW w:w="732" w:type="pct"/>
                  <w:vAlign w:val="center"/>
                </w:tcPr>
                <w:p w14:paraId="280D0471">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≤10</w:t>
                  </w:r>
                </w:p>
              </w:tc>
              <w:tc>
                <w:tcPr>
                  <w:tcW w:w="440" w:type="pct"/>
                  <w:vAlign w:val="center"/>
                </w:tcPr>
                <w:p w14:paraId="6510B0F0">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w:t>
                  </w:r>
                </w:p>
              </w:tc>
              <w:tc>
                <w:tcPr>
                  <w:tcW w:w="775" w:type="pct"/>
                  <w:vAlign w:val="center"/>
                </w:tcPr>
                <w:p w14:paraId="1FB96294">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汞</w:t>
                  </w:r>
                </w:p>
              </w:tc>
              <w:tc>
                <w:tcPr>
                  <w:tcW w:w="766" w:type="pct"/>
                  <w:vAlign w:val="center"/>
                </w:tcPr>
                <w:p w14:paraId="38FB4FA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≤0.001</w:t>
                  </w:r>
                </w:p>
              </w:tc>
            </w:tr>
            <w:tr w14:paraId="66E5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50121F46">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4</w:t>
                  </w:r>
                </w:p>
              </w:tc>
              <w:tc>
                <w:tcPr>
                  <w:tcW w:w="1585" w:type="pct"/>
                  <w:vAlign w:val="center"/>
                </w:tcPr>
                <w:p w14:paraId="64B76D8E">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COD</w:t>
                  </w:r>
                </w:p>
              </w:tc>
              <w:tc>
                <w:tcPr>
                  <w:tcW w:w="732" w:type="pct"/>
                  <w:vAlign w:val="center"/>
                </w:tcPr>
                <w:p w14:paraId="1E457764">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≤30</w:t>
                  </w:r>
                </w:p>
              </w:tc>
              <w:tc>
                <w:tcPr>
                  <w:tcW w:w="440" w:type="pct"/>
                  <w:vAlign w:val="center"/>
                </w:tcPr>
                <w:p w14:paraId="61B83854">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16</w:t>
                  </w:r>
                </w:p>
              </w:tc>
              <w:tc>
                <w:tcPr>
                  <w:tcW w:w="775" w:type="pct"/>
                  <w:vAlign w:val="center"/>
                </w:tcPr>
                <w:p w14:paraId="647182B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镉</w:t>
                  </w:r>
                </w:p>
              </w:tc>
              <w:tc>
                <w:tcPr>
                  <w:tcW w:w="766" w:type="pct"/>
                  <w:vAlign w:val="center"/>
                </w:tcPr>
                <w:p w14:paraId="2F4B0EC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≤0.005</w:t>
                  </w:r>
                </w:p>
              </w:tc>
            </w:tr>
            <w:tr w14:paraId="2E92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1531A07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5</w:t>
                  </w:r>
                </w:p>
              </w:tc>
              <w:tc>
                <w:tcPr>
                  <w:tcW w:w="1585" w:type="pct"/>
                  <w:vAlign w:val="center"/>
                </w:tcPr>
                <w:p w14:paraId="1FC45DBC">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position w:val="2"/>
                      <w:sz w:val="22"/>
                      <w:szCs w:val="22"/>
                      <w:highlight w:val="none"/>
                    </w:rPr>
                    <w:t>BOD</w:t>
                  </w:r>
                  <w:r>
                    <w:rPr>
                      <w:rFonts w:ascii="Times New Roman" w:hAnsi="Times New Roman" w:eastAsia="宋体" w:cs="Times New Roman"/>
                      <w:b w:val="0"/>
                      <w:color w:val="auto"/>
                      <w:position w:val="2"/>
                      <w:sz w:val="22"/>
                      <w:szCs w:val="22"/>
                      <w:highlight w:val="none"/>
                      <w:vertAlign w:val="subscript"/>
                    </w:rPr>
                    <w:t>5</w:t>
                  </w:r>
                </w:p>
              </w:tc>
              <w:tc>
                <w:tcPr>
                  <w:tcW w:w="732" w:type="pct"/>
                  <w:vAlign w:val="center"/>
                </w:tcPr>
                <w:p w14:paraId="28144BC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≤6</w:t>
                  </w:r>
                </w:p>
              </w:tc>
              <w:tc>
                <w:tcPr>
                  <w:tcW w:w="440" w:type="pct"/>
                  <w:vAlign w:val="center"/>
                </w:tcPr>
                <w:p w14:paraId="12C48CD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17</w:t>
                  </w:r>
                </w:p>
              </w:tc>
              <w:tc>
                <w:tcPr>
                  <w:tcW w:w="775" w:type="pct"/>
                  <w:vAlign w:val="center"/>
                </w:tcPr>
                <w:p w14:paraId="5285794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六价铬</w:t>
                  </w:r>
                </w:p>
              </w:tc>
              <w:tc>
                <w:tcPr>
                  <w:tcW w:w="766" w:type="pct"/>
                  <w:vAlign w:val="center"/>
                </w:tcPr>
                <w:p w14:paraId="0F2A4591">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≤0.05</w:t>
                  </w:r>
                </w:p>
              </w:tc>
            </w:tr>
            <w:tr w14:paraId="01618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56E5C5E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6</w:t>
                  </w:r>
                </w:p>
              </w:tc>
              <w:tc>
                <w:tcPr>
                  <w:tcW w:w="1585" w:type="pct"/>
                  <w:vAlign w:val="center"/>
                </w:tcPr>
                <w:p w14:paraId="1B95A2F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氨氮</w:t>
                  </w:r>
                </w:p>
              </w:tc>
              <w:tc>
                <w:tcPr>
                  <w:tcW w:w="732" w:type="pct"/>
                  <w:vAlign w:val="center"/>
                </w:tcPr>
                <w:p w14:paraId="134ECF10">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w:t>
                  </w:r>
                </w:p>
              </w:tc>
              <w:tc>
                <w:tcPr>
                  <w:tcW w:w="440" w:type="pct"/>
                  <w:vAlign w:val="center"/>
                </w:tcPr>
                <w:p w14:paraId="3CF29163">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18</w:t>
                  </w:r>
                </w:p>
              </w:tc>
              <w:tc>
                <w:tcPr>
                  <w:tcW w:w="775" w:type="pct"/>
                  <w:vAlign w:val="center"/>
                </w:tcPr>
                <w:p w14:paraId="427AD238">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铅</w:t>
                  </w:r>
                </w:p>
              </w:tc>
              <w:tc>
                <w:tcPr>
                  <w:tcW w:w="766" w:type="pct"/>
                  <w:vAlign w:val="center"/>
                </w:tcPr>
                <w:p w14:paraId="268A4F25">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≤0.05</w:t>
                  </w:r>
                </w:p>
              </w:tc>
            </w:tr>
            <w:tr w14:paraId="26FD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2715E421">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7</w:t>
                  </w:r>
                </w:p>
              </w:tc>
              <w:tc>
                <w:tcPr>
                  <w:tcW w:w="1585" w:type="pct"/>
                  <w:vAlign w:val="center"/>
                </w:tcPr>
                <w:p w14:paraId="6E28BCD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总磷</w:t>
                  </w:r>
                </w:p>
              </w:tc>
              <w:tc>
                <w:tcPr>
                  <w:tcW w:w="732" w:type="pct"/>
                  <w:vAlign w:val="center"/>
                </w:tcPr>
                <w:p w14:paraId="5792328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≤0.3</w:t>
                  </w:r>
                </w:p>
              </w:tc>
              <w:tc>
                <w:tcPr>
                  <w:tcW w:w="440" w:type="pct"/>
                  <w:vAlign w:val="center"/>
                </w:tcPr>
                <w:p w14:paraId="1B81A287">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19</w:t>
                  </w:r>
                </w:p>
              </w:tc>
              <w:tc>
                <w:tcPr>
                  <w:tcW w:w="775" w:type="pct"/>
                  <w:vAlign w:val="center"/>
                </w:tcPr>
                <w:p w14:paraId="47FF281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氰化物</w:t>
                  </w:r>
                </w:p>
              </w:tc>
              <w:tc>
                <w:tcPr>
                  <w:tcW w:w="766" w:type="pct"/>
                  <w:vAlign w:val="center"/>
                </w:tcPr>
                <w:p w14:paraId="620429C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≤0.2</w:t>
                  </w:r>
                </w:p>
              </w:tc>
            </w:tr>
            <w:tr w14:paraId="704F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502A0F4D">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8</w:t>
                  </w:r>
                </w:p>
              </w:tc>
              <w:tc>
                <w:tcPr>
                  <w:tcW w:w="1585" w:type="pct"/>
                  <w:vAlign w:val="center"/>
                </w:tcPr>
                <w:p w14:paraId="04E37D4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总氮</w:t>
                  </w:r>
                </w:p>
              </w:tc>
              <w:tc>
                <w:tcPr>
                  <w:tcW w:w="732" w:type="pct"/>
                  <w:vAlign w:val="center"/>
                </w:tcPr>
                <w:p w14:paraId="272AE50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w:t>
                  </w:r>
                </w:p>
              </w:tc>
              <w:tc>
                <w:tcPr>
                  <w:tcW w:w="440" w:type="pct"/>
                  <w:vAlign w:val="center"/>
                </w:tcPr>
                <w:p w14:paraId="4475E345">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20</w:t>
                  </w:r>
                </w:p>
              </w:tc>
              <w:tc>
                <w:tcPr>
                  <w:tcW w:w="775" w:type="pct"/>
                  <w:vAlign w:val="center"/>
                </w:tcPr>
                <w:p w14:paraId="52E05BE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挥发酚</w:t>
                  </w:r>
                </w:p>
              </w:tc>
              <w:tc>
                <w:tcPr>
                  <w:tcW w:w="766" w:type="pct"/>
                  <w:vAlign w:val="center"/>
                </w:tcPr>
                <w:p w14:paraId="54611261">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≤0.01</w:t>
                  </w:r>
                </w:p>
              </w:tc>
            </w:tr>
            <w:tr w14:paraId="1A2E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1024CEDB">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9</w:t>
                  </w:r>
                </w:p>
              </w:tc>
              <w:tc>
                <w:tcPr>
                  <w:tcW w:w="1585" w:type="pct"/>
                  <w:vAlign w:val="center"/>
                </w:tcPr>
                <w:p w14:paraId="116EDD20">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铜</w:t>
                  </w:r>
                </w:p>
              </w:tc>
              <w:tc>
                <w:tcPr>
                  <w:tcW w:w="732" w:type="pct"/>
                  <w:vAlign w:val="center"/>
                </w:tcPr>
                <w:p w14:paraId="0E1505DC">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≤1.0</w:t>
                  </w:r>
                </w:p>
              </w:tc>
              <w:tc>
                <w:tcPr>
                  <w:tcW w:w="440" w:type="pct"/>
                  <w:vAlign w:val="center"/>
                </w:tcPr>
                <w:p w14:paraId="5C53DD82">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21</w:t>
                  </w:r>
                </w:p>
              </w:tc>
              <w:tc>
                <w:tcPr>
                  <w:tcW w:w="775" w:type="pct"/>
                  <w:vAlign w:val="center"/>
                </w:tcPr>
                <w:p w14:paraId="6458FA6E">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石油类</w:t>
                  </w:r>
                </w:p>
              </w:tc>
              <w:tc>
                <w:tcPr>
                  <w:tcW w:w="766" w:type="pct"/>
                  <w:vAlign w:val="center"/>
                </w:tcPr>
                <w:p w14:paraId="26C9B580">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≤0.5</w:t>
                  </w:r>
                </w:p>
              </w:tc>
            </w:tr>
            <w:tr w14:paraId="6AA3E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700" w:type="pct"/>
                  <w:vAlign w:val="center"/>
                </w:tcPr>
                <w:p w14:paraId="77703F8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10</w:t>
                  </w:r>
                </w:p>
              </w:tc>
              <w:tc>
                <w:tcPr>
                  <w:tcW w:w="1585" w:type="pct"/>
                  <w:vAlign w:val="center"/>
                </w:tcPr>
                <w:p w14:paraId="51744E83">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锌</w:t>
                  </w:r>
                </w:p>
              </w:tc>
              <w:tc>
                <w:tcPr>
                  <w:tcW w:w="732" w:type="pct"/>
                  <w:vAlign w:val="center"/>
                </w:tcPr>
                <w:p w14:paraId="63BC167C">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≤2.0</w:t>
                  </w:r>
                </w:p>
              </w:tc>
              <w:tc>
                <w:tcPr>
                  <w:tcW w:w="440" w:type="pct"/>
                  <w:vAlign w:val="center"/>
                </w:tcPr>
                <w:p w14:paraId="6B306EDA">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22</w:t>
                  </w:r>
                </w:p>
              </w:tc>
              <w:tc>
                <w:tcPr>
                  <w:tcW w:w="775" w:type="pct"/>
                  <w:vAlign w:val="center"/>
                </w:tcPr>
                <w:p w14:paraId="1E5F42AE">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阴离子表面活性剂</w:t>
                  </w:r>
                </w:p>
              </w:tc>
              <w:tc>
                <w:tcPr>
                  <w:tcW w:w="766" w:type="pct"/>
                  <w:vAlign w:val="center"/>
                </w:tcPr>
                <w:p w14:paraId="270F157D">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≤0.3</w:t>
                  </w:r>
                </w:p>
              </w:tc>
            </w:tr>
            <w:tr w14:paraId="158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00" w:type="pct"/>
                  <w:vAlign w:val="center"/>
                </w:tcPr>
                <w:p w14:paraId="74B0577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11</w:t>
                  </w:r>
                </w:p>
              </w:tc>
              <w:tc>
                <w:tcPr>
                  <w:tcW w:w="1585" w:type="pct"/>
                  <w:vAlign w:val="center"/>
                </w:tcPr>
                <w:p w14:paraId="1F9620A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pacing w:val="-2"/>
                      <w:sz w:val="22"/>
                      <w:szCs w:val="22"/>
                      <w:highlight w:val="none"/>
                    </w:rPr>
                    <w:t>氟化物</w:t>
                  </w:r>
                  <w:r>
                    <w:rPr>
                      <w:rFonts w:ascii="Times New Roman" w:hAnsi="Times New Roman" w:eastAsia="宋体" w:cs="Times New Roman"/>
                      <w:b w:val="0"/>
                      <w:color w:val="auto"/>
                      <w:sz w:val="22"/>
                      <w:szCs w:val="22"/>
                      <w:highlight w:val="none"/>
                    </w:rPr>
                    <w:t>(</w:t>
                  </w:r>
                  <w:r>
                    <w:rPr>
                      <w:rFonts w:ascii="Times New Roman" w:hAnsi="Times New Roman" w:eastAsia="宋体" w:cs="Times New Roman"/>
                      <w:b w:val="0"/>
                      <w:color w:val="auto"/>
                      <w:spacing w:val="55"/>
                      <w:sz w:val="22"/>
                      <w:szCs w:val="22"/>
                      <w:highlight w:val="none"/>
                    </w:rPr>
                    <w:t>以</w:t>
                  </w:r>
                  <w:r>
                    <w:rPr>
                      <w:rFonts w:ascii="Times New Roman" w:hAnsi="Times New Roman" w:eastAsia="宋体" w:cs="Times New Roman"/>
                      <w:b w:val="0"/>
                      <w:color w:val="auto"/>
                      <w:sz w:val="22"/>
                      <w:szCs w:val="22"/>
                      <w:highlight w:val="none"/>
                    </w:rPr>
                    <w:t xml:space="preserve">F </w:t>
                  </w:r>
                  <w:r>
                    <w:rPr>
                      <w:rFonts w:ascii="Times New Roman" w:hAnsi="Times New Roman" w:eastAsia="宋体" w:cs="Times New Roman"/>
                      <w:b w:val="0"/>
                      <w:color w:val="auto"/>
                      <w:spacing w:val="-3"/>
                      <w:sz w:val="22"/>
                      <w:szCs w:val="22"/>
                      <w:highlight w:val="none"/>
                    </w:rPr>
                    <w:t>计</w:t>
                  </w:r>
                  <w:r>
                    <w:rPr>
                      <w:rFonts w:ascii="Times New Roman" w:hAnsi="Times New Roman" w:eastAsia="宋体" w:cs="Times New Roman"/>
                      <w:b w:val="0"/>
                      <w:color w:val="auto"/>
                      <w:sz w:val="22"/>
                      <w:szCs w:val="22"/>
                      <w:highlight w:val="none"/>
                    </w:rPr>
                    <w:t>)</w:t>
                  </w:r>
                </w:p>
              </w:tc>
              <w:tc>
                <w:tcPr>
                  <w:tcW w:w="732" w:type="pct"/>
                  <w:vAlign w:val="center"/>
                </w:tcPr>
                <w:p w14:paraId="1C1C502D">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w:t>
                  </w:r>
                </w:p>
              </w:tc>
              <w:tc>
                <w:tcPr>
                  <w:tcW w:w="440" w:type="pct"/>
                  <w:vAlign w:val="center"/>
                </w:tcPr>
                <w:p w14:paraId="36C89BF3">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23</w:t>
                  </w:r>
                </w:p>
              </w:tc>
              <w:tc>
                <w:tcPr>
                  <w:tcW w:w="775" w:type="pct"/>
                  <w:vAlign w:val="center"/>
                </w:tcPr>
                <w:p w14:paraId="3031813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硫化物</w:t>
                  </w:r>
                </w:p>
              </w:tc>
              <w:tc>
                <w:tcPr>
                  <w:tcW w:w="766" w:type="pct"/>
                  <w:vAlign w:val="center"/>
                </w:tcPr>
                <w:p w14:paraId="44EC7CBE">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≤0.5</w:t>
                  </w:r>
                </w:p>
              </w:tc>
            </w:tr>
            <w:tr w14:paraId="5B0D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700" w:type="pct"/>
                  <w:tcBorders>
                    <w:bottom w:val="single" w:color="000000" w:sz="8" w:space="0"/>
                  </w:tcBorders>
                  <w:vAlign w:val="center"/>
                </w:tcPr>
                <w:p w14:paraId="45CBAE60">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12</w:t>
                  </w:r>
                </w:p>
              </w:tc>
              <w:tc>
                <w:tcPr>
                  <w:tcW w:w="1585" w:type="pct"/>
                  <w:tcBorders>
                    <w:bottom w:val="single" w:color="000000" w:sz="8" w:space="0"/>
                  </w:tcBorders>
                  <w:vAlign w:val="center"/>
                </w:tcPr>
                <w:p w14:paraId="439A463D">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粪大肠菌群( 个/L)</w:t>
                  </w:r>
                </w:p>
              </w:tc>
              <w:tc>
                <w:tcPr>
                  <w:tcW w:w="732" w:type="pct"/>
                  <w:tcBorders>
                    <w:bottom w:val="single" w:color="000000" w:sz="8" w:space="0"/>
                  </w:tcBorders>
                  <w:vAlign w:val="center"/>
                </w:tcPr>
                <w:p w14:paraId="3A65BD87">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 20000</w:t>
                  </w:r>
                </w:p>
              </w:tc>
              <w:tc>
                <w:tcPr>
                  <w:tcW w:w="440" w:type="pct"/>
                  <w:tcBorders>
                    <w:bottom w:val="single" w:color="000000" w:sz="8" w:space="0"/>
                  </w:tcBorders>
                  <w:vAlign w:val="center"/>
                </w:tcPr>
                <w:p w14:paraId="085DCEF6">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24</w:t>
                  </w:r>
                </w:p>
              </w:tc>
              <w:tc>
                <w:tcPr>
                  <w:tcW w:w="775" w:type="pct"/>
                  <w:tcBorders>
                    <w:bottom w:val="single" w:color="000000" w:sz="8" w:space="0"/>
                  </w:tcBorders>
                  <w:vAlign w:val="center"/>
                </w:tcPr>
                <w:p w14:paraId="210F599F">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w:t>
                  </w:r>
                </w:p>
              </w:tc>
              <w:tc>
                <w:tcPr>
                  <w:tcW w:w="766" w:type="pct"/>
                  <w:tcBorders>
                    <w:bottom w:val="single" w:color="000000" w:sz="8" w:space="0"/>
                  </w:tcBorders>
                  <w:vAlign w:val="center"/>
                </w:tcPr>
                <w:p w14:paraId="6D13C4D9">
                  <w:pPr>
                    <w:pStyle w:val="36"/>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w w:val="100"/>
                      <w:sz w:val="22"/>
                      <w:szCs w:val="22"/>
                      <w:highlight w:val="none"/>
                    </w:rPr>
                    <w:t>/</w:t>
                  </w:r>
                </w:p>
              </w:tc>
            </w:tr>
          </w:tbl>
          <w:p w14:paraId="253A249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2"/>
              <w:textAlignment w:val="auto"/>
              <w:rPr>
                <w:rFonts w:ascii="Times New Roman" w:hAnsi="Times New Roman"/>
                <w:b/>
                <w:color w:val="auto"/>
                <w:highlight w:val="none"/>
              </w:rPr>
            </w:pPr>
            <w:r>
              <w:rPr>
                <w:rFonts w:ascii="Times New Roman" w:hAnsi="Times New Roman"/>
                <w:b/>
                <w:color w:val="auto"/>
                <w:highlight w:val="none"/>
              </w:rPr>
              <w:t>3、声环境质量标准</w:t>
            </w:r>
          </w:p>
          <w:p w14:paraId="1EE3B3BE">
            <w:pPr>
              <w:keepNext w:val="0"/>
              <w:keepLines w:val="0"/>
              <w:pageBreakBefore w:val="0"/>
              <w:widowControl w:val="0"/>
              <w:kinsoku/>
              <w:wordWrap/>
              <w:overflowPunct/>
              <w:topLinePunct w:val="0"/>
              <w:autoSpaceDE/>
              <w:autoSpaceDN/>
              <w:bidi w:val="0"/>
              <w:adjustRightInd w:val="0"/>
              <w:snapToGrid w:val="0"/>
              <w:spacing w:line="480" w:lineRule="exact"/>
              <w:ind w:firstLine="520"/>
              <w:textAlignment w:val="auto"/>
              <w:rPr>
                <w:rFonts w:ascii="Times New Roman" w:hAnsi="Times New Roman"/>
                <w:color w:val="auto"/>
                <w:highlight w:val="none"/>
              </w:rPr>
            </w:pPr>
            <w:r>
              <w:rPr>
                <w:rFonts w:ascii="Times New Roman" w:hAnsi="Times New Roman"/>
                <w:color w:val="auto"/>
                <w:highlight w:val="none"/>
              </w:rPr>
              <w:t>根据《云南省城市区域环境噪声功能适用区划分》，</w:t>
            </w:r>
            <w:r>
              <w:rPr>
                <w:rFonts w:hint="eastAsia" w:ascii="Times New Roman" w:hAnsi="Times New Roman"/>
                <w:color w:val="auto"/>
                <w:highlight w:val="none"/>
              </w:rPr>
              <w:t>项目所在区域内无工况企业，人为活动较少，为2类声环境功能区域，</w:t>
            </w:r>
            <w:r>
              <w:rPr>
                <w:rFonts w:ascii="Times New Roman" w:hAnsi="Times New Roman"/>
                <w:color w:val="auto"/>
                <w:highlight w:val="none"/>
              </w:rPr>
              <w:t>项目区</w:t>
            </w:r>
            <w:r>
              <w:rPr>
                <w:rFonts w:hint="eastAsia" w:ascii="Times New Roman" w:hAnsi="Times New Roman"/>
                <w:color w:val="auto"/>
                <w:highlight w:val="none"/>
                <w:lang w:val="en-US" w:eastAsia="zh-CN"/>
              </w:rPr>
              <w:t>及</w:t>
            </w:r>
            <w:r>
              <w:rPr>
                <w:rFonts w:ascii="Times New Roman" w:hAnsi="Times New Roman"/>
                <w:color w:val="auto"/>
                <w:highlight w:val="none"/>
              </w:rPr>
              <w:t>周边保护目标处</w:t>
            </w:r>
            <w:r>
              <w:rPr>
                <w:rFonts w:hint="eastAsia" w:ascii="Times New Roman" w:hAnsi="Times New Roman"/>
                <w:color w:val="auto"/>
                <w:highlight w:val="none"/>
              </w:rPr>
              <w:t>执行《声环境质量标准》（GB3096-2008）2类标准，</w:t>
            </w:r>
            <w:r>
              <w:rPr>
                <w:rFonts w:ascii="Times New Roman" w:hAnsi="Times New Roman"/>
                <w:color w:val="auto"/>
                <w:highlight w:val="none"/>
              </w:rPr>
              <w:t>见表4-</w:t>
            </w:r>
            <w:r>
              <w:rPr>
                <w:rFonts w:hint="eastAsia" w:ascii="Times New Roman" w:hAnsi="Times New Roman"/>
                <w:color w:val="auto"/>
                <w:highlight w:val="none"/>
              </w:rPr>
              <w:t>3</w:t>
            </w:r>
            <w:r>
              <w:rPr>
                <w:rFonts w:ascii="Times New Roman" w:hAnsi="Times New Roman"/>
                <w:color w:val="auto"/>
                <w:highlight w:val="none"/>
              </w:rPr>
              <w:t>。</w:t>
            </w:r>
          </w:p>
          <w:p w14:paraId="4618E65B">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表4-</w:t>
            </w:r>
            <w:r>
              <w:rPr>
                <w:rFonts w:hint="eastAsia" w:ascii="Times New Roman" w:hAnsi="Times New Roman" w:eastAsia="宋体" w:cs="Times New Roman"/>
                <w:b/>
                <w:bCs/>
                <w:color w:val="auto"/>
                <w:sz w:val="21"/>
                <w:szCs w:val="21"/>
                <w:highlight w:val="none"/>
              </w:rPr>
              <w:t>3</w:t>
            </w:r>
            <w:r>
              <w:rPr>
                <w:rFonts w:ascii="Times New Roman" w:hAnsi="Times New Roman" w:eastAsia="宋体" w:cs="Times New Roman"/>
                <w:b/>
                <w:bCs/>
                <w:color w:val="auto"/>
                <w:sz w:val="21"/>
                <w:szCs w:val="21"/>
                <w:highlight w:val="none"/>
              </w:rPr>
              <w:t xml:space="preserve">  环境噪声限值（单位： dB(A)）</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2672"/>
              <w:gridCol w:w="2672"/>
            </w:tblGrid>
            <w:tr w14:paraId="1FA3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35" w:type="pct"/>
                  <w:noWrap w:val="0"/>
                  <w:vAlign w:val="center"/>
                </w:tcPr>
                <w:p w14:paraId="47772FA5">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类 别</w:t>
                  </w:r>
                </w:p>
              </w:tc>
              <w:tc>
                <w:tcPr>
                  <w:tcW w:w="1732" w:type="pct"/>
                  <w:noWrap w:val="0"/>
                  <w:vAlign w:val="center"/>
                </w:tcPr>
                <w:p w14:paraId="5780D1F6">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昼 间</w:t>
                  </w:r>
                </w:p>
              </w:tc>
              <w:tc>
                <w:tcPr>
                  <w:tcW w:w="1732" w:type="pct"/>
                  <w:noWrap w:val="0"/>
                  <w:vAlign w:val="center"/>
                </w:tcPr>
                <w:p w14:paraId="4579FC87">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夜 间</w:t>
                  </w:r>
                </w:p>
              </w:tc>
            </w:tr>
            <w:tr w14:paraId="5AFD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35" w:type="pct"/>
                  <w:noWrap w:val="0"/>
                  <w:vAlign w:val="center"/>
                </w:tcPr>
                <w:p w14:paraId="18E35FC7">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2类</w:t>
                  </w:r>
                </w:p>
              </w:tc>
              <w:tc>
                <w:tcPr>
                  <w:tcW w:w="1732" w:type="pct"/>
                  <w:noWrap w:val="0"/>
                  <w:vAlign w:val="center"/>
                </w:tcPr>
                <w:p w14:paraId="0F34B4D7">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60</w:t>
                  </w:r>
                </w:p>
              </w:tc>
              <w:tc>
                <w:tcPr>
                  <w:tcW w:w="1732" w:type="pct"/>
                  <w:noWrap w:val="0"/>
                  <w:vAlign w:val="center"/>
                </w:tcPr>
                <w:p w14:paraId="066C145A">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50</w:t>
                  </w:r>
                </w:p>
              </w:tc>
            </w:tr>
          </w:tbl>
          <w:p w14:paraId="78B152D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2"/>
              <w:textAlignment w:val="auto"/>
              <w:rPr>
                <w:rFonts w:ascii="Times New Roman" w:hAnsi="Times New Roman"/>
                <w:b/>
                <w:color w:val="auto"/>
                <w:highlight w:val="none"/>
              </w:rPr>
            </w:pPr>
            <w:r>
              <w:rPr>
                <w:rFonts w:hint="eastAsia" w:ascii="Times New Roman" w:hAnsi="Times New Roman"/>
                <w:b/>
                <w:color w:val="auto"/>
                <w:highlight w:val="none"/>
                <w:lang w:val="en-US" w:eastAsia="zh-CN"/>
              </w:rPr>
              <w:t>4</w:t>
            </w:r>
            <w:r>
              <w:rPr>
                <w:rFonts w:ascii="Times New Roman" w:hAnsi="Times New Roman"/>
                <w:b/>
                <w:color w:val="auto"/>
                <w:highlight w:val="none"/>
              </w:rPr>
              <w:t>、</w:t>
            </w:r>
            <w:r>
              <w:rPr>
                <w:rFonts w:hint="eastAsia" w:ascii="Times New Roman" w:hAnsi="Times New Roman"/>
                <w:b/>
                <w:color w:val="auto"/>
                <w:highlight w:val="none"/>
                <w:lang w:val="en-US" w:eastAsia="zh-CN"/>
              </w:rPr>
              <w:t>土壤</w:t>
            </w:r>
            <w:r>
              <w:rPr>
                <w:rFonts w:ascii="Times New Roman" w:hAnsi="Times New Roman"/>
                <w:b/>
                <w:color w:val="auto"/>
                <w:highlight w:val="none"/>
              </w:rPr>
              <w:t>环境质量标准</w:t>
            </w:r>
          </w:p>
          <w:p w14:paraId="61BC6771">
            <w:pPr>
              <w:keepNext w:val="0"/>
              <w:keepLines w:val="0"/>
              <w:pageBreakBefore w:val="0"/>
              <w:widowControl w:val="0"/>
              <w:tabs>
                <w:tab w:val="left" w:pos="4404"/>
              </w:tabs>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s="Times New Roman"/>
                <w:color w:val="auto"/>
                <w:sz w:val="26"/>
                <w:szCs w:val="26"/>
                <w:highlight w:val="none"/>
                <w:lang w:val="en-US" w:eastAsia="zh-CN"/>
              </w:rPr>
            </w:pPr>
            <w:r>
              <w:rPr>
                <w:rFonts w:ascii="Times New Roman" w:eastAsia="宋体" w:cs="Times New Roman" w:hAnsiTheme="minorEastAsia"/>
                <w:bCs w:val="0"/>
                <w:color w:val="auto"/>
                <w:sz w:val="26"/>
                <w:szCs w:val="26"/>
                <w:highlight w:val="none"/>
              </w:rPr>
              <w:t>项目建设用地基本因子执行《土壤环境质量</w:t>
            </w:r>
            <w:r>
              <w:rPr>
                <w:rFonts w:ascii="Times New Roman" w:hAnsi="Times New Roman" w:eastAsia="宋体" w:cs="Times New Roman"/>
                <w:bCs w:val="0"/>
                <w:color w:val="auto"/>
                <w:sz w:val="26"/>
                <w:szCs w:val="26"/>
                <w:highlight w:val="none"/>
              </w:rPr>
              <w:t xml:space="preserve">  </w:t>
            </w:r>
            <w:r>
              <w:rPr>
                <w:rFonts w:ascii="Times New Roman" w:eastAsia="宋体" w:cs="Times New Roman" w:hAnsiTheme="minorEastAsia"/>
                <w:bCs w:val="0"/>
                <w:color w:val="auto"/>
                <w:sz w:val="26"/>
                <w:szCs w:val="26"/>
                <w:highlight w:val="none"/>
              </w:rPr>
              <w:t>建设用地土壤污染风险管控标准》（</w:t>
            </w:r>
            <w:r>
              <w:rPr>
                <w:rFonts w:ascii="Times New Roman" w:hAnsi="Times New Roman" w:eastAsia="宋体" w:cs="Times New Roman"/>
                <w:bCs w:val="0"/>
                <w:color w:val="auto"/>
                <w:sz w:val="26"/>
                <w:szCs w:val="26"/>
                <w:highlight w:val="none"/>
              </w:rPr>
              <w:t>GB36600-2018</w:t>
            </w:r>
            <w:r>
              <w:rPr>
                <w:rFonts w:ascii="Times New Roman" w:eastAsia="宋体" w:cs="Times New Roman" w:hAnsiTheme="minorEastAsia"/>
                <w:bCs w:val="0"/>
                <w:color w:val="auto"/>
                <w:sz w:val="26"/>
                <w:szCs w:val="26"/>
                <w:highlight w:val="none"/>
              </w:rPr>
              <w:t>）执行第二类用地筛选值；</w:t>
            </w:r>
            <w:r>
              <w:rPr>
                <w:rFonts w:hint="eastAsia" w:ascii="Times New Roman" w:hAnsi="Times New Roman" w:eastAsia="宋体" w:cs="Times New Roman"/>
                <w:bCs w:val="0"/>
                <w:color w:val="auto"/>
                <w:sz w:val="26"/>
                <w:szCs w:val="26"/>
                <w:highlight w:val="none"/>
                <w:lang w:val="en-US" w:eastAsia="zh-CN"/>
              </w:rPr>
              <w:t>项目周边有耕地，耕地执行《土壤环境质量农用地土壤风险管控标准（试行）》（GB15618-2018）标准。具体见表</w:t>
            </w:r>
            <w:r>
              <w:rPr>
                <w:rFonts w:hint="eastAsia" w:eastAsia="宋体" w:cs="Times New Roman"/>
                <w:bCs w:val="0"/>
                <w:color w:val="auto"/>
                <w:sz w:val="26"/>
                <w:szCs w:val="26"/>
                <w:highlight w:val="none"/>
                <w:lang w:val="en-US" w:eastAsia="zh-CN"/>
              </w:rPr>
              <w:t>4-4</w:t>
            </w:r>
            <w:r>
              <w:rPr>
                <w:rFonts w:hint="eastAsia" w:ascii="Times New Roman" w:hAnsi="Times New Roman" w:eastAsia="宋体" w:cs="Times New Roman"/>
                <w:bCs w:val="0"/>
                <w:color w:val="auto"/>
                <w:sz w:val="26"/>
                <w:szCs w:val="26"/>
                <w:highlight w:val="none"/>
                <w:lang w:val="en-US" w:eastAsia="zh-CN"/>
              </w:rPr>
              <w:t>。</w:t>
            </w:r>
          </w:p>
          <w:p w14:paraId="7E698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highlight w:val="none"/>
              </w:rPr>
            </w:pPr>
            <w:r>
              <w:rPr>
                <w:rFonts w:ascii="Times New Roman" w:hAnsi="Times New Roman" w:eastAsia="宋体" w:cs="Times New Roman"/>
                <w:b/>
                <w:bCs/>
                <w:color w:val="auto"/>
                <w:kern w:val="2"/>
                <w:sz w:val="21"/>
                <w:szCs w:val="21"/>
                <w:highlight w:val="none"/>
                <w:lang w:val="en-US" w:eastAsia="zh-CN" w:bidi="ar-SA"/>
              </w:rPr>
              <w:t>表</w:t>
            </w:r>
            <w:r>
              <w:rPr>
                <w:rFonts w:hint="eastAsia" w:ascii="Times New Roman" w:hAnsi="Times New Roman" w:eastAsia="宋体" w:cs="Times New Roman"/>
                <w:b/>
                <w:bCs/>
                <w:color w:val="auto"/>
                <w:kern w:val="2"/>
                <w:sz w:val="21"/>
                <w:szCs w:val="21"/>
                <w:highlight w:val="none"/>
                <w:lang w:val="en-US" w:eastAsia="zh-CN" w:bidi="ar-SA"/>
              </w:rPr>
              <w:t>4-</w:t>
            </w:r>
            <w:r>
              <w:rPr>
                <w:rFonts w:hint="eastAsia" w:ascii="Times New Roman" w:hAnsi="Times New Roman" w:cs="Times New Roman"/>
                <w:b/>
                <w:bCs/>
                <w:color w:val="auto"/>
                <w:kern w:val="2"/>
                <w:sz w:val="21"/>
                <w:szCs w:val="21"/>
                <w:highlight w:val="none"/>
                <w:lang w:val="en-US" w:eastAsia="zh-CN" w:bidi="ar-SA"/>
              </w:rPr>
              <w:t>4</w:t>
            </w:r>
            <w:r>
              <w:rPr>
                <w:rFonts w:ascii="Times New Roman" w:hAnsi="Times New Roman" w:eastAsia="宋体" w:cs="Times New Roman"/>
                <w:b/>
                <w:bCs/>
                <w:color w:val="auto"/>
                <w:kern w:val="2"/>
                <w:sz w:val="21"/>
                <w:szCs w:val="21"/>
                <w:highlight w:val="none"/>
                <w:lang w:val="en-US" w:eastAsia="zh-CN" w:bidi="ar-SA"/>
              </w:rPr>
              <w:t xml:space="preserve">   建设用地土壤污染风险管控标准  单位：mg/kg</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2"/>
              <w:gridCol w:w="645"/>
              <w:gridCol w:w="1803"/>
              <w:gridCol w:w="1339"/>
              <w:gridCol w:w="1245"/>
              <w:gridCol w:w="1826"/>
            </w:tblGrid>
            <w:tr w14:paraId="2C45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552" w:type="pct"/>
                  <w:tcBorders>
                    <w:top w:val="single" w:color="auto" w:sz="4" w:space="0"/>
                    <w:left w:val="single" w:color="auto" w:sz="4" w:space="0"/>
                    <w:bottom w:val="single" w:color="auto" w:sz="4" w:space="0"/>
                    <w:right w:val="single" w:color="auto" w:sz="4" w:space="0"/>
                  </w:tcBorders>
                  <w:vAlign w:val="center"/>
                </w:tcPr>
                <w:p w14:paraId="66744B5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环境要素</w:t>
                  </w:r>
                </w:p>
              </w:tc>
              <w:tc>
                <w:tcPr>
                  <w:tcW w:w="1587" w:type="pct"/>
                  <w:gridSpan w:val="2"/>
                  <w:tcBorders>
                    <w:top w:val="single" w:color="auto" w:sz="4" w:space="0"/>
                    <w:left w:val="single" w:color="auto" w:sz="4" w:space="0"/>
                    <w:bottom w:val="single" w:color="auto" w:sz="4" w:space="0"/>
                    <w:right w:val="single" w:color="auto" w:sz="4" w:space="0"/>
                  </w:tcBorders>
                  <w:vAlign w:val="center"/>
                </w:tcPr>
                <w:p w14:paraId="2BA4B39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污染物</w:t>
                  </w:r>
                </w:p>
              </w:tc>
              <w:tc>
                <w:tcPr>
                  <w:tcW w:w="1675" w:type="pct"/>
                  <w:gridSpan w:val="2"/>
                  <w:tcBorders>
                    <w:top w:val="single" w:color="auto" w:sz="4" w:space="0"/>
                    <w:left w:val="single" w:color="auto" w:sz="4" w:space="0"/>
                    <w:bottom w:val="single" w:color="auto" w:sz="4" w:space="0"/>
                    <w:right w:val="single" w:color="auto" w:sz="4" w:space="0"/>
                  </w:tcBorders>
                  <w:vAlign w:val="center"/>
                </w:tcPr>
                <w:p w14:paraId="4ED14509">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标准值（mg/kg）</w:t>
                  </w:r>
                </w:p>
              </w:tc>
              <w:tc>
                <w:tcPr>
                  <w:tcW w:w="1184" w:type="pct"/>
                  <w:tcBorders>
                    <w:top w:val="single" w:color="auto" w:sz="4" w:space="0"/>
                    <w:left w:val="single" w:color="auto" w:sz="4" w:space="0"/>
                    <w:bottom w:val="single" w:color="auto" w:sz="4" w:space="0"/>
                    <w:right w:val="single" w:color="auto" w:sz="4" w:space="0"/>
                  </w:tcBorders>
                  <w:vAlign w:val="center"/>
                </w:tcPr>
                <w:p w14:paraId="273AD30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标准来源</w:t>
                  </w:r>
                </w:p>
              </w:tc>
            </w:tr>
            <w:tr w14:paraId="7AF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552" w:type="pct"/>
                  <w:vMerge w:val="restart"/>
                  <w:tcBorders>
                    <w:top w:val="single" w:color="auto" w:sz="4" w:space="0"/>
                    <w:left w:val="single" w:color="auto" w:sz="4" w:space="0"/>
                    <w:bottom w:val="single" w:color="auto" w:sz="4" w:space="0"/>
                    <w:right w:val="single" w:color="auto" w:sz="4" w:space="0"/>
                  </w:tcBorders>
                  <w:vAlign w:val="center"/>
                </w:tcPr>
                <w:p w14:paraId="55539AE2">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土壤</w:t>
                  </w:r>
                </w:p>
              </w:tc>
              <w:tc>
                <w:tcPr>
                  <w:tcW w:w="1587" w:type="pct"/>
                  <w:gridSpan w:val="2"/>
                  <w:tcBorders>
                    <w:top w:val="single" w:color="auto" w:sz="4" w:space="0"/>
                    <w:left w:val="single" w:color="auto" w:sz="4" w:space="0"/>
                    <w:bottom w:val="single" w:color="auto" w:sz="4" w:space="0"/>
                    <w:right w:val="single" w:color="auto" w:sz="4" w:space="0"/>
                  </w:tcBorders>
                  <w:vAlign w:val="center"/>
                </w:tcPr>
                <w:p w14:paraId="60A2BEF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类别</w:t>
                  </w:r>
                </w:p>
              </w:tc>
              <w:tc>
                <w:tcPr>
                  <w:tcW w:w="868" w:type="pct"/>
                  <w:tcBorders>
                    <w:top w:val="single" w:color="auto" w:sz="4" w:space="0"/>
                    <w:left w:val="single" w:color="auto" w:sz="4" w:space="0"/>
                    <w:bottom w:val="single" w:color="auto" w:sz="4" w:space="0"/>
                    <w:right w:val="single" w:color="auto" w:sz="4" w:space="0"/>
                  </w:tcBorders>
                  <w:vAlign w:val="center"/>
                </w:tcPr>
                <w:p w14:paraId="4F282B31">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第一类用地</w:t>
                  </w:r>
                </w:p>
              </w:tc>
              <w:tc>
                <w:tcPr>
                  <w:tcW w:w="807" w:type="pct"/>
                  <w:tcBorders>
                    <w:top w:val="single" w:color="auto" w:sz="4" w:space="0"/>
                    <w:left w:val="single" w:color="auto" w:sz="4" w:space="0"/>
                    <w:bottom w:val="single" w:color="auto" w:sz="4" w:space="0"/>
                    <w:right w:val="single" w:color="auto" w:sz="4" w:space="0"/>
                  </w:tcBorders>
                  <w:vAlign w:val="center"/>
                </w:tcPr>
                <w:p w14:paraId="224FAB79">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第二类用地</w:t>
                  </w:r>
                </w:p>
              </w:tc>
              <w:tc>
                <w:tcPr>
                  <w:tcW w:w="1184" w:type="pct"/>
                  <w:vMerge w:val="restart"/>
                  <w:tcBorders>
                    <w:top w:val="single" w:color="auto" w:sz="4" w:space="0"/>
                    <w:left w:val="single" w:color="auto" w:sz="4" w:space="0"/>
                    <w:bottom w:val="single" w:color="auto" w:sz="4" w:space="0"/>
                    <w:right w:val="single" w:color="auto" w:sz="4" w:space="0"/>
                  </w:tcBorders>
                  <w:vAlign w:val="center"/>
                </w:tcPr>
                <w:p w14:paraId="15F4158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《土壤环境质量  建设用地土壤污染风险管控标准》（GB36600-2018）</w:t>
                  </w:r>
                </w:p>
              </w:tc>
            </w:tr>
            <w:tr w14:paraId="6164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3C9CCE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restart"/>
                  <w:tcBorders>
                    <w:top w:val="single" w:color="auto" w:sz="4" w:space="0"/>
                    <w:left w:val="single" w:color="auto" w:sz="4" w:space="0"/>
                    <w:bottom w:val="single" w:color="auto" w:sz="4" w:space="0"/>
                    <w:right w:val="single" w:color="auto" w:sz="4" w:space="0"/>
                  </w:tcBorders>
                  <w:vAlign w:val="center"/>
                </w:tcPr>
                <w:p w14:paraId="34278A40">
                  <w:pPr>
                    <w:keepNext w:val="0"/>
                    <w:keepLines w:val="0"/>
                    <w:pageBreakBefore w:val="0"/>
                    <w:tabs>
                      <w:tab w:val="left" w:pos="3240"/>
                    </w:tabs>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r>
                    <w:rPr>
                      <w:rFonts w:ascii="Times New Roman" w:hAnsi="Times New Roman" w:eastAsia="宋体" w:cs="Times New Roman"/>
                      <w:bCs w:val="0"/>
                      <w:color w:val="auto"/>
                      <w:sz w:val="22"/>
                      <w:szCs w:val="22"/>
                      <w:highlight w:val="none"/>
                    </w:rPr>
                    <w:t>建设用地</w:t>
                  </w:r>
                </w:p>
              </w:tc>
              <w:tc>
                <w:tcPr>
                  <w:tcW w:w="1168" w:type="pct"/>
                  <w:tcBorders>
                    <w:top w:val="single" w:color="auto" w:sz="4" w:space="0"/>
                    <w:left w:val="single" w:color="auto" w:sz="4" w:space="0"/>
                    <w:bottom w:val="single" w:color="auto" w:sz="4" w:space="0"/>
                    <w:right w:val="single" w:color="auto" w:sz="4" w:space="0"/>
                  </w:tcBorders>
                  <w:vAlign w:val="center"/>
                </w:tcPr>
                <w:p w14:paraId="04E2D94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铜</w:t>
                  </w:r>
                </w:p>
              </w:tc>
              <w:tc>
                <w:tcPr>
                  <w:tcW w:w="868" w:type="pct"/>
                  <w:tcBorders>
                    <w:top w:val="single" w:color="auto" w:sz="4" w:space="0"/>
                    <w:left w:val="single" w:color="auto" w:sz="4" w:space="0"/>
                    <w:bottom w:val="single" w:color="auto" w:sz="4" w:space="0"/>
                    <w:right w:val="single" w:color="auto" w:sz="4" w:space="0"/>
                  </w:tcBorders>
                  <w:vAlign w:val="center"/>
                </w:tcPr>
                <w:p w14:paraId="385FCB6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2000</w:t>
                  </w:r>
                </w:p>
              </w:tc>
              <w:tc>
                <w:tcPr>
                  <w:tcW w:w="807" w:type="pct"/>
                  <w:tcBorders>
                    <w:top w:val="single" w:color="auto" w:sz="4" w:space="0"/>
                    <w:left w:val="single" w:color="auto" w:sz="4" w:space="0"/>
                    <w:bottom w:val="single" w:color="auto" w:sz="4" w:space="0"/>
                    <w:right w:val="single" w:color="auto" w:sz="4" w:space="0"/>
                  </w:tcBorders>
                  <w:vAlign w:val="center"/>
                </w:tcPr>
                <w:p w14:paraId="35284FA4">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18000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4DFF2B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3D3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2BA8836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80B0C0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591F05C4">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铅</w:t>
                  </w:r>
                </w:p>
              </w:tc>
              <w:tc>
                <w:tcPr>
                  <w:tcW w:w="868" w:type="pct"/>
                  <w:tcBorders>
                    <w:top w:val="single" w:color="auto" w:sz="4" w:space="0"/>
                    <w:left w:val="single" w:color="auto" w:sz="4" w:space="0"/>
                    <w:bottom w:val="single" w:color="auto" w:sz="4" w:space="0"/>
                    <w:right w:val="single" w:color="auto" w:sz="4" w:space="0"/>
                  </w:tcBorders>
                  <w:vAlign w:val="center"/>
                </w:tcPr>
                <w:p w14:paraId="786EB2D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400</w:t>
                  </w:r>
                </w:p>
              </w:tc>
              <w:tc>
                <w:tcPr>
                  <w:tcW w:w="807" w:type="pct"/>
                  <w:tcBorders>
                    <w:top w:val="single" w:color="auto" w:sz="4" w:space="0"/>
                    <w:left w:val="single" w:color="auto" w:sz="4" w:space="0"/>
                    <w:bottom w:val="single" w:color="auto" w:sz="4" w:space="0"/>
                    <w:right w:val="single" w:color="auto" w:sz="4" w:space="0"/>
                  </w:tcBorders>
                  <w:vAlign w:val="center"/>
                </w:tcPr>
                <w:p w14:paraId="7303D356">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800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34D5F00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829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34E6C2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8D3B71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05460D55">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镉</w:t>
                  </w:r>
                </w:p>
              </w:tc>
              <w:tc>
                <w:tcPr>
                  <w:tcW w:w="868" w:type="pct"/>
                  <w:tcBorders>
                    <w:top w:val="single" w:color="auto" w:sz="4" w:space="0"/>
                    <w:left w:val="single" w:color="auto" w:sz="4" w:space="0"/>
                    <w:bottom w:val="single" w:color="auto" w:sz="4" w:space="0"/>
                    <w:right w:val="single" w:color="auto" w:sz="4" w:space="0"/>
                  </w:tcBorders>
                  <w:vAlign w:val="center"/>
                </w:tcPr>
                <w:p w14:paraId="56587E1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20</w:t>
                  </w:r>
                </w:p>
              </w:tc>
              <w:tc>
                <w:tcPr>
                  <w:tcW w:w="807" w:type="pct"/>
                  <w:tcBorders>
                    <w:top w:val="single" w:color="auto" w:sz="4" w:space="0"/>
                    <w:left w:val="single" w:color="auto" w:sz="4" w:space="0"/>
                    <w:bottom w:val="single" w:color="auto" w:sz="4" w:space="0"/>
                    <w:right w:val="single" w:color="auto" w:sz="4" w:space="0"/>
                  </w:tcBorders>
                  <w:vAlign w:val="center"/>
                </w:tcPr>
                <w:p w14:paraId="7F39CB4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4ADDCB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DEF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2E5EBC4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D0BEED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74847CC">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镍</w:t>
                  </w:r>
                </w:p>
              </w:tc>
              <w:tc>
                <w:tcPr>
                  <w:tcW w:w="868" w:type="pct"/>
                  <w:tcBorders>
                    <w:top w:val="single" w:color="auto" w:sz="4" w:space="0"/>
                    <w:left w:val="single" w:color="auto" w:sz="4" w:space="0"/>
                    <w:bottom w:val="single" w:color="auto" w:sz="4" w:space="0"/>
                    <w:right w:val="single" w:color="auto" w:sz="4" w:space="0"/>
                  </w:tcBorders>
                  <w:vAlign w:val="center"/>
                </w:tcPr>
                <w:p w14:paraId="0F68942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150</w:t>
                  </w:r>
                </w:p>
              </w:tc>
              <w:tc>
                <w:tcPr>
                  <w:tcW w:w="807" w:type="pct"/>
                  <w:tcBorders>
                    <w:top w:val="single" w:color="auto" w:sz="4" w:space="0"/>
                    <w:left w:val="single" w:color="auto" w:sz="4" w:space="0"/>
                    <w:bottom w:val="single" w:color="auto" w:sz="4" w:space="0"/>
                    <w:right w:val="single" w:color="auto" w:sz="4" w:space="0"/>
                  </w:tcBorders>
                  <w:vAlign w:val="center"/>
                </w:tcPr>
                <w:p w14:paraId="3A4E854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900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E04E9F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A42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614CEF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5E3439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705FF69A">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砷</w:t>
                  </w:r>
                </w:p>
              </w:tc>
              <w:tc>
                <w:tcPr>
                  <w:tcW w:w="868" w:type="pct"/>
                  <w:tcBorders>
                    <w:top w:val="single" w:color="auto" w:sz="4" w:space="0"/>
                    <w:left w:val="single" w:color="auto" w:sz="4" w:space="0"/>
                    <w:bottom w:val="single" w:color="auto" w:sz="4" w:space="0"/>
                    <w:right w:val="single" w:color="auto" w:sz="4" w:space="0"/>
                  </w:tcBorders>
                  <w:vAlign w:val="center"/>
                </w:tcPr>
                <w:p w14:paraId="3BA42C61">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20</w:t>
                  </w:r>
                </w:p>
              </w:tc>
              <w:tc>
                <w:tcPr>
                  <w:tcW w:w="807" w:type="pct"/>
                  <w:tcBorders>
                    <w:top w:val="single" w:color="auto" w:sz="4" w:space="0"/>
                    <w:left w:val="single" w:color="auto" w:sz="4" w:space="0"/>
                    <w:bottom w:val="single" w:color="auto" w:sz="4" w:space="0"/>
                    <w:right w:val="single" w:color="auto" w:sz="4" w:space="0"/>
                  </w:tcBorders>
                  <w:vAlign w:val="center"/>
                </w:tcPr>
                <w:p w14:paraId="62622C3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41E116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07C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1F5927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84DFC7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1EBE45B">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汞</w:t>
                  </w:r>
                </w:p>
              </w:tc>
              <w:tc>
                <w:tcPr>
                  <w:tcW w:w="868" w:type="pct"/>
                  <w:tcBorders>
                    <w:top w:val="single" w:color="auto" w:sz="4" w:space="0"/>
                    <w:left w:val="single" w:color="auto" w:sz="4" w:space="0"/>
                    <w:bottom w:val="single" w:color="auto" w:sz="4" w:space="0"/>
                    <w:right w:val="single" w:color="auto" w:sz="4" w:space="0"/>
                  </w:tcBorders>
                  <w:vAlign w:val="center"/>
                </w:tcPr>
                <w:p w14:paraId="04C9E93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8</w:t>
                  </w:r>
                </w:p>
              </w:tc>
              <w:tc>
                <w:tcPr>
                  <w:tcW w:w="807" w:type="pct"/>
                  <w:tcBorders>
                    <w:top w:val="single" w:color="auto" w:sz="4" w:space="0"/>
                    <w:left w:val="single" w:color="auto" w:sz="4" w:space="0"/>
                    <w:bottom w:val="single" w:color="auto" w:sz="4" w:space="0"/>
                    <w:right w:val="single" w:color="auto" w:sz="4" w:space="0"/>
                  </w:tcBorders>
                  <w:vAlign w:val="center"/>
                </w:tcPr>
                <w:p w14:paraId="537C6D5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38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E6D876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02E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92BB93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CA4BEA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91EA473">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六价铬</w:t>
                  </w:r>
                </w:p>
              </w:tc>
              <w:tc>
                <w:tcPr>
                  <w:tcW w:w="868" w:type="pct"/>
                  <w:tcBorders>
                    <w:top w:val="single" w:color="auto" w:sz="4" w:space="0"/>
                    <w:left w:val="single" w:color="auto" w:sz="4" w:space="0"/>
                    <w:bottom w:val="single" w:color="auto" w:sz="4" w:space="0"/>
                    <w:right w:val="single" w:color="auto" w:sz="4" w:space="0"/>
                  </w:tcBorders>
                  <w:vAlign w:val="center"/>
                </w:tcPr>
                <w:p w14:paraId="499959A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3.0</w:t>
                  </w:r>
                </w:p>
              </w:tc>
              <w:tc>
                <w:tcPr>
                  <w:tcW w:w="807" w:type="pct"/>
                  <w:tcBorders>
                    <w:top w:val="single" w:color="auto" w:sz="4" w:space="0"/>
                    <w:left w:val="single" w:color="auto" w:sz="4" w:space="0"/>
                    <w:bottom w:val="single" w:color="auto" w:sz="4" w:space="0"/>
                    <w:right w:val="single" w:color="auto" w:sz="4" w:space="0"/>
                  </w:tcBorders>
                  <w:vAlign w:val="center"/>
                </w:tcPr>
                <w:p w14:paraId="5D213B78">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5.7</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889884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2D02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174D2D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4ABF66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0AF8BD61">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2-氯酚</w:t>
                  </w:r>
                </w:p>
              </w:tc>
              <w:tc>
                <w:tcPr>
                  <w:tcW w:w="868" w:type="pct"/>
                  <w:tcBorders>
                    <w:top w:val="single" w:color="auto" w:sz="4" w:space="0"/>
                    <w:left w:val="single" w:color="auto" w:sz="4" w:space="0"/>
                    <w:bottom w:val="single" w:color="auto" w:sz="4" w:space="0"/>
                    <w:right w:val="single" w:color="auto" w:sz="4" w:space="0"/>
                  </w:tcBorders>
                  <w:vAlign w:val="center"/>
                </w:tcPr>
                <w:p w14:paraId="31B21A3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250</w:t>
                  </w:r>
                </w:p>
              </w:tc>
              <w:tc>
                <w:tcPr>
                  <w:tcW w:w="807" w:type="pct"/>
                  <w:tcBorders>
                    <w:top w:val="single" w:color="auto" w:sz="4" w:space="0"/>
                    <w:left w:val="single" w:color="auto" w:sz="4" w:space="0"/>
                    <w:bottom w:val="single" w:color="auto" w:sz="4" w:space="0"/>
                    <w:right w:val="single" w:color="auto" w:sz="4" w:space="0"/>
                  </w:tcBorders>
                  <w:vAlign w:val="center"/>
                </w:tcPr>
                <w:p w14:paraId="32C4328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2256</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39F3365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EC5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ABD807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19A5D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6ED647C2">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硝基苯</w:t>
                  </w:r>
                </w:p>
              </w:tc>
              <w:tc>
                <w:tcPr>
                  <w:tcW w:w="868" w:type="pct"/>
                  <w:tcBorders>
                    <w:top w:val="single" w:color="auto" w:sz="4" w:space="0"/>
                    <w:left w:val="single" w:color="auto" w:sz="4" w:space="0"/>
                    <w:bottom w:val="single" w:color="auto" w:sz="4" w:space="0"/>
                    <w:right w:val="single" w:color="auto" w:sz="4" w:space="0"/>
                  </w:tcBorders>
                  <w:vAlign w:val="center"/>
                </w:tcPr>
                <w:p w14:paraId="53158082">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34</w:t>
                  </w:r>
                </w:p>
              </w:tc>
              <w:tc>
                <w:tcPr>
                  <w:tcW w:w="807" w:type="pct"/>
                  <w:tcBorders>
                    <w:top w:val="single" w:color="auto" w:sz="4" w:space="0"/>
                    <w:left w:val="single" w:color="auto" w:sz="4" w:space="0"/>
                    <w:bottom w:val="single" w:color="auto" w:sz="4" w:space="0"/>
                    <w:right w:val="single" w:color="auto" w:sz="4" w:space="0"/>
                  </w:tcBorders>
                  <w:vAlign w:val="center"/>
                </w:tcPr>
                <w:p w14:paraId="2BD4077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76</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7EA128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DED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824BB9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8D5387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0A929D66">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苯胺</w:t>
                  </w:r>
                </w:p>
              </w:tc>
              <w:tc>
                <w:tcPr>
                  <w:tcW w:w="868" w:type="pct"/>
                  <w:tcBorders>
                    <w:top w:val="single" w:color="auto" w:sz="4" w:space="0"/>
                    <w:left w:val="single" w:color="auto" w:sz="4" w:space="0"/>
                    <w:bottom w:val="single" w:color="auto" w:sz="4" w:space="0"/>
                    <w:right w:val="single" w:color="auto" w:sz="4" w:space="0"/>
                  </w:tcBorders>
                  <w:vAlign w:val="center"/>
                </w:tcPr>
                <w:p w14:paraId="6F916060">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92</w:t>
                  </w:r>
                </w:p>
              </w:tc>
              <w:tc>
                <w:tcPr>
                  <w:tcW w:w="807" w:type="pct"/>
                  <w:tcBorders>
                    <w:top w:val="single" w:color="auto" w:sz="4" w:space="0"/>
                    <w:left w:val="single" w:color="auto" w:sz="4" w:space="0"/>
                    <w:bottom w:val="single" w:color="auto" w:sz="4" w:space="0"/>
                    <w:right w:val="single" w:color="auto" w:sz="4" w:space="0"/>
                  </w:tcBorders>
                  <w:vAlign w:val="center"/>
                </w:tcPr>
                <w:p w14:paraId="653DEAA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260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534A97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FB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FD0A6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A8FD58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494C4B0">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萘</w:t>
                  </w:r>
                </w:p>
              </w:tc>
              <w:tc>
                <w:tcPr>
                  <w:tcW w:w="868" w:type="pct"/>
                  <w:tcBorders>
                    <w:top w:val="single" w:color="auto" w:sz="4" w:space="0"/>
                    <w:left w:val="single" w:color="auto" w:sz="4" w:space="0"/>
                    <w:bottom w:val="single" w:color="auto" w:sz="4" w:space="0"/>
                    <w:right w:val="single" w:color="auto" w:sz="4" w:space="0"/>
                  </w:tcBorders>
                  <w:vAlign w:val="center"/>
                </w:tcPr>
                <w:p w14:paraId="64183986">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25</w:t>
                  </w:r>
                </w:p>
              </w:tc>
              <w:tc>
                <w:tcPr>
                  <w:tcW w:w="807" w:type="pct"/>
                  <w:tcBorders>
                    <w:top w:val="single" w:color="auto" w:sz="4" w:space="0"/>
                    <w:left w:val="single" w:color="auto" w:sz="4" w:space="0"/>
                    <w:bottom w:val="single" w:color="auto" w:sz="4" w:space="0"/>
                    <w:right w:val="single" w:color="auto" w:sz="4" w:space="0"/>
                  </w:tcBorders>
                  <w:vAlign w:val="center"/>
                </w:tcPr>
                <w:p w14:paraId="2191D8A8">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70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177E825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114C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72660F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CF9CA5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ECC5524">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苯并[a]蒽</w:t>
                  </w:r>
                </w:p>
              </w:tc>
              <w:tc>
                <w:tcPr>
                  <w:tcW w:w="868" w:type="pct"/>
                  <w:tcBorders>
                    <w:top w:val="single" w:color="auto" w:sz="4" w:space="0"/>
                    <w:left w:val="single" w:color="auto" w:sz="4" w:space="0"/>
                    <w:bottom w:val="single" w:color="auto" w:sz="4" w:space="0"/>
                    <w:right w:val="single" w:color="auto" w:sz="4" w:space="0"/>
                  </w:tcBorders>
                  <w:vAlign w:val="center"/>
                </w:tcPr>
                <w:p w14:paraId="165F9F5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5.5</w:t>
                  </w:r>
                </w:p>
              </w:tc>
              <w:tc>
                <w:tcPr>
                  <w:tcW w:w="807" w:type="pct"/>
                  <w:tcBorders>
                    <w:top w:val="single" w:color="auto" w:sz="4" w:space="0"/>
                    <w:left w:val="single" w:color="auto" w:sz="4" w:space="0"/>
                    <w:bottom w:val="single" w:color="auto" w:sz="4" w:space="0"/>
                    <w:right w:val="single" w:color="auto" w:sz="4" w:space="0"/>
                  </w:tcBorders>
                  <w:vAlign w:val="center"/>
                </w:tcPr>
                <w:p w14:paraId="09D05EF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E19686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360F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FDCE52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BC239E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6F6B82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䓛</w:t>
                  </w:r>
                </w:p>
              </w:tc>
              <w:tc>
                <w:tcPr>
                  <w:tcW w:w="868" w:type="pct"/>
                  <w:tcBorders>
                    <w:top w:val="single" w:color="auto" w:sz="4" w:space="0"/>
                    <w:left w:val="single" w:color="auto" w:sz="4" w:space="0"/>
                    <w:bottom w:val="single" w:color="auto" w:sz="4" w:space="0"/>
                    <w:right w:val="single" w:color="auto" w:sz="4" w:space="0"/>
                  </w:tcBorders>
                  <w:vAlign w:val="center"/>
                </w:tcPr>
                <w:p w14:paraId="30B3BE38">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490</w:t>
                  </w:r>
                </w:p>
              </w:tc>
              <w:tc>
                <w:tcPr>
                  <w:tcW w:w="807" w:type="pct"/>
                  <w:tcBorders>
                    <w:top w:val="single" w:color="auto" w:sz="4" w:space="0"/>
                    <w:left w:val="single" w:color="auto" w:sz="4" w:space="0"/>
                    <w:bottom w:val="single" w:color="auto" w:sz="4" w:space="0"/>
                    <w:right w:val="single" w:color="auto" w:sz="4" w:space="0"/>
                  </w:tcBorders>
                  <w:vAlign w:val="center"/>
                </w:tcPr>
                <w:p w14:paraId="38B88BC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1293</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1A6A7D5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2236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6650FA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6E5BA4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DD3D359">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苯并[b]荧蒽</w:t>
                  </w:r>
                </w:p>
              </w:tc>
              <w:tc>
                <w:tcPr>
                  <w:tcW w:w="868" w:type="pct"/>
                  <w:tcBorders>
                    <w:top w:val="single" w:color="auto" w:sz="4" w:space="0"/>
                    <w:left w:val="single" w:color="auto" w:sz="4" w:space="0"/>
                    <w:bottom w:val="single" w:color="auto" w:sz="4" w:space="0"/>
                    <w:right w:val="single" w:color="auto" w:sz="4" w:space="0"/>
                  </w:tcBorders>
                  <w:vAlign w:val="center"/>
                </w:tcPr>
                <w:p w14:paraId="7CDC570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5.5</w:t>
                  </w:r>
                </w:p>
              </w:tc>
              <w:tc>
                <w:tcPr>
                  <w:tcW w:w="807" w:type="pct"/>
                  <w:tcBorders>
                    <w:top w:val="single" w:color="auto" w:sz="4" w:space="0"/>
                    <w:left w:val="single" w:color="auto" w:sz="4" w:space="0"/>
                    <w:bottom w:val="single" w:color="auto" w:sz="4" w:space="0"/>
                    <w:right w:val="single" w:color="auto" w:sz="4" w:space="0"/>
                  </w:tcBorders>
                  <w:vAlign w:val="center"/>
                </w:tcPr>
                <w:p w14:paraId="70E8C9C9">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09CAF7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912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0A29E9C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873C96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1B5F7C1">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苯并[k]荧蒽</w:t>
                  </w:r>
                </w:p>
              </w:tc>
              <w:tc>
                <w:tcPr>
                  <w:tcW w:w="868" w:type="pct"/>
                  <w:tcBorders>
                    <w:top w:val="single" w:color="auto" w:sz="4" w:space="0"/>
                    <w:left w:val="single" w:color="auto" w:sz="4" w:space="0"/>
                    <w:bottom w:val="single" w:color="auto" w:sz="4" w:space="0"/>
                    <w:right w:val="single" w:color="auto" w:sz="4" w:space="0"/>
                  </w:tcBorders>
                  <w:vAlign w:val="center"/>
                </w:tcPr>
                <w:p w14:paraId="5D14DC3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55</w:t>
                  </w:r>
                </w:p>
              </w:tc>
              <w:tc>
                <w:tcPr>
                  <w:tcW w:w="807" w:type="pct"/>
                  <w:tcBorders>
                    <w:top w:val="single" w:color="auto" w:sz="4" w:space="0"/>
                    <w:left w:val="single" w:color="auto" w:sz="4" w:space="0"/>
                    <w:bottom w:val="single" w:color="auto" w:sz="4" w:space="0"/>
                    <w:right w:val="single" w:color="auto" w:sz="4" w:space="0"/>
                  </w:tcBorders>
                  <w:vAlign w:val="center"/>
                </w:tcPr>
                <w:p w14:paraId="25344B89">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151</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37F7EC7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167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724B715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AD1B3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5D53CC73">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苯并[a]芘</w:t>
                  </w:r>
                </w:p>
              </w:tc>
              <w:tc>
                <w:tcPr>
                  <w:tcW w:w="868" w:type="pct"/>
                  <w:tcBorders>
                    <w:top w:val="single" w:color="auto" w:sz="4" w:space="0"/>
                    <w:left w:val="single" w:color="auto" w:sz="4" w:space="0"/>
                    <w:bottom w:val="single" w:color="auto" w:sz="4" w:space="0"/>
                    <w:right w:val="single" w:color="auto" w:sz="4" w:space="0"/>
                  </w:tcBorders>
                  <w:vAlign w:val="center"/>
                </w:tcPr>
                <w:p w14:paraId="310CCDC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0.55</w:t>
                  </w:r>
                </w:p>
              </w:tc>
              <w:tc>
                <w:tcPr>
                  <w:tcW w:w="807" w:type="pct"/>
                  <w:tcBorders>
                    <w:top w:val="single" w:color="auto" w:sz="4" w:space="0"/>
                    <w:left w:val="single" w:color="auto" w:sz="4" w:space="0"/>
                    <w:bottom w:val="single" w:color="auto" w:sz="4" w:space="0"/>
                    <w:right w:val="single" w:color="auto" w:sz="4" w:space="0"/>
                  </w:tcBorders>
                  <w:vAlign w:val="center"/>
                </w:tcPr>
                <w:p w14:paraId="7FE40198">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A6F949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FE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630DD2F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A66A1B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76D13790">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茚并[1,2,3-cd]芘</w:t>
                  </w:r>
                </w:p>
              </w:tc>
              <w:tc>
                <w:tcPr>
                  <w:tcW w:w="868" w:type="pct"/>
                  <w:tcBorders>
                    <w:top w:val="single" w:color="auto" w:sz="4" w:space="0"/>
                    <w:left w:val="single" w:color="auto" w:sz="4" w:space="0"/>
                    <w:bottom w:val="single" w:color="auto" w:sz="4" w:space="0"/>
                    <w:right w:val="single" w:color="auto" w:sz="4" w:space="0"/>
                  </w:tcBorders>
                  <w:vAlign w:val="center"/>
                </w:tcPr>
                <w:p w14:paraId="4442B744">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5.5</w:t>
                  </w:r>
                </w:p>
              </w:tc>
              <w:tc>
                <w:tcPr>
                  <w:tcW w:w="807" w:type="pct"/>
                  <w:tcBorders>
                    <w:top w:val="single" w:color="auto" w:sz="4" w:space="0"/>
                    <w:left w:val="single" w:color="auto" w:sz="4" w:space="0"/>
                    <w:bottom w:val="single" w:color="auto" w:sz="4" w:space="0"/>
                    <w:right w:val="single" w:color="auto" w:sz="4" w:space="0"/>
                  </w:tcBorders>
                  <w:vAlign w:val="center"/>
                </w:tcPr>
                <w:p w14:paraId="0BF82E1F">
                  <w:pPr>
                    <w:pStyle w:val="45"/>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D278E7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5A3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799544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5FFA5EF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54A097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二苯并[a，h]蒽</w:t>
                  </w:r>
                </w:p>
              </w:tc>
              <w:tc>
                <w:tcPr>
                  <w:tcW w:w="868" w:type="pct"/>
                  <w:tcBorders>
                    <w:top w:val="single" w:color="auto" w:sz="4" w:space="0"/>
                    <w:left w:val="single" w:color="auto" w:sz="4" w:space="0"/>
                    <w:bottom w:val="single" w:color="auto" w:sz="4" w:space="0"/>
                    <w:right w:val="single" w:color="auto" w:sz="4" w:space="0"/>
                  </w:tcBorders>
                  <w:vAlign w:val="center"/>
                </w:tcPr>
                <w:p w14:paraId="29BA202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0.55</w:t>
                  </w:r>
                </w:p>
              </w:tc>
              <w:tc>
                <w:tcPr>
                  <w:tcW w:w="807" w:type="pct"/>
                  <w:tcBorders>
                    <w:top w:val="single" w:color="auto" w:sz="4" w:space="0"/>
                    <w:left w:val="single" w:color="auto" w:sz="4" w:space="0"/>
                    <w:bottom w:val="single" w:color="auto" w:sz="4" w:space="0"/>
                    <w:right w:val="single" w:color="auto" w:sz="4" w:space="0"/>
                  </w:tcBorders>
                  <w:vAlign w:val="center"/>
                </w:tcPr>
                <w:p w14:paraId="1523BAA0">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E79DB2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173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055737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B9233C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C74743F">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1,1-二氯乙烷</w:t>
                  </w:r>
                </w:p>
              </w:tc>
              <w:tc>
                <w:tcPr>
                  <w:tcW w:w="868" w:type="pct"/>
                  <w:tcBorders>
                    <w:top w:val="single" w:color="auto" w:sz="4" w:space="0"/>
                    <w:left w:val="single" w:color="auto" w:sz="4" w:space="0"/>
                    <w:bottom w:val="single" w:color="auto" w:sz="4" w:space="0"/>
                    <w:right w:val="single" w:color="auto" w:sz="4" w:space="0"/>
                  </w:tcBorders>
                  <w:vAlign w:val="center"/>
                </w:tcPr>
                <w:p w14:paraId="492DE7A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3</w:t>
                  </w:r>
                </w:p>
              </w:tc>
              <w:tc>
                <w:tcPr>
                  <w:tcW w:w="807" w:type="pct"/>
                  <w:tcBorders>
                    <w:top w:val="single" w:color="auto" w:sz="4" w:space="0"/>
                    <w:left w:val="single" w:color="auto" w:sz="4" w:space="0"/>
                    <w:bottom w:val="single" w:color="auto" w:sz="4" w:space="0"/>
                    <w:right w:val="single" w:color="auto" w:sz="4" w:space="0"/>
                  </w:tcBorders>
                  <w:vAlign w:val="center"/>
                </w:tcPr>
                <w:p w14:paraId="62A0232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9</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E70754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1AE0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89629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565DC42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5005FF8">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顺式-1,2-二氯乙烯</w:t>
                  </w:r>
                </w:p>
              </w:tc>
              <w:tc>
                <w:tcPr>
                  <w:tcW w:w="868" w:type="pct"/>
                  <w:tcBorders>
                    <w:top w:val="single" w:color="auto" w:sz="4" w:space="0"/>
                    <w:left w:val="single" w:color="auto" w:sz="4" w:space="0"/>
                    <w:bottom w:val="single" w:color="auto" w:sz="4" w:space="0"/>
                    <w:right w:val="single" w:color="auto" w:sz="4" w:space="0"/>
                  </w:tcBorders>
                  <w:vAlign w:val="center"/>
                </w:tcPr>
                <w:p w14:paraId="492AEEC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66</w:t>
                  </w:r>
                </w:p>
              </w:tc>
              <w:tc>
                <w:tcPr>
                  <w:tcW w:w="807" w:type="pct"/>
                  <w:tcBorders>
                    <w:top w:val="single" w:color="auto" w:sz="4" w:space="0"/>
                    <w:left w:val="single" w:color="auto" w:sz="4" w:space="0"/>
                    <w:bottom w:val="single" w:color="auto" w:sz="4" w:space="0"/>
                    <w:right w:val="single" w:color="auto" w:sz="4" w:space="0"/>
                  </w:tcBorders>
                  <w:vAlign w:val="center"/>
                </w:tcPr>
                <w:p w14:paraId="597E5E41">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596</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331F67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7A7D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5D770C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06123C7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2DD9474">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反式-1,2-二氯乙烯</w:t>
                  </w:r>
                </w:p>
              </w:tc>
              <w:tc>
                <w:tcPr>
                  <w:tcW w:w="868" w:type="pct"/>
                  <w:tcBorders>
                    <w:top w:val="single" w:color="auto" w:sz="4" w:space="0"/>
                    <w:left w:val="single" w:color="auto" w:sz="4" w:space="0"/>
                    <w:bottom w:val="single" w:color="auto" w:sz="4" w:space="0"/>
                    <w:right w:val="single" w:color="auto" w:sz="4" w:space="0"/>
                  </w:tcBorders>
                  <w:vAlign w:val="center"/>
                </w:tcPr>
                <w:p w14:paraId="7DF4B5E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10</w:t>
                  </w:r>
                </w:p>
              </w:tc>
              <w:tc>
                <w:tcPr>
                  <w:tcW w:w="807" w:type="pct"/>
                  <w:tcBorders>
                    <w:top w:val="single" w:color="auto" w:sz="4" w:space="0"/>
                    <w:left w:val="single" w:color="auto" w:sz="4" w:space="0"/>
                    <w:bottom w:val="single" w:color="auto" w:sz="4" w:space="0"/>
                    <w:right w:val="single" w:color="auto" w:sz="4" w:space="0"/>
                  </w:tcBorders>
                  <w:vAlign w:val="center"/>
                </w:tcPr>
                <w:p w14:paraId="4291507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54</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7DF916E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1D19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B00098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910626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38307912">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氯仿</w:t>
                  </w:r>
                </w:p>
              </w:tc>
              <w:tc>
                <w:tcPr>
                  <w:tcW w:w="868" w:type="pct"/>
                  <w:tcBorders>
                    <w:top w:val="single" w:color="auto" w:sz="4" w:space="0"/>
                    <w:left w:val="single" w:color="auto" w:sz="4" w:space="0"/>
                    <w:bottom w:val="single" w:color="auto" w:sz="4" w:space="0"/>
                    <w:right w:val="single" w:color="auto" w:sz="4" w:space="0"/>
                  </w:tcBorders>
                  <w:vAlign w:val="center"/>
                </w:tcPr>
                <w:p w14:paraId="488DB5D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0.3</w:t>
                  </w:r>
                </w:p>
              </w:tc>
              <w:tc>
                <w:tcPr>
                  <w:tcW w:w="807" w:type="pct"/>
                  <w:tcBorders>
                    <w:top w:val="single" w:color="auto" w:sz="4" w:space="0"/>
                    <w:left w:val="single" w:color="auto" w:sz="4" w:space="0"/>
                    <w:bottom w:val="single" w:color="auto" w:sz="4" w:space="0"/>
                    <w:right w:val="single" w:color="auto" w:sz="4" w:space="0"/>
                  </w:tcBorders>
                  <w:vAlign w:val="center"/>
                </w:tcPr>
                <w:p w14:paraId="5EA86CF4">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0.9</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1F4F84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3EC7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2728207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1D55A2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3BD1F49B">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二氯甲烷</w:t>
                  </w:r>
                </w:p>
              </w:tc>
              <w:tc>
                <w:tcPr>
                  <w:tcW w:w="868" w:type="pct"/>
                  <w:tcBorders>
                    <w:top w:val="single" w:color="auto" w:sz="4" w:space="0"/>
                    <w:left w:val="single" w:color="auto" w:sz="4" w:space="0"/>
                    <w:bottom w:val="single" w:color="auto" w:sz="4" w:space="0"/>
                    <w:right w:val="single" w:color="auto" w:sz="4" w:space="0"/>
                  </w:tcBorders>
                  <w:vAlign w:val="center"/>
                </w:tcPr>
                <w:p w14:paraId="007F419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94</w:t>
                  </w:r>
                </w:p>
              </w:tc>
              <w:tc>
                <w:tcPr>
                  <w:tcW w:w="807" w:type="pct"/>
                  <w:tcBorders>
                    <w:top w:val="single" w:color="auto" w:sz="4" w:space="0"/>
                    <w:left w:val="single" w:color="auto" w:sz="4" w:space="0"/>
                    <w:bottom w:val="single" w:color="auto" w:sz="4" w:space="0"/>
                    <w:right w:val="single" w:color="auto" w:sz="4" w:space="0"/>
                  </w:tcBorders>
                  <w:vAlign w:val="center"/>
                </w:tcPr>
                <w:p w14:paraId="769E17A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616</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1362EDA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2584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29864CF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FBA7A5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3455B483">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1,1,1-三氯乙烷</w:t>
                  </w:r>
                </w:p>
              </w:tc>
              <w:tc>
                <w:tcPr>
                  <w:tcW w:w="868" w:type="pct"/>
                  <w:tcBorders>
                    <w:top w:val="single" w:color="auto" w:sz="4" w:space="0"/>
                    <w:left w:val="single" w:color="auto" w:sz="4" w:space="0"/>
                    <w:bottom w:val="single" w:color="auto" w:sz="4" w:space="0"/>
                    <w:right w:val="single" w:color="auto" w:sz="4" w:space="0"/>
                  </w:tcBorders>
                  <w:vAlign w:val="center"/>
                </w:tcPr>
                <w:p w14:paraId="252DF7B1">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701</w:t>
                  </w:r>
                </w:p>
              </w:tc>
              <w:tc>
                <w:tcPr>
                  <w:tcW w:w="807" w:type="pct"/>
                  <w:tcBorders>
                    <w:top w:val="single" w:color="auto" w:sz="4" w:space="0"/>
                    <w:left w:val="single" w:color="auto" w:sz="4" w:space="0"/>
                    <w:bottom w:val="single" w:color="auto" w:sz="4" w:space="0"/>
                    <w:right w:val="single" w:color="auto" w:sz="4" w:space="0"/>
                  </w:tcBorders>
                  <w:vAlign w:val="center"/>
                </w:tcPr>
                <w:p w14:paraId="4E29C43E">
                  <w:pPr>
                    <w:pStyle w:val="45"/>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840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77D897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0D65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C09236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261EA06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52957B5">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四氯化碳</w:t>
                  </w:r>
                </w:p>
              </w:tc>
              <w:tc>
                <w:tcPr>
                  <w:tcW w:w="868" w:type="pct"/>
                  <w:tcBorders>
                    <w:top w:val="single" w:color="auto" w:sz="4" w:space="0"/>
                    <w:left w:val="single" w:color="auto" w:sz="4" w:space="0"/>
                    <w:bottom w:val="single" w:color="auto" w:sz="4" w:space="0"/>
                    <w:right w:val="single" w:color="auto" w:sz="4" w:space="0"/>
                  </w:tcBorders>
                  <w:vAlign w:val="center"/>
                </w:tcPr>
                <w:p w14:paraId="67C891C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0.9</w:t>
                  </w:r>
                </w:p>
              </w:tc>
              <w:tc>
                <w:tcPr>
                  <w:tcW w:w="807" w:type="pct"/>
                  <w:tcBorders>
                    <w:top w:val="single" w:color="auto" w:sz="4" w:space="0"/>
                    <w:left w:val="single" w:color="auto" w:sz="4" w:space="0"/>
                    <w:bottom w:val="single" w:color="auto" w:sz="4" w:space="0"/>
                    <w:right w:val="single" w:color="auto" w:sz="4" w:space="0"/>
                  </w:tcBorders>
                  <w:vAlign w:val="center"/>
                </w:tcPr>
                <w:p w14:paraId="75F355F6">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393F03C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30CF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4ADA0F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C49F0A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518D54C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w:t>
                  </w:r>
                </w:p>
              </w:tc>
              <w:tc>
                <w:tcPr>
                  <w:tcW w:w="868" w:type="pct"/>
                  <w:tcBorders>
                    <w:top w:val="single" w:color="auto" w:sz="4" w:space="0"/>
                    <w:left w:val="single" w:color="auto" w:sz="4" w:space="0"/>
                    <w:bottom w:val="single" w:color="auto" w:sz="4" w:space="0"/>
                    <w:right w:val="single" w:color="auto" w:sz="4" w:space="0"/>
                  </w:tcBorders>
                  <w:vAlign w:val="center"/>
                </w:tcPr>
                <w:p w14:paraId="5E3B58B0">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w:t>
                  </w:r>
                </w:p>
              </w:tc>
              <w:tc>
                <w:tcPr>
                  <w:tcW w:w="807" w:type="pct"/>
                  <w:tcBorders>
                    <w:top w:val="single" w:color="auto" w:sz="4" w:space="0"/>
                    <w:left w:val="single" w:color="auto" w:sz="4" w:space="0"/>
                    <w:bottom w:val="single" w:color="auto" w:sz="4" w:space="0"/>
                    <w:right w:val="single" w:color="auto" w:sz="4" w:space="0"/>
                  </w:tcBorders>
                  <w:vAlign w:val="center"/>
                </w:tcPr>
                <w:p w14:paraId="4F7F2856">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4</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7E95E13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41CC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5CE21E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5ADD668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9241611">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1,2-二氯乙烷</w:t>
                  </w:r>
                </w:p>
              </w:tc>
              <w:tc>
                <w:tcPr>
                  <w:tcW w:w="868" w:type="pct"/>
                  <w:tcBorders>
                    <w:top w:val="single" w:color="auto" w:sz="4" w:space="0"/>
                    <w:left w:val="single" w:color="auto" w:sz="4" w:space="0"/>
                    <w:bottom w:val="single" w:color="auto" w:sz="4" w:space="0"/>
                    <w:right w:val="single" w:color="auto" w:sz="4" w:space="0"/>
                  </w:tcBorders>
                  <w:vAlign w:val="center"/>
                </w:tcPr>
                <w:p w14:paraId="54BCF822">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0.52</w:t>
                  </w:r>
                </w:p>
              </w:tc>
              <w:tc>
                <w:tcPr>
                  <w:tcW w:w="807" w:type="pct"/>
                  <w:tcBorders>
                    <w:top w:val="single" w:color="auto" w:sz="4" w:space="0"/>
                    <w:left w:val="single" w:color="auto" w:sz="4" w:space="0"/>
                    <w:bottom w:val="single" w:color="auto" w:sz="4" w:space="0"/>
                    <w:right w:val="single" w:color="auto" w:sz="4" w:space="0"/>
                  </w:tcBorders>
                  <w:vAlign w:val="center"/>
                </w:tcPr>
                <w:p w14:paraId="03FF8EA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96CAAF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FE0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642964A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2F9A5A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B89F5DF">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三氯乙烯</w:t>
                  </w:r>
                </w:p>
              </w:tc>
              <w:tc>
                <w:tcPr>
                  <w:tcW w:w="868" w:type="pct"/>
                  <w:tcBorders>
                    <w:top w:val="single" w:color="auto" w:sz="4" w:space="0"/>
                    <w:left w:val="single" w:color="auto" w:sz="4" w:space="0"/>
                    <w:bottom w:val="single" w:color="auto" w:sz="4" w:space="0"/>
                    <w:right w:val="single" w:color="auto" w:sz="4" w:space="0"/>
                  </w:tcBorders>
                  <w:vAlign w:val="center"/>
                </w:tcPr>
                <w:p w14:paraId="35BFDB40">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0.7</w:t>
                  </w:r>
                </w:p>
              </w:tc>
              <w:tc>
                <w:tcPr>
                  <w:tcW w:w="807" w:type="pct"/>
                  <w:tcBorders>
                    <w:top w:val="single" w:color="auto" w:sz="4" w:space="0"/>
                    <w:left w:val="single" w:color="auto" w:sz="4" w:space="0"/>
                    <w:bottom w:val="single" w:color="auto" w:sz="4" w:space="0"/>
                    <w:right w:val="single" w:color="auto" w:sz="4" w:space="0"/>
                  </w:tcBorders>
                  <w:vAlign w:val="center"/>
                </w:tcPr>
                <w:p w14:paraId="4E645CC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373267F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603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30F81F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19B96BB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3E4822ED">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1,2-二氯丙烷</w:t>
                  </w:r>
                </w:p>
              </w:tc>
              <w:tc>
                <w:tcPr>
                  <w:tcW w:w="868" w:type="pct"/>
                  <w:tcBorders>
                    <w:top w:val="single" w:color="auto" w:sz="4" w:space="0"/>
                    <w:left w:val="single" w:color="auto" w:sz="4" w:space="0"/>
                    <w:bottom w:val="single" w:color="auto" w:sz="4" w:space="0"/>
                    <w:right w:val="single" w:color="auto" w:sz="4" w:space="0"/>
                  </w:tcBorders>
                  <w:vAlign w:val="center"/>
                </w:tcPr>
                <w:p w14:paraId="12E6D812">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w:t>
                  </w:r>
                </w:p>
              </w:tc>
              <w:tc>
                <w:tcPr>
                  <w:tcW w:w="807" w:type="pct"/>
                  <w:tcBorders>
                    <w:top w:val="single" w:color="auto" w:sz="4" w:space="0"/>
                    <w:left w:val="single" w:color="auto" w:sz="4" w:space="0"/>
                    <w:bottom w:val="single" w:color="auto" w:sz="4" w:space="0"/>
                    <w:right w:val="single" w:color="auto" w:sz="4" w:space="0"/>
                  </w:tcBorders>
                  <w:vAlign w:val="center"/>
                </w:tcPr>
                <w:p w14:paraId="0E4C9AA1">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2C324C0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4AE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2CE7D3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0D54490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0B1F432E">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甲苯</w:t>
                  </w:r>
                </w:p>
              </w:tc>
              <w:tc>
                <w:tcPr>
                  <w:tcW w:w="868" w:type="pct"/>
                  <w:tcBorders>
                    <w:top w:val="single" w:color="auto" w:sz="4" w:space="0"/>
                    <w:left w:val="single" w:color="auto" w:sz="4" w:space="0"/>
                    <w:bottom w:val="single" w:color="auto" w:sz="4" w:space="0"/>
                    <w:right w:val="single" w:color="auto" w:sz="4" w:space="0"/>
                  </w:tcBorders>
                  <w:vAlign w:val="center"/>
                </w:tcPr>
                <w:p w14:paraId="4AC9F60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1200</w:t>
                  </w:r>
                </w:p>
              </w:tc>
              <w:tc>
                <w:tcPr>
                  <w:tcW w:w="807" w:type="pct"/>
                  <w:tcBorders>
                    <w:top w:val="single" w:color="auto" w:sz="4" w:space="0"/>
                    <w:left w:val="single" w:color="auto" w:sz="4" w:space="0"/>
                    <w:bottom w:val="single" w:color="auto" w:sz="4" w:space="0"/>
                    <w:right w:val="single" w:color="auto" w:sz="4" w:space="0"/>
                  </w:tcBorders>
                  <w:vAlign w:val="center"/>
                </w:tcPr>
                <w:p w14:paraId="48EA567C">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1200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01523E9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1AA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34254E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0DE2983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D8FFEAF">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1,1,2-三氯乙烷</w:t>
                  </w:r>
                </w:p>
              </w:tc>
              <w:tc>
                <w:tcPr>
                  <w:tcW w:w="868" w:type="pct"/>
                  <w:tcBorders>
                    <w:top w:val="single" w:color="auto" w:sz="4" w:space="0"/>
                    <w:left w:val="single" w:color="auto" w:sz="4" w:space="0"/>
                    <w:bottom w:val="single" w:color="auto" w:sz="4" w:space="0"/>
                    <w:right w:val="single" w:color="auto" w:sz="4" w:space="0"/>
                  </w:tcBorders>
                  <w:vAlign w:val="center"/>
                </w:tcPr>
                <w:p w14:paraId="5843B4C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0.6</w:t>
                  </w:r>
                </w:p>
              </w:tc>
              <w:tc>
                <w:tcPr>
                  <w:tcW w:w="807" w:type="pct"/>
                  <w:tcBorders>
                    <w:top w:val="single" w:color="auto" w:sz="4" w:space="0"/>
                    <w:left w:val="single" w:color="auto" w:sz="4" w:space="0"/>
                    <w:bottom w:val="single" w:color="auto" w:sz="4" w:space="0"/>
                    <w:right w:val="single" w:color="auto" w:sz="4" w:space="0"/>
                  </w:tcBorders>
                  <w:vAlign w:val="center"/>
                </w:tcPr>
                <w:p w14:paraId="388D66F1">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F21920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3F8A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C2A376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1D9A1A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A293586">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四氯乙烯</w:t>
                  </w:r>
                </w:p>
              </w:tc>
              <w:tc>
                <w:tcPr>
                  <w:tcW w:w="868" w:type="pct"/>
                  <w:tcBorders>
                    <w:top w:val="single" w:color="auto" w:sz="4" w:space="0"/>
                    <w:left w:val="single" w:color="auto" w:sz="4" w:space="0"/>
                    <w:bottom w:val="single" w:color="auto" w:sz="4" w:space="0"/>
                    <w:right w:val="single" w:color="auto" w:sz="4" w:space="0"/>
                  </w:tcBorders>
                  <w:vAlign w:val="center"/>
                </w:tcPr>
                <w:p w14:paraId="77E231F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w:t>
                  </w:r>
                </w:p>
              </w:tc>
              <w:tc>
                <w:tcPr>
                  <w:tcW w:w="807" w:type="pct"/>
                  <w:tcBorders>
                    <w:top w:val="single" w:color="auto" w:sz="4" w:space="0"/>
                    <w:left w:val="single" w:color="auto" w:sz="4" w:space="0"/>
                    <w:bottom w:val="single" w:color="auto" w:sz="4" w:space="0"/>
                    <w:right w:val="single" w:color="auto" w:sz="4" w:space="0"/>
                  </w:tcBorders>
                  <w:vAlign w:val="center"/>
                </w:tcPr>
                <w:p w14:paraId="670B523A">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53</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4CC0396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80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2BF2CB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1CDFD6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6E27457A">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氯苯</w:t>
                  </w:r>
                </w:p>
              </w:tc>
              <w:tc>
                <w:tcPr>
                  <w:tcW w:w="868" w:type="pct"/>
                  <w:tcBorders>
                    <w:top w:val="single" w:color="auto" w:sz="4" w:space="0"/>
                    <w:left w:val="single" w:color="auto" w:sz="4" w:space="0"/>
                    <w:bottom w:val="single" w:color="auto" w:sz="4" w:space="0"/>
                    <w:right w:val="single" w:color="auto" w:sz="4" w:space="0"/>
                  </w:tcBorders>
                  <w:vAlign w:val="center"/>
                </w:tcPr>
                <w:p w14:paraId="500EF4FF">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68</w:t>
                  </w:r>
                </w:p>
              </w:tc>
              <w:tc>
                <w:tcPr>
                  <w:tcW w:w="807" w:type="pct"/>
                  <w:tcBorders>
                    <w:top w:val="single" w:color="auto" w:sz="4" w:space="0"/>
                    <w:left w:val="single" w:color="auto" w:sz="4" w:space="0"/>
                    <w:bottom w:val="single" w:color="auto" w:sz="4" w:space="0"/>
                    <w:right w:val="single" w:color="auto" w:sz="4" w:space="0"/>
                  </w:tcBorders>
                  <w:vAlign w:val="center"/>
                </w:tcPr>
                <w:p w14:paraId="3D9D414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270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11EEBD8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614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2D7368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808EF7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D801FEB">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1,1,1,2-四氯乙烷</w:t>
                  </w:r>
                </w:p>
              </w:tc>
              <w:tc>
                <w:tcPr>
                  <w:tcW w:w="868" w:type="pct"/>
                  <w:tcBorders>
                    <w:top w:val="single" w:color="auto" w:sz="4" w:space="0"/>
                    <w:left w:val="single" w:color="auto" w:sz="4" w:space="0"/>
                    <w:bottom w:val="single" w:color="auto" w:sz="4" w:space="0"/>
                    <w:right w:val="single" w:color="auto" w:sz="4" w:space="0"/>
                  </w:tcBorders>
                  <w:vAlign w:val="center"/>
                </w:tcPr>
                <w:p w14:paraId="32A5891F">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2.6</w:t>
                  </w:r>
                </w:p>
              </w:tc>
              <w:tc>
                <w:tcPr>
                  <w:tcW w:w="807" w:type="pct"/>
                  <w:tcBorders>
                    <w:top w:val="single" w:color="auto" w:sz="4" w:space="0"/>
                    <w:left w:val="single" w:color="auto" w:sz="4" w:space="0"/>
                    <w:bottom w:val="single" w:color="auto" w:sz="4" w:space="0"/>
                    <w:right w:val="single" w:color="auto" w:sz="4" w:space="0"/>
                  </w:tcBorders>
                  <w:vAlign w:val="center"/>
                </w:tcPr>
                <w:p w14:paraId="32368C31">
                  <w:pPr>
                    <w:pStyle w:val="45"/>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458FF47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BC4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4B539E6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52A5B8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67C78EF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乙苯</w:t>
                  </w:r>
                </w:p>
              </w:tc>
              <w:tc>
                <w:tcPr>
                  <w:tcW w:w="868" w:type="pct"/>
                  <w:tcBorders>
                    <w:top w:val="single" w:color="auto" w:sz="4" w:space="0"/>
                    <w:left w:val="single" w:color="auto" w:sz="4" w:space="0"/>
                    <w:bottom w:val="single" w:color="auto" w:sz="4" w:space="0"/>
                    <w:right w:val="single" w:color="auto" w:sz="4" w:space="0"/>
                  </w:tcBorders>
                  <w:vAlign w:val="center"/>
                </w:tcPr>
                <w:p w14:paraId="4D45FB79">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7.2</w:t>
                  </w:r>
                </w:p>
              </w:tc>
              <w:tc>
                <w:tcPr>
                  <w:tcW w:w="807" w:type="pct"/>
                  <w:tcBorders>
                    <w:top w:val="single" w:color="auto" w:sz="4" w:space="0"/>
                    <w:left w:val="single" w:color="auto" w:sz="4" w:space="0"/>
                    <w:bottom w:val="single" w:color="auto" w:sz="4" w:space="0"/>
                    <w:right w:val="single" w:color="auto" w:sz="4" w:space="0"/>
                  </w:tcBorders>
                  <w:vAlign w:val="center"/>
                </w:tcPr>
                <w:p w14:paraId="684A5C3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7ABB654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1063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0943100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0AB25FE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7FC6B169">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间,对-二甲苯</w:t>
                  </w:r>
                </w:p>
              </w:tc>
              <w:tc>
                <w:tcPr>
                  <w:tcW w:w="868" w:type="pct"/>
                  <w:tcBorders>
                    <w:top w:val="single" w:color="auto" w:sz="4" w:space="0"/>
                    <w:left w:val="single" w:color="auto" w:sz="4" w:space="0"/>
                    <w:bottom w:val="single" w:color="auto" w:sz="4" w:space="0"/>
                    <w:right w:val="single" w:color="auto" w:sz="4" w:space="0"/>
                  </w:tcBorders>
                  <w:vAlign w:val="center"/>
                </w:tcPr>
                <w:p w14:paraId="1C226C10">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163</w:t>
                  </w:r>
                </w:p>
              </w:tc>
              <w:tc>
                <w:tcPr>
                  <w:tcW w:w="807" w:type="pct"/>
                  <w:tcBorders>
                    <w:top w:val="single" w:color="auto" w:sz="4" w:space="0"/>
                    <w:left w:val="single" w:color="auto" w:sz="4" w:space="0"/>
                    <w:bottom w:val="single" w:color="auto" w:sz="4" w:space="0"/>
                    <w:right w:val="single" w:color="auto" w:sz="4" w:space="0"/>
                  </w:tcBorders>
                  <w:vAlign w:val="center"/>
                </w:tcPr>
                <w:p w14:paraId="07BDD1BD">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570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2170DB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E8E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78ECC3E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912F9F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67B3066">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邻-二甲苯</w:t>
                  </w:r>
                </w:p>
              </w:tc>
              <w:tc>
                <w:tcPr>
                  <w:tcW w:w="868" w:type="pct"/>
                  <w:tcBorders>
                    <w:top w:val="single" w:color="auto" w:sz="4" w:space="0"/>
                    <w:left w:val="single" w:color="auto" w:sz="4" w:space="0"/>
                    <w:bottom w:val="single" w:color="auto" w:sz="4" w:space="0"/>
                    <w:right w:val="single" w:color="auto" w:sz="4" w:space="0"/>
                  </w:tcBorders>
                  <w:vAlign w:val="center"/>
                </w:tcPr>
                <w:p w14:paraId="0B097A7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222</w:t>
                  </w:r>
                </w:p>
              </w:tc>
              <w:tc>
                <w:tcPr>
                  <w:tcW w:w="807" w:type="pct"/>
                  <w:tcBorders>
                    <w:top w:val="single" w:color="auto" w:sz="4" w:space="0"/>
                    <w:left w:val="single" w:color="auto" w:sz="4" w:space="0"/>
                    <w:bottom w:val="single" w:color="auto" w:sz="4" w:space="0"/>
                    <w:right w:val="single" w:color="auto" w:sz="4" w:space="0"/>
                  </w:tcBorders>
                  <w:vAlign w:val="center"/>
                </w:tcPr>
                <w:p w14:paraId="1294C36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640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12D600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F32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4A4CDF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73120E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3E02D86">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苯乙烯</w:t>
                  </w:r>
                </w:p>
              </w:tc>
              <w:tc>
                <w:tcPr>
                  <w:tcW w:w="868" w:type="pct"/>
                  <w:tcBorders>
                    <w:top w:val="single" w:color="auto" w:sz="4" w:space="0"/>
                    <w:left w:val="single" w:color="auto" w:sz="4" w:space="0"/>
                    <w:bottom w:val="single" w:color="auto" w:sz="4" w:space="0"/>
                    <w:right w:val="single" w:color="auto" w:sz="4" w:space="0"/>
                  </w:tcBorders>
                  <w:vAlign w:val="center"/>
                </w:tcPr>
                <w:p w14:paraId="4BDD3A48">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1290</w:t>
                  </w:r>
                </w:p>
              </w:tc>
              <w:tc>
                <w:tcPr>
                  <w:tcW w:w="807" w:type="pct"/>
                  <w:tcBorders>
                    <w:top w:val="single" w:color="auto" w:sz="4" w:space="0"/>
                    <w:left w:val="single" w:color="auto" w:sz="4" w:space="0"/>
                    <w:bottom w:val="single" w:color="auto" w:sz="4" w:space="0"/>
                    <w:right w:val="single" w:color="auto" w:sz="4" w:space="0"/>
                  </w:tcBorders>
                  <w:vAlign w:val="center"/>
                </w:tcPr>
                <w:p w14:paraId="28A086A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1290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843B03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1A1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61A7A8A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FDDFE5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7B969315">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1,1,2,2-四氯乙烷</w:t>
                  </w:r>
                </w:p>
              </w:tc>
              <w:tc>
                <w:tcPr>
                  <w:tcW w:w="868" w:type="pct"/>
                  <w:tcBorders>
                    <w:top w:val="single" w:color="auto" w:sz="4" w:space="0"/>
                    <w:left w:val="single" w:color="auto" w:sz="4" w:space="0"/>
                    <w:bottom w:val="single" w:color="auto" w:sz="4" w:space="0"/>
                    <w:right w:val="single" w:color="auto" w:sz="4" w:space="0"/>
                  </w:tcBorders>
                  <w:vAlign w:val="center"/>
                </w:tcPr>
                <w:p w14:paraId="546EA0BE">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1.6</w:t>
                  </w:r>
                </w:p>
              </w:tc>
              <w:tc>
                <w:tcPr>
                  <w:tcW w:w="807" w:type="pct"/>
                  <w:tcBorders>
                    <w:top w:val="single" w:color="auto" w:sz="4" w:space="0"/>
                    <w:left w:val="single" w:color="auto" w:sz="4" w:space="0"/>
                    <w:bottom w:val="single" w:color="auto" w:sz="4" w:space="0"/>
                    <w:right w:val="single" w:color="auto" w:sz="4" w:space="0"/>
                  </w:tcBorders>
                  <w:vAlign w:val="center"/>
                </w:tcPr>
                <w:p w14:paraId="0DFC8DBB">
                  <w:pPr>
                    <w:pStyle w:val="45"/>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6.8</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19DCC3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5CB1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5824190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C503E1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17180130">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1,2,3-三氯丙烷</w:t>
                  </w:r>
                </w:p>
              </w:tc>
              <w:tc>
                <w:tcPr>
                  <w:tcW w:w="868" w:type="pct"/>
                  <w:tcBorders>
                    <w:top w:val="single" w:color="auto" w:sz="4" w:space="0"/>
                    <w:left w:val="single" w:color="auto" w:sz="4" w:space="0"/>
                    <w:bottom w:val="single" w:color="auto" w:sz="4" w:space="0"/>
                    <w:right w:val="single" w:color="auto" w:sz="4" w:space="0"/>
                  </w:tcBorders>
                  <w:vAlign w:val="center"/>
                </w:tcPr>
                <w:p w14:paraId="59DECBF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0.05</w:t>
                  </w:r>
                </w:p>
              </w:tc>
              <w:tc>
                <w:tcPr>
                  <w:tcW w:w="807" w:type="pct"/>
                  <w:tcBorders>
                    <w:top w:val="single" w:color="auto" w:sz="4" w:space="0"/>
                    <w:left w:val="single" w:color="auto" w:sz="4" w:space="0"/>
                    <w:bottom w:val="single" w:color="auto" w:sz="4" w:space="0"/>
                    <w:right w:val="single" w:color="auto" w:sz="4" w:space="0"/>
                  </w:tcBorders>
                  <w:vAlign w:val="center"/>
                </w:tcPr>
                <w:p w14:paraId="5541D5E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0.5</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046C33B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0EB0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63374E3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E70BDF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41C9248B">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1,4-二氯苯</w:t>
                  </w:r>
                </w:p>
              </w:tc>
              <w:tc>
                <w:tcPr>
                  <w:tcW w:w="868" w:type="pct"/>
                  <w:tcBorders>
                    <w:top w:val="single" w:color="auto" w:sz="4" w:space="0"/>
                    <w:left w:val="single" w:color="auto" w:sz="4" w:space="0"/>
                    <w:bottom w:val="single" w:color="auto" w:sz="4" w:space="0"/>
                    <w:right w:val="single" w:color="auto" w:sz="4" w:space="0"/>
                  </w:tcBorders>
                  <w:vAlign w:val="center"/>
                </w:tcPr>
                <w:p w14:paraId="08ED945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5.6</w:t>
                  </w:r>
                </w:p>
              </w:tc>
              <w:tc>
                <w:tcPr>
                  <w:tcW w:w="807" w:type="pct"/>
                  <w:tcBorders>
                    <w:top w:val="single" w:color="auto" w:sz="4" w:space="0"/>
                    <w:left w:val="single" w:color="auto" w:sz="4" w:space="0"/>
                    <w:bottom w:val="single" w:color="auto" w:sz="4" w:space="0"/>
                    <w:right w:val="single" w:color="auto" w:sz="4" w:space="0"/>
                  </w:tcBorders>
                  <w:vAlign w:val="center"/>
                </w:tcPr>
                <w:p w14:paraId="466C28A4">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20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0436A27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309A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2CA42E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4A909B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722FDAD0">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1,2-二氯苯</w:t>
                  </w:r>
                </w:p>
              </w:tc>
              <w:tc>
                <w:tcPr>
                  <w:tcW w:w="868" w:type="pct"/>
                  <w:tcBorders>
                    <w:top w:val="single" w:color="auto" w:sz="4" w:space="0"/>
                    <w:left w:val="single" w:color="auto" w:sz="4" w:space="0"/>
                    <w:bottom w:val="single" w:color="auto" w:sz="4" w:space="0"/>
                    <w:right w:val="single" w:color="auto" w:sz="4" w:space="0"/>
                  </w:tcBorders>
                  <w:vAlign w:val="center"/>
                </w:tcPr>
                <w:p w14:paraId="0643AC77">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560</w:t>
                  </w:r>
                </w:p>
              </w:tc>
              <w:tc>
                <w:tcPr>
                  <w:tcW w:w="807" w:type="pct"/>
                  <w:tcBorders>
                    <w:top w:val="single" w:color="auto" w:sz="4" w:space="0"/>
                    <w:left w:val="single" w:color="auto" w:sz="4" w:space="0"/>
                    <w:bottom w:val="single" w:color="auto" w:sz="4" w:space="0"/>
                    <w:right w:val="single" w:color="auto" w:sz="4" w:space="0"/>
                  </w:tcBorders>
                  <w:vAlign w:val="center"/>
                </w:tcPr>
                <w:p w14:paraId="3BBBCBE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560</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0516D24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661C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264F13E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4ADBE86F">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6724C81F">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氯甲烷</w:t>
                  </w:r>
                </w:p>
              </w:tc>
              <w:tc>
                <w:tcPr>
                  <w:tcW w:w="868" w:type="pct"/>
                  <w:tcBorders>
                    <w:top w:val="single" w:color="auto" w:sz="4" w:space="0"/>
                    <w:left w:val="single" w:color="auto" w:sz="4" w:space="0"/>
                    <w:bottom w:val="single" w:color="auto" w:sz="4" w:space="0"/>
                    <w:right w:val="single" w:color="auto" w:sz="4" w:space="0"/>
                  </w:tcBorders>
                  <w:vAlign w:val="center"/>
                </w:tcPr>
                <w:p w14:paraId="44EC923B">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w:t>
                  </w:r>
                </w:p>
              </w:tc>
              <w:tc>
                <w:tcPr>
                  <w:tcW w:w="807" w:type="pct"/>
                  <w:tcBorders>
                    <w:top w:val="single" w:color="auto" w:sz="4" w:space="0"/>
                    <w:left w:val="single" w:color="auto" w:sz="4" w:space="0"/>
                    <w:bottom w:val="single" w:color="auto" w:sz="4" w:space="0"/>
                    <w:right w:val="single" w:color="auto" w:sz="4" w:space="0"/>
                  </w:tcBorders>
                  <w:vAlign w:val="center"/>
                </w:tcPr>
                <w:p w14:paraId="7980518E">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37</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2036BB3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2F21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36E0D20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5968F3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5F0E3342">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氯乙烯</w:t>
                  </w:r>
                </w:p>
              </w:tc>
              <w:tc>
                <w:tcPr>
                  <w:tcW w:w="868" w:type="pct"/>
                  <w:tcBorders>
                    <w:top w:val="single" w:color="auto" w:sz="4" w:space="0"/>
                    <w:left w:val="single" w:color="auto" w:sz="4" w:space="0"/>
                    <w:bottom w:val="single" w:color="auto" w:sz="4" w:space="0"/>
                    <w:right w:val="single" w:color="auto" w:sz="4" w:space="0"/>
                  </w:tcBorders>
                  <w:vAlign w:val="center"/>
                </w:tcPr>
                <w:p w14:paraId="0F239AC3">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0.12</w:t>
                  </w:r>
                </w:p>
              </w:tc>
              <w:tc>
                <w:tcPr>
                  <w:tcW w:w="807" w:type="pct"/>
                  <w:tcBorders>
                    <w:top w:val="single" w:color="auto" w:sz="4" w:space="0"/>
                    <w:left w:val="single" w:color="auto" w:sz="4" w:space="0"/>
                    <w:bottom w:val="single" w:color="auto" w:sz="4" w:space="0"/>
                    <w:right w:val="single" w:color="auto" w:sz="4" w:space="0"/>
                  </w:tcBorders>
                  <w:vAlign w:val="center"/>
                </w:tcPr>
                <w:p w14:paraId="08379422">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0.43</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51799DC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r w14:paraId="21C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52" w:type="pct"/>
                  <w:vMerge w:val="continue"/>
                  <w:tcBorders>
                    <w:top w:val="single" w:color="auto" w:sz="4" w:space="0"/>
                    <w:left w:val="single" w:color="auto" w:sz="4" w:space="0"/>
                    <w:bottom w:val="single" w:color="auto" w:sz="4" w:space="0"/>
                    <w:right w:val="single" w:color="auto" w:sz="4" w:space="0"/>
                  </w:tcBorders>
                  <w:vAlign w:val="center"/>
                </w:tcPr>
                <w:p w14:paraId="113BC7B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7CDFA62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c>
                <w:tcPr>
                  <w:tcW w:w="1168" w:type="pct"/>
                  <w:tcBorders>
                    <w:top w:val="single" w:color="auto" w:sz="4" w:space="0"/>
                    <w:left w:val="single" w:color="auto" w:sz="4" w:space="0"/>
                    <w:bottom w:val="single" w:color="auto" w:sz="4" w:space="0"/>
                    <w:right w:val="single" w:color="auto" w:sz="4" w:space="0"/>
                  </w:tcBorders>
                  <w:vAlign w:val="center"/>
                </w:tcPr>
                <w:p w14:paraId="2D06AC47">
                  <w:pPr>
                    <w:pStyle w:val="45"/>
                    <w:keepNext w:val="0"/>
                    <w:keepLines w:val="0"/>
                    <w:pageBreakBefore w:val="0"/>
                    <w:shd w:val="clear" w:color="auto" w:fill="auto"/>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1,1-二氯乙烯</w:t>
                  </w:r>
                </w:p>
              </w:tc>
              <w:tc>
                <w:tcPr>
                  <w:tcW w:w="868" w:type="pct"/>
                  <w:tcBorders>
                    <w:top w:val="single" w:color="auto" w:sz="4" w:space="0"/>
                    <w:left w:val="single" w:color="auto" w:sz="4" w:space="0"/>
                    <w:bottom w:val="single" w:color="auto" w:sz="4" w:space="0"/>
                    <w:right w:val="single" w:color="auto" w:sz="4" w:space="0"/>
                  </w:tcBorders>
                  <w:vAlign w:val="center"/>
                </w:tcPr>
                <w:p w14:paraId="1F6F1845">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12</w:t>
                  </w:r>
                </w:p>
              </w:tc>
              <w:tc>
                <w:tcPr>
                  <w:tcW w:w="807" w:type="pct"/>
                  <w:tcBorders>
                    <w:top w:val="single" w:color="auto" w:sz="4" w:space="0"/>
                    <w:left w:val="single" w:color="auto" w:sz="4" w:space="0"/>
                    <w:bottom w:val="single" w:color="auto" w:sz="4" w:space="0"/>
                    <w:right w:val="single" w:color="auto" w:sz="4" w:space="0"/>
                  </w:tcBorders>
                  <w:vAlign w:val="center"/>
                </w:tcPr>
                <w:p w14:paraId="2E4E08E6">
                  <w:pPr>
                    <w:keepNext w:val="0"/>
                    <w:keepLines w:val="0"/>
                    <w:pageBreakBefore w:val="0"/>
                    <w:kinsoku/>
                    <w:wordWrap/>
                    <w:overflowPunct/>
                    <w:topLinePunct w:val="0"/>
                    <w:autoSpaceDE/>
                    <w:autoSpaceDN/>
                    <w:bidi w:val="0"/>
                    <w:adjustRightInd/>
                    <w:snapToGrid/>
                    <w:spacing w:line="480" w:lineRule="exact"/>
                    <w:ind w:firstLine="0" w:firstLineChars="0"/>
                    <w:jc w:val="center"/>
                    <w:textAlignment w:val="auto"/>
                    <w:rPr>
                      <w:rStyle w:val="46"/>
                      <w:rFonts w:ascii="Times New Roman" w:hAnsi="Times New Roman" w:eastAsia="宋体" w:cs="Times New Roman"/>
                      <w:bCs w:val="0"/>
                      <w:color w:val="auto"/>
                      <w:sz w:val="22"/>
                      <w:szCs w:val="22"/>
                      <w:highlight w:val="none"/>
                    </w:rPr>
                  </w:pPr>
                  <w:r>
                    <w:rPr>
                      <w:rStyle w:val="46"/>
                      <w:rFonts w:ascii="Times New Roman" w:hAnsi="Times New Roman" w:eastAsia="宋体" w:cs="Times New Roman"/>
                      <w:bCs w:val="0"/>
                      <w:color w:val="auto"/>
                      <w:sz w:val="22"/>
                      <w:szCs w:val="22"/>
                      <w:highlight w:val="none"/>
                    </w:rPr>
                    <w:t>66</w:t>
                  </w:r>
                </w:p>
              </w:tc>
              <w:tc>
                <w:tcPr>
                  <w:tcW w:w="1184" w:type="pct"/>
                  <w:vMerge w:val="continue"/>
                  <w:tcBorders>
                    <w:top w:val="single" w:color="auto" w:sz="4" w:space="0"/>
                    <w:left w:val="single" w:color="auto" w:sz="4" w:space="0"/>
                    <w:bottom w:val="single" w:color="auto" w:sz="4" w:space="0"/>
                    <w:right w:val="single" w:color="auto" w:sz="4" w:space="0"/>
                  </w:tcBorders>
                  <w:vAlign w:val="center"/>
                </w:tcPr>
                <w:p w14:paraId="606CB95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宋体" w:cs="Times New Roman"/>
                      <w:bCs w:val="0"/>
                      <w:color w:val="auto"/>
                      <w:spacing w:val="-6"/>
                      <w:sz w:val="22"/>
                      <w:szCs w:val="22"/>
                      <w:highlight w:val="none"/>
                    </w:rPr>
                  </w:pPr>
                </w:p>
              </w:tc>
            </w:tr>
          </w:tbl>
          <w:p w14:paraId="670111E0">
            <w:pPr>
              <w:pStyle w:val="17"/>
              <w:rPr>
                <w:color w:val="auto"/>
                <w:highlight w:val="none"/>
              </w:rPr>
            </w:pPr>
          </w:p>
          <w:p w14:paraId="2025626D">
            <w:pPr>
              <w:spacing w:line="360" w:lineRule="auto"/>
              <w:ind w:right="130" w:rightChars="50" w:firstLine="480"/>
              <w:rPr>
                <w:rFonts w:ascii="Times New Roman" w:hAnsi="Times New Roman"/>
                <w:color w:val="auto"/>
                <w:sz w:val="24"/>
                <w:highlight w:val="none"/>
              </w:rPr>
            </w:pPr>
          </w:p>
        </w:tc>
      </w:tr>
      <w:tr w14:paraId="4FDB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359" w:type="pct"/>
            <w:noWrap w:val="0"/>
            <w:vAlign w:val="center"/>
          </w:tcPr>
          <w:p w14:paraId="615731EF">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污</w:t>
            </w:r>
          </w:p>
          <w:p w14:paraId="41C2ACE0">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染</w:t>
            </w:r>
          </w:p>
          <w:p w14:paraId="5C04421B">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排</w:t>
            </w:r>
          </w:p>
          <w:p w14:paraId="5513F97D">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放</w:t>
            </w:r>
          </w:p>
          <w:p w14:paraId="6BF5A0C1">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标</w:t>
            </w:r>
          </w:p>
          <w:p w14:paraId="25A6B568">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准</w:t>
            </w:r>
          </w:p>
        </w:tc>
        <w:tc>
          <w:tcPr>
            <w:tcW w:w="4640" w:type="pct"/>
            <w:noWrap w:val="0"/>
            <w:vAlign w:val="top"/>
          </w:tcPr>
          <w:p w14:paraId="1B6B1DB8">
            <w:pPr>
              <w:adjustRightInd w:val="0"/>
              <w:snapToGrid w:val="0"/>
              <w:spacing w:line="360" w:lineRule="auto"/>
              <w:ind w:firstLine="522"/>
              <w:rPr>
                <w:rFonts w:ascii="Times New Roman" w:hAnsi="Times New Roman"/>
                <w:b/>
                <w:color w:val="auto"/>
                <w:highlight w:val="none"/>
              </w:rPr>
            </w:pPr>
            <w:bookmarkStart w:id="40" w:name="_Toc17678"/>
            <w:r>
              <w:rPr>
                <w:rFonts w:ascii="Times New Roman" w:hAnsi="Times New Roman"/>
                <w:b/>
                <w:color w:val="auto"/>
                <w:highlight w:val="none"/>
              </w:rPr>
              <w:t>1、大气污染物排放标准</w:t>
            </w:r>
          </w:p>
          <w:p w14:paraId="36498F64">
            <w:pPr>
              <w:autoSpaceDE w:val="0"/>
              <w:autoSpaceDN w:val="0"/>
              <w:adjustRightInd w:val="0"/>
              <w:spacing w:line="480" w:lineRule="exact"/>
              <w:ind w:firstLine="520" w:firstLineChars="200"/>
              <w:rPr>
                <w:rFonts w:ascii="宋体" w:hAnsi="宋体" w:eastAsia="宋体" w:cs="宋体"/>
                <w:color w:val="auto"/>
                <w:kern w:val="0"/>
                <w:sz w:val="26"/>
                <w:szCs w:val="26"/>
                <w:highlight w:val="none"/>
              </w:rPr>
            </w:pPr>
            <w:r>
              <w:rPr>
                <w:rFonts w:hint="eastAsia" w:ascii="宋体" w:hAnsi="宋体" w:eastAsia="宋体" w:cs="宋体"/>
                <w:color w:val="auto"/>
                <w:kern w:val="0"/>
                <w:sz w:val="26"/>
                <w:szCs w:val="26"/>
                <w:highlight w:val="none"/>
              </w:rPr>
              <w:t>本项目施工期及运营期</w:t>
            </w:r>
            <w:r>
              <w:rPr>
                <w:rFonts w:hint="eastAsia" w:ascii="宋体" w:hAnsi="宋体" w:cs="宋体"/>
                <w:color w:val="auto"/>
                <w:kern w:val="0"/>
                <w:sz w:val="26"/>
                <w:szCs w:val="26"/>
                <w:highlight w:val="none"/>
                <w:lang w:val="en-US" w:eastAsia="zh-CN"/>
              </w:rPr>
              <w:t>主要</w:t>
            </w:r>
            <w:r>
              <w:rPr>
                <w:rFonts w:hint="eastAsia" w:ascii="宋体" w:hAnsi="宋体" w:eastAsia="宋体" w:cs="宋体"/>
                <w:color w:val="auto"/>
                <w:kern w:val="0"/>
                <w:sz w:val="26"/>
                <w:szCs w:val="26"/>
                <w:highlight w:val="none"/>
              </w:rPr>
              <w:t>产生无组织粉尘（颗粒物），执行</w:t>
            </w:r>
            <w:r>
              <w:rPr>
                <w:rFonts w:ascii="Times New Roman" w:hAnsi="Times New Roman" w:eastAsia="宋体" w:cs="Times New Roman"/>
                <w:color w:val="auto"/>
                <w:kern w:val="0"/>
                <w:sz w:val="26"/>
                <w:szCs w:val="26"/>
                <w:highlight w:val="none"/>
              </w:rPr>
              <w:t>GB16297-1996</w:t>
            </w:r>
            <w:r>
              <w:rPr>
                <w:rFonts w:hint="eastAsia" w:ascii="宋体" w:hAnsi="宋体" w:eastAsia="宋体" w:cs="宋体"/>
                <w:color w:val="auto"/>
                <w:kern w:val="0"/>
                <w:sz w:val="26"/>
                <w:szCs w:val="26"/>
                <w:highlight w:val="none"/>
              </w:rPr>
              <w:t>《大气污染物综合排放标准》无组织排放监控浓度限值，</w:t>
            </w:r>
            <w:r>
              <w:rPr>
                <w:rFonts w:hint="eastAsia" w:ascii="宋体" w:hAnsi="宋体" w:cs="宋体"/>
                <w:color w:val="auto"/>
                <w:kern w:val="0"/>
                <w:sz w:val="26"/>
                <w:szCs w:val="26"/>
                <w:highlight w:val="none"/>
                <w:lang w:val="en-US" w:eastAsia="zh-CN"/>
              </w:rPr>
              <w:t>有组织粉尘执行</w:t>
            </w:r>
            <w:r>
              <w:rPr>
                <w:rFonts w:ascii="Times New Roman" w:hAnsi="Times New Roman" w:eastAsia="宋体" w:cs="Times New Roman"/>
                <w:color w:val="auto"/>
                <w:kern w:val="0"/>
                <w:sz w:val="26"/>
                <w:szCs w:val="26"/>
                <w:highlight w:val="none"/>
              </w:rPr>
              <w:t>GB16297-1996</w:t>
            </w:r>
            <w:r>
              <w:rPr>
                <w:rFonts w:hint="eastAsia" w:ascii="宋体" w:hAnsi="宋体" w:eastAsia="宋体" w:cs="宋体"/>
                <w:color w:val="auto"/>
                <w:kern w:val="0"/>
                <w:sz w:val="26"/>
                <w:szCs w:val="26"/>
                <w:highlight w:val="none"/>
              </w:rPr>
              <w:t>《大气污染物综合排放标准》</w:t>
            </w:r>
            <w:r>
              <w:rPr>
                <w:rFonts w:hint="eastAsia" w:ascii="宋体" w:hAnsi="宋体" w:eastAsia="宋体" w:cs="宋体"/>
                <w:color w:val="auto"/>
                <w:kern w:val="0"/>
                <w:sz w:val="26"/>
                <w:szCs w:val="26"/>
                <w:highlight w:val="none"/>
                <w:lang w:val="en-US" w:eastAsia="zh-CN"/>
              </w:rPr>
              <w:t>二级要求，</w:t>
            </w:r>
            <w:r>
              <w:rPr>
                <w:rFonts w:hint="eastAsia" w:ascii="宋体" w:hAnsi="宋体" w:eastAsia="宋体" w:cs="宋体"/>
                <w:color w:val="auto"/>
                <w:kern w:val="0"/>
                <w:sz w:val="26"/>
                <w:szCs w:val="26"/>
                <w:highlight w:val="none"/>
              </w:rPr>
              <w:t>标准值见表</w:t>
            </w:r>
            <w:r>
              <w:rPr>
                <w:rFonts w:hint="eastAsia" w:ascii="Times New Roman" w:hAnsi="Times New Roman" w:eastAsia="宋体" w:cs="Times New Roman"/>
                <w:color w:val="auto"/>
                <w:kern w:val="0"/>
                <w:sz w:val="26"/>
                <w:szCs w:val="26"/>
                <w:highlight w:val="none"/>
              </w:rPr>
              <w:t>4-5</w:t>
            </w:r>
            <w:r>
              <w:rPr>
                <w:rFonts w:hint="eastAsia" w:ascii="宋体" w:hAnsi="宋体" w:eastAsia="宋体" w:cs="宋体"/>
                <w:color w:val="auto"/>
                <w:kern w:val="0"/>
                <w:sz w:val="26"/>
                <w:szCs w:val="26"/>
                <w:highlight w:val="none"/>
              </w:rPr>
              <w:t>。</w:t>
            </w:r>
          </w:p>
          <w:p w14:paraId="7E068CEA">
            <w:pPr>
              <w:spacing w:line="320" w:lineRule="exact"/>
              <w:ind w:firstLine="442"/>
              <w:jc w:val="center"/>
              <w:rPr>
                <w:rFonts w:ascii="Times New Roman" w:hAnsi="Times New Roman" w:eastAsia="宋体" w:cs="Times New Roman"/>
                <w:b/>
                <w:bCs/>
                <w:color w:val="auto"/>
                <w:kern w:val="28"/>
                <w:sz w:val="21"/>
                <w:szCs w:val="21"/>
                <w:highlight w:val="none"/>
              </w:rPr>
            </w:pPr>
            <w:r>
              <w:rPr>
                <w:rFonts w:hint="eastAsia" w:ascii="Times New Roman" w:hAnsi="Times New Roman" w:eastAsia="宋体" w:cs="Times New Roman"/>
                <w:b/>
                <w:bCs/>
                <w:color w:val="auto"/>
                <w:kern w:val="28"/>
                <w:sz w:val="21"/>
                <w:szCs w:val="21"/>
                <w:highlight w:val="none"/>
              </w:rPr>
              <w:t>表4-5  大气污染物排放限值   单位：mg/m</w:t>
            </w:r>
            <w:r>
              <w:rPr>
                <w:rFonts w:hint="eastAsia" w:ascii="Times New Roman" w:hAnsi="Times New Roman" w:eastAsia="宋体" w:cs="Times New Roman"/>
                <w:b/>
                <w:bCs/>
                <w:color w:val="auto"/>
                <w:kern w:val="28"/>
                <w:sz w:val="21"/>
                <w:szCs w:val="21"/>
                <w:highlight w:val="none"/>
                <w:vertAlign w:val="superscript"/>
              </w:rPr>
              <w:t>3</w:t>
            </w:r>
          </w:p>
          <w:tbl>
            <w:tblPr>
              <w:tblStyle w:val="22"/>
              <w:tblW w:w="7795"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907"/>
              <w:gridCol w:w="1241"/>
              <w:gridCol w:w="654"/>
              <w:gridCol w:w="1255"/>
              <w:gridCol w:w="3738"/>
            </w:tblGrid>
            <w:tr w14:paraId="2917E39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jc w:val="center"/>
              </w:trPr>
              <w:tc>
                <w:tcPr>
                  <w:tcW w:w="907" w:type="dxa"/>
                  <w:vAlign w:val="center"/>
                </w:tcPr>
                <w:p w14:paraId="626E9A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ascii="Times New Roman" w:hAnsi="Times New Roman" w:eastAsia="宋体" w:cs="Times New Roman"/>
                      <w:color w:val="auto"/>
                      <w:kern w:val="28"/>
                      <w:sz w:val="22"/>
                      <w:szCs w:val="22"/>
                      <w:highlight w:val="none"/>
                    </w:rPr>
                    <w:t>序号</w:t>
                  </w:r>
                </w:p>
              </w:tc>
              <w:tc>
                <w:tcPr>
                  <w:tcW w:w="1895" w:type="dxa"/>
                  <w:gridSpan w:val="2"/>
                  <w:vAlign w:val="center"/>
                </w:tcPr>
                <w:p w14:paraId="2DFB36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ascii="Times New Roman" w:hAnsi="Times New Roman" w:eastAsia="宋体" w:cs="Times New Roman"/>
                      <w:color w:val="auto"/>
                      <w:kern w:val="28"/>
                      <w:sz w:val="22"/>
                      <w:szCs w:val="22"/>
                      <w:highlight w:val="none"/>
                    </w:rPr>
                    <w:t>污染物因子</w:t>
                  </w:r>
                </w:p>
              </w:tc>
              <w:tc>
                <w:tcPr>
                  <w:tcW w:w="1255" w:type="dxa"/>
                  <w:vAlign w:val="center"/>
                </w:tcPr>
                <w:p w14:paraId="05013D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cs="Times New Roman"/>
                      <w:color w:val="auto"/>
                      <w:kern w:val="28"/>
                      <w:sz w:val="22"/>
                      <w:szCs w:val="22"/>
                      <w:highlight w:val="none"/>
                      <w:lang w:val="en-US" w:eastAsia="zh-CN"/>
                    </w:rPr>
                    <w:t>标准</w:t>
                  </w:r>
                </w:p>
              </w:tc>
              <w:tc>
                <w:tcPr>
                  <w:tcW w:w="3738" w:type="dxa"/>
                  <w:vAlign w:val="center"/>
                </w:tcPr>
                <w:p w14:paraId="120E27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kern w:val="28"/>
                      <w:sz w:val="22"/>
                      <w:szCs w:val="22"/>
                      <w:highlight w:val="none"/>
                      <w:lang w:val="en-US" w:eastAsia="zh-CN"/>
                    </w:rPr>
                  </w:pPr>
                  <w:r>
                    <w:rPr>
                      <w:rFonts w:hint="eastAsia" w:cs="Times New Roman"/>
                      <w:color w:val="auto"/>
                      <w:kern w:val="28"/>
                      <w:sz w:val="22"/>
                      <w:szCs w:val="22"/>
                      <w:highlight w:val="none"/>
                      <w:lang w:val="en-US" w:eastAsia="zh-CN"/>
                    </w:rPr>
                    <w:t>备注</w:t>
                  </w:r>
                </w:p>
              </w:tc>
            </w:tr>
            <w:tr w14:paraId="197CB5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jc w:val="center"/>
              </w:trPr>
              <w:tc>
                <w:tcPr>
                  <w:tcW w:w="907" w:type="dxa"/>
                  <w:vAlign w:val="center"/>
                </w:tcPr>
                <w:p w14:paraId="2440CF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ascii="Times New Roman" w:hAnsi="Times New Roman" w:eastAsia="宋体" w:cs="Times New Roman"/>
                      <w:color w:val="auto"/>
                      <w:kern w:val="28"/>
                      <w:sz w:val="22"/>
                      <w:szCs w:val="22"/>
                      <w:highlight w:val="none"/>
                    </w:rPr>
                    <w:t>1</w:t>
                  </w:r>
                </w:p>
              </w:tc>
              <w:tc>
                <w:tcPr>
                  <w:tcW w:w="1241" w:type="dxa"/>
                  <w:vAlign w:val="center"/>
                </w:tcPr>
                <w:p w14:paraId="380552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cs="Times New Roman"/>
                      <w:color w:val="auto"/>
                      <w:kern w:val="28"/>
                      <w:sz w:val="22"/>
                      <w:szCs w:val="22"/>
                      <w:highlight w:val="none"/>
                      <w:lang w:val="en-US" w:eastAsia="zh-CN"/>
                    </w:rPr>
                    <w:t>厂</w:t>
                  </w:r>
                  <w:r>
                    <w:rPr>
                      <w:rFonts w:hint="eastAsia" w:ascii="Times New Roman" w:hAnsi="Times New Roman" w:eastAsia="宋体" w:cs="Times New Roman"/>
                      <w:color w:val="auto"/>
                      <w:kern w:val="28"/>
                      <w:sz w:val="22"/>
                      <w:szCs w:val="22"/>
                      <w:highlight w:val="none"/>
                    </w:rPr>
                    <w:t>界外</w:t>
                  </w:r>
                </w:p>
              </w:tc>
              <w:tc>
                <w:tcPr>
                  <w:tcW w:w="654" w:type="dxa"/>
                  <w:vAlign w:val="center"/>
                </w:tcPr>
                <w:p w14:paraId="45DB23A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hint="eastAsia" w:ascii="Times New Roman" w:hAnsi="Times New Roman" w:eastAsia="宋体" w:cs="Times New Roman"/>
                      <w:color w:val="auto"/>
                      <w:kern w:val="28"/>
                      <w:sz w:val="22"/>
                      <w:szCs w:val="22"/>
                      <w:highlight w:val="none"/>
                    </w:rPr>
                    <w:t>TSP</w:t>
                  </w:r>
                </w:p>
              </w:tc>
              <w:tc>
                <w:tcPr>
                  <w:tcW w:w="1255" w:type="dxa"/>
                  <w:vAlign w:val="center"/>
                </w:tcPr>
                <w:p w14:paraId="793A6D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kern w:val="28"/>
                      <w:sz w:val="22"/>
                      <w:szCs w:val="22"/>
                      <w:highlight w:val="none"/>
                    </w:rPr>
                  </w:pPr>
                  <w:r>
                    <w:rPr>
                      <w:rFonts w:ascii="Times New Roman" w:hAnsi="Times New Roman" w:eastAsia="宋体" w:cs="Times New Roman"/>
                      <w:color w:val="auto"/>
                      <w:kern w:val="28"/>
                      <w:sz w:val="22"/>
                      <w:szCs w:val="22"/>
                      <w:highlight w:val="none"/>
                    </w:rPr>
                    <w:t>≤</w:t>
                  </w:r>
                  <w:r>
                    <w:rPr>
                      <w:rFonts w:hint="eastAsia" w:ascii="Times New Roman" w:hAnsi="Times New Roman" w:eastAsia="宋体" w:cs="Times New Roman"/>
                      <w:color w:val="auto"/>
                      <w:kern w:val="28"/>
                      <w:sz w:val="22"/>
                      <w:szCs w:val="22"/>
                      <w:highlight w:val="none"/>
                    </w:rPr>
                    <w:t>1.0mg/m</w:t>
                  </w:r>
                  <w:r>
                    <w:rPr>
                      <w:rFonts w:hint="eastAsia" w:ascii="Times New Roman" w:hAnsi="Times New Roman" w:eastAsia="宋体" w:cs="Times New Roman"/>
                      <w:color w:val="auto"/>
                      <w:kern w:val="28"/>
                      <w:sz w:val="22"/>
                      <w:szCs w:val="22"/>
                      <w:highlight w:val="none"/>
                      <w:vertAlign w:val="superscript"/>
                    </w:rPr>
                    <w:t>3</w:t>
                  </w:r>
                </w:p>
              </w:tc>
              <w:tc>
                <w:tcPr>
                  <w:tcW w:w="3738" w:type="dxa"/>
                  <w:vAlign w:val="center"/>
                </w:tcPr>
                <w:p w14:paraId="636B75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kern w:val="28"/>
                      <w:sz w:val="22"/>
                      <w:szCs w:val="22"/>
                      <w:highlight w:val="none"/>
                      <w:lang w:val="en-US" w:eastAsia="zh-CN"/>
                    </w:rPr>
                  </w:pPr>
                  <w:r>
                    <w:rPr>
                      <w:rFonts w:hint="eastAsia" w:ascii="Times New Roman" w:hAnsi="Times New Roman" w:eastAsia="宋体" w:cs="Times New Roman"/>
                      <w:color w:val="auto"/>
                      <w:kern w:val="28"/>
                      <w:sz w:val="22"/>
                      <w:szCs w:val="22"/>
                      <w:highlight w:val="none"/>
                    </w:rPr>
                    <w:t>无组织排放监控浓度限</w:t>
                  </w:r>
                  <w:r>
                    <w:rPr>
                      <w:rFonts w:hint="eastAsia" w:ascii="Times New Roman" w:hAnsi="Times New Roman" w:eastAsia="宋体" w:cs="Times New Roman"/>
                      <w:color w:val="auto"/>
                      <w:kern w:val="28"/>
                      <w:sz w:val="22"/>
                      <w:szCs w:val="22"/>
                      <w:highlight w:val="none"/>
                      <w:lang w:val="en-US" w:eastAsia="zh-CN"/>
                    </w:rPr>
                    <w:t>值</w:t>
                  </w:r>
                </w:p>
              </w:tc>
            </w:tr>
            <w:tr w14:paraId="630E694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jc w:val="center"/>
              </w:trPr>
              <w:tc>
                <w:tcPr>
                  <w:tcW w:w="907" w:type="dxa"/>
                  <w:vAlign w:val="center"/>
                </w:tcPr>
                <w:p w14:paraId="320443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28"/>
                      <w:sz w:val="22"/>
                      <w:szCs w:val="22"/>
                      <w:highlight w:val="none"/>
                      <w:lang w:val="en-US" w:eastAsia="zh-CN"/>
                    </w:rPr>
                  </w:pPr>
                  <w:r>
                    <w:rPr>
                      <w:rFonts w:hint="eastAsia" w:cs="Times New Roman"/>
                      <w:color w:val="auto"/>
                      <w:kern w:val="28"/>
                      <w:sz w:val="22"/>
                      <w:szCs w:val="22"/>
                      <w:highlight w:val="none"/>
                      <w:lang w:val="en-US" w:eastAsia="zh-CN"/>
                    </w:rPr>
                    <w:t>2</w:t>
                  </w:r>
                </w:p>
              </w:tc>
              <w:tc>
                <w:tcPr>
                  <w:tcW w:w="1241" w:type="dxa"/>
                  <w:vAlign w:val="center"/>
                </w:tcPr>
                <w:p w14:paraId="56DF2A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s="Times New Roman"/>
                      <w:color w:val="auto"/>
                      <w:kern w:val="28"/>
                      <w:sz w:val="22"/>
                      <w:szCs w:val="22"/>
                      <w:highlight w:val="none"/>
                      <w:lang w:val="en-US" w:eastAsia="zh-CN"/>
                    </w:rPr>
                  </w:pPr>
                  <w:r>
                    <w:rPr>
                      <w:rFonts w:hint="eastAsia" w:cs="Times New Roman"/>
                      <w:color w:val="auto"/>
                      <w:kern w:val="28"/>
                      <w:sz w:val="22"/>
                      <w:szCs w:val="22"/>
                      <w:highlight w:val="none"/>
                      <w:lang w:val="en-US" w:eastAsia="zh-CN"/>
                    </w:rPr>
                    <w:t>布袋除尘器</w:t>
                  </w:r>
                </w:p>
              </w:tc>
              <w:tc>
                <w:tcPr>
                  <w:tcW w:w="654" w:type="dxa"/>
                  <w:vAlign w:val="center"/>
                </w:tcPr>
                <w:p w14:paraId="19B726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kern w:val="28"/>
                      <w:sz w:val="22"/>
                      <w:szCs w:val="22"/>
                      <w:highlight w:val="none"/>
                    </w:rPr>
                  </w:pPr>
                  <w:r>
                    <w:rPr>
                      <w:rFonts w:hint="eastAsia" w:ascii="Times New Roman" w:hAnsi="Times New Roman" w:eastAsia="宋体" w:cs="Times New Roman"/>
                      <w:color w:val="auto"/>
                      <w:kern w:val="28"/>
                      <w:sz w:val="22"/>
                      <w:szCs w:val="22"/>
                      <w:highlight w:val="none"/>
                    </w:rPr>
                    <w:t>TSP</w:t>
                  </w:r>
                </w:p>
              </w:tc>
              <w:tc>
                <w:tcPr>
                  <w:tcW w:w="1255" w:type="dxa"/>
                  <w:vAlign w:val="center"/>
                </w:tcPr>
                <w:p w14:paraId="68184E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28"/>
                      <w:sz w:val="22"/>
                      <w:szCs w:val="22"/>
                      <w:highlight w:val="none"/>
                      <w:lang w:val="en-US" w:eastAsia="zh-CN"/>
                    </w:rPr>
                  </w:pPr>
                  <w:r>
                    <w:rPr>
                      <w:rFonts w:hint="eastAsia" w:cs="Times New Roman"/>
                      <w:color w:val="auto"/>
                      <w:kern w:val="28"/>
                      <w:sz w:val="22"/>
                      <w:szCs w:val="22"/>
                      <w:highlight w:val="none"/>
                      <w:lang w:val="en-US" w:eastAsia="zh-CN"/>
                    </w:rPr>
                    <w:t>3.5kg/h</w:t>
                  </w:r>
                </w:p>
              </w:tc>
              <w:tc>
                <w:tcPr>
                  <w:tcW w:w="3738" w:type="dxa"/>
                  <w:vAlign w:val="center"/>
                </w:tcPr>
                <w:p w14:paraId="05530B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28"/>
                      <w:sz w:val="22"/>
                      <w:szCs w:val="22"/>
                      <w:highlight w:val="none"/>
                      <w:lang w:val="en-US" w:eastAsia="zh-CN"/>
                    </w:rPr>
                  </w:pPr>
                  <w:r>
                    <w:rPr>
                      <w:rFonts w:hint="eastAsia" w:cs="Times New Roman"/>
                      <w:color w:val="auto"/>
                      <w:kern w:val="28"/>
                      <w:sz w:val="22"/>
                      <w:szCs w:val="22"/>
                      <w:highlight w:val="none"/>
                      <w:lang w:val="en-US" w:eastAsia="zh-CN"/>
                    </w:rPr>
                    <w:t>有组织：</w:t>
                  </w:r>
                  <w:r>
                    <w:rPr>
                      <w:rFonts w:hint="eastAsia" w:cs="Times New Roman"/>
                      <w:color w:val="auto"/>
                      <w:kern w:val="28"/>
                      <w:sz w:val="22"/>
                      <w:szCs w:val="22"/>
                      <w:highlight w:val="none"/>
                      <w:lang w:eastAsia="zh-CN"/>
                    </w:rPr>
                    <w:t>（GB16297-1996）</w:t>
                  </w:r>
                  <w:r>
                    <w:rPr>
                      <w:rFonts w:hint="eastAsia" w:cs="Times New Roman"/>
                      <w:color w:val="auto"/>
                      <w:kern w:val="28"/>
                      <w:sz w:val="22"/>
                      <w:szCs w:val="22"/>
                      <w:highlight w:val="none"/>
                      <w:lang w:val="en-US" w:eastAsia="zh-CN"/>
                    </w:rPr>
                    <w:t>二级要求</w:t>
                  </w:r>
                </w:p>
              </w:tc>
            </w:tr>
          </w:tbl>
          <w:p w14:paraId="3BC65C0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2"/>
              <w:textAlignment w:val="auto"/>
              <w:rPr>
                <w:rFonts w:ascii="Times New Roman" w:hAnsi="Times New Roman"/>
                <w:b/>
                <w:color w:val="auto"/>
                <w:highlight w:val="none"/>
              </w:rPr>
            </w:pPr>
            <w:r>
              <w:rPr>
                <w:rFonts w:ascii="Times New Roman" w:hAnsi="Times New Roman"/>
                <w:b/>
                <w:color w:val="auto"/>
                <w:highlight w:val="none"/>
              </w:rPr>
              <w:t>2、水污染排放标准</w:t>
            </w:r>
          </w:p>
          <w:p w14:paraId="6B71B57A">
            <w:pPr>
              <w:adjustRightInd w:val="0"/>
              <w:snapToGrid w:val="0"/>
              <w:spacing w:line="360" w:lineRule="auto"/>
              <w:ind w:firstLine="520"/>
              <w:rPr>
                <w:rFonts w:hint="eastAsia"/>
                <w:color w:val="auto"/>
                <w:highlight w:val="none"/>
                <w:lang w:eastAsia="zh-CN"/>
              </w:rPr>
            </w:pPr>
            <w:r>
              <w:rPr>
                <w:rFonts w:ascii="Times New Roman" w:hAnsi="Times New Roman"/>
                <w:color w:val="auto"/>
                <w:highlight w:val="none"/>
              </w:rPr>
              <w:t>项目施工期施工废水经临时沉淀池沉淀处理后回用于施工及场地洒水降尘，施工人员少量生活污水经沉淀池沉淀后回用于施工及场地洒水降尘</w:t>
            </w:r>
            <w:r>
              <w:rPr>
                <w:rFonts w:hint="eastAsia"/>
                <w:color w:val="auto"/>
                <w:highlight w:val="none"/>
                <w:lang w:eastAsia="zh-CN"/>
              </w:rPr>
              <w:t>。</w:t>
            </w:r>
          </w:p>
          <w:p w14:paraId="0C416E49">
            <w:pPr>
              <w:adjustRightInd w:val="0"/>
              <w:snapToGrid w:val="0"/>
              <w:spacing w:line="360" w:lineRule="auto"/>
              <w:ind w:firstLine="520"/>
              <w:rPr>
                <w:rFonts w:ascii="Times New Roman" w:hAnsi="Times New Roman"/>
                <w:color w:val="auto"/>
                <w:highlight w:val="none"/>
              </w:rPr>
            </w:pPr>
            <w:r>
              <w:rPr>
                <w:rFonts w:hint="eastAsia"/>
                <w:color w:val="auto"/>
                <w:highlight w:val="none"/>
                <w:lang w:val="en-US" w:eastAsia="zh-CN"/>
              </w:rPr>
              <w:t>运营期间产生的工业废水通过蒸发全部损耗，无外排；</w:t>
            </w:r>
            <w:r>
              <w:rPr>
                <w:rFonts w:ascii="Times New Roman" w:hAnsi="Times New Roman"/>
                <w:color w:val="auto"/>
                <w:highlight w:val="none"/>
              </w:rPr>
              <w:t>生活废水</w:t>
            </w:r>
            <w:r>
              <w:rPr>
                <w:rFonts w:hint="eastAsia"/>
                <w:color w:val="auto"/>
                <w:highlight w:val="none"/>
                <w:lang w:val="en-US" w:eastAsia="zh-CN"/>
              </w:rPr>
              <w:t>进化粪池处理，委托农户定期清掏做农肥，运营期无废水外排</w:t>
            </w:r>
            <w:r>
              <w:rPr>
                <w:rFonts w:ascii="Times New Roman" w:hAnsi="Times New Roman"/>
                <w:color w:val="auto"/>
                <w:highlight w:val="none"/>
              </w:rPr>
              <w:t>。</w:t>
            </w:r>
          </w:p>
          <w:p w14:paraId="46F3E83D">
            <w:pPr>
              <w:adjustRightInd w:val="0"/>
              <w:snapToGrid w:val="0"/>
              <w:spacing w:line="360" w:lineRule="auto"/>
              <w:ind w:firstLine="522"/>
              <w:rPr>
                <w:rFonts w:ascii="Times New Roman" w:hAnsi="Times New Roman"/>
                <w:b/>
                <w:color w:val="auto"/>
                <w:highlight w:val="none"/>
              </w:rPr>
            </w:pPr>
            <w:r>
              <w:rPr>
                <w:rFonts w:ascii="Times New Roman" w:hAnsi="Times New Roman"/>
                <w:b/>
                <w:color w:val="auto"/>
                <w:highlight w:val="none"/>
              </w:rPr>
              <w:t>3、噪声排放标准</w:t>
            </w:r>
          </w:p>
          <w:p w14:paraId="5B93DA59">
            <w:pPr>
              <w:adjustRightInd w:val="0"/>
              <w:snapToGrid w:val="0"/>
              <w:ind w:firstLine="520"/>
              <w:rPr>
                <w:rFonts w:ascii="Times New Roman" w:hAnsi="Times New Roman"/>
                <w:color w:val="auto"/>
                <w:highlight w:val="none"/>
              </w:rPr>
            </w:pPr>
            <w:r>
              <w:rPr>
                <w:rFonts w:ascii="Times New Roman" w:hAnsi="Times New Roman"/>
                <w:color w:val="auto"/>
                <w:highlight w:val="none"/>
              </w:rPr>
              <w:t>施工期噪声执行《建筑施工场界环境噪声排放标准》（GB12523-2011），标准值见表4-</w:t>
            </w:r>
            <w:r>
              <w:rPr>
                <w:rFonts w:hint="eastAsia"/>
                <w:color w:val="auto"/>
                <w:highlight w:val="none"/>
                <w:lang w:val="en-US" w:eastAsia="zh-CN"/>
              </w:rPr>
              <w:t>6</w:t>
            </w:r>
            <w:r>
              <w:rPr>
                <w:rFonts w:ascii="Times New Roman" w:hAnsi="Times New Roman"/>
                <w:color w:val="auto"/>
                <w:highlight w:val="none"/>
              </w:rPr>
              <w:t>。</w:t>
            </w:r>
          </w:p>
          <w:p w14:paraId="2F3642D3">
            <w:pPr>
              <w:pStyle w:val="33"/>
              <w:spacing w:before="0" w:after="0" w:line="320" w:lineRule="exact"/>
              <w:ind w:left="130" w:leftChars="50" w:right="130" w:rightChars="50"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表4-</w:t>
            </w:r>
            <w:r>
              <w:rPr>
                <w:rFonts w:hint="eastAsia" w:ascii="Times New Roman" w:hAnsi="Times New Roman" w:eastAsia="宋体" w:cs="Times New Roman"/>
                <w:b/>
                <w:bCs/>
                <w:color w:val="auto"/>
                <w:sz w:val="21"/>
                <w:szCs w:val="21"/>
                <w:highlight w:val="none"/>
                <w:lang w:val="en-US" w:eastAsia="zh-CN"/>
              </w:rPr>
              <w:t>6</w:t>
            </w:r>
            <w:r>
              <w:rPr>
                <w:rFonts w:ascii="Times New Roman" w:hAnsi="Times New Roman" w:eastAsia="宋体" w:cs="Times New Roman"/>
                <w:b/>
                <w:bCs/>
                <w:color w:val="auto"/>
                <w:sz w:val="21"/>
                <w:szCs w:val="21"/>
                <w:highlight w:val="none"/>
              </w:rPr>
              <w:t xml:space="preserve"> 建筑施工场界环境噪声排放限值  单位：dB（A）</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3550"/>
            </w:tblGrid>
            <w:tr w14:paraId="6135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8" w:type="pct"/>
                  <w:noWrap w:val="0"/>
                  <w:vAlign w:val="center"/>
                </w:tcPr>
                <w:p w14:paraId="2DF66348">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昼间</w:t>
                  </w:r>
                </w:p>
              </w:tc>
              <w:tc>
                <w:tcPr>
                  <w:tcW w:w="2301" w:type="pct"/>
                  <w:noWrap w:val="0"/>
                  <w:vAlign w:val="center"/>
                </w:tcPr>
                <w:p w14:paraId="2E932187">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夜间</w:t>
                  </w:r>
                </w:p>
              </w:tc>
            </w:tr>
            <w:tr w14:paraId="35F4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8" w:type="pct"/>
                  <w:noWrap w:val="0"/>
                  <w:vAlign w:val="center"/>
                </w:tcPr>
                <w:p w14:paraId="4C7168F3">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70</w:t>
                  </w:r>
                </w:p>
              </w:tc>
              <w:tc>
                <w:tcPr>
                  <w:tcW w:w="2301" w:type="pct"/>
                  <w:noWrap w:val="0"/>
                  <w:vAlign w:val="center"/>
                </w:tcPr>
                <w:p w14:paraId="25569FDC">
                  <w:pPr>
                    <w:spacing w:line="240" w:lineRule="auto"/>
                    <w:ind w:firstLine="0" w:firstLineChars="0"/>
                    <w:jc w:val="center"/>
                    <w:rPr>
                      <w:rFonts w:ascii="Times New Roman" w:hAnsi="Times New Roman"/>
                      <w:snapToGrid/>
                      <w:color w:val="auto"/>
                      <w:sz w:val="22"/>
                      <w:szCs w:val="22"/>
                      <w:highlight w:val="none"/>
                      <w:lang w:bidi="en-US"/>
                    </w:rPr>
                  </w:pPr>
                  <w:r>
                    <w:rPr>
                      <w:rFonts w:ascii="Times New Roman" w:hAnsi="Times New Roman"/>
                      <w:snapToGrid/>
                      <w:color w:val="auto"/>
                      <w:sz w:val="22"/>
                      <w:szCs w:val="22"/>
                      <w:highlight w:val="none"/>
                      <w:lang w:bidi="en-US"/>
                    </w:rPr>
                    <w:t>55</w:t>
                  </w:r>
                </w:p>
              </w:tc>
            </w:tr>
          </w:tbl>
          <w:p w14:paraId="34A67438">
            <w:pPr>
              <w:pStyle w:val="15"/>
              <w:spacing w:line="480" w:lineRule="exact"/>
              <w:ind w:firstLine="520"/>
              <w:rPr>
                <w:rFonts w:hint="eastAsia" w:ascii="Times New Roman" w:hAnsi="Times New Roman"/>
                <w:snapToGrid w:val="0"/>
                <w:color w:val="auto"/>
                <w:kern w:val="0"/>
                <w:sz w:val="26"/>
                <w:szCs w:val="26"/>
                <w:highlight w:val="none"/>
              </w:rPr>
            </w:pPr>
            <w:r>
              <w:rPr>
                <w:rFonts w:hint="eastAsia" w:ascii="Times New Roman" w:hAnsi="Times New Roman"/>
                <w:snapToGrid w:val="0"/>
                <w:color w:val="auto"/>
                <w:kern w:val="0"/>
                <w:sz w:val="26"/>
                <w:szCs w:val="26"/>
                <w:highlight w:val="none"/>
              </w:rPr>
              <w:t>居民点噪声执行《声环境质量》（GB3096-2008）2类标准。标准值见下表:</w:t>
            </w:r>
          </w:p>
          <w:p w14:paraId="5D9D1415">
            <w:pPr>
              <w:pStyle w:val="15"/>
              <w:spacing w:line="480" w:lineRule="exact"/>
              <w:ind w:firstLine="422"/>
              <w:jc w:val="center"/>
              <w:rPr>
                <w:rFonts w:ascii="Times New Roman" w:hAnsi="Times New Roman"/>
                <w:b/>
                <w:bCs/>
                <w:snapToGrid w:val="0"/>
                <w:color w:val="auto"/>
                <w:kern w:val="0"/>
                <w:sz w:val="21"/>
                <w:szCs w:val="21"/>
                <w:highlight w:val="none"/>
              </w:rPr>
            </w:pPr>
            <w:r>
              <w:rPr>
                <w:rFonts w:hint="eastAsia" w:ascii="Times New Roman" w:hAnsi="Times New Roman"/>
                <w:b/>
                <w:bCs/>
                <w:snapToGrid w:val="0"/>
                <w:color w:val="auto"/>
                <w:kern w:val="0"/>
                <w:sz w:val="21"/>
                <w:szCs w:val="21"/>
                <w:highlight w:val="none"/>
              </w:rPr>
              <w:t>表4-</w:t>
            </w:r>
            <w:r>
              <w:rPr>
                <w:rFonts w:hint="eastAsia" w:ascii="Times New Roman" w:hAnsi="Times New Roman"/>
                <w:b/>
                <w:bCs/>
                <w:snapToGrid w:val="0"/>
                <w:color w:val="auto"/>
                <w:kern w:val="0"/>
                <w:sz w:val="21"/>
                <w:szCs w:val="21"/>
                <w:highlight w:val="none"/>
                <w:lang w:val="en-US" w:eastAsia="zh-CN"/>
              </w:rPr>
              <w:t>7</w:t>
            </w:r>
            <w:r>
              <w:rPr>
                <w:rFonts w:hint="eastAsia" w:ascii="Times New Roman" w:hAnsi="Times New Roman"/>
                <w:b/>
                <w:bCs/>
                <w:snapToGrid w:val="0"/>
                <w:color w:val="auto"/>
                <w:kern w:val="0"/>
                <w:sz w:val="21"/>
                <w:szCs w:val="21"/>
                <w:highlight w:val="none"/>
              </w:rPr>
              <w:t xml:space="preserve">  声环境质量2类标准值   单位：dB</w:t>
            </w:r>
            <w:r>
              <w:rPr>
                <w:rFonts w:ascii="Times New Roman" w:hAnsi="Times New Roman"/>
                <w:b/>
                <w:bCs/>
                <w:snapToGrid w:val="0"/>
                <w:color w:val="auto"/>
                <w:kern w:val="0"/>
                <w:sz w:val="21"/>
                <w:szCs w:val="21"/>
                <w:highlight w:val="none"/>
              </w:rPr>
              <w:t>（A）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3850"/>
            </w:tblGrid>
            <w:tr w14:paraId="0A32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50" w:type="dxa"/>
                  <w:noWrap w:val="0"/>
                  <w:vAlign w:val="center"/>
                </w:tcPr>
                <w:p w14:paraId="080EA174">
                  <w:pPr>
                    <w:pStyle w:val="15"/>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昼间</w:t>
                  </w:r>
                </w:p>
              </w:tc>
              <w:tc>
                <w:tcPr>
                  <w:tcW w:w="3850" w:type="dxa"/>
                  <w:noWrap w:val="0"/>
                  <w:vAlign w:val="center"/>
                </w:tcPr>
                <w:p w14:paraId="72240845">
                  <w:pPr>
                    <w:pStyle w:val="15"/>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夜间</w:t>
                  </w:r>
                </w:p>
              </w:tc>
            </w:tr>
            <w:tr w14:paraId="0C26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0" w:type="dxa"/>
                  <w:noWrap w:val="0"/>
                  <w:vAlign w:val="center"/>
                </w:tcPr>
                <w:p w14:paraId="5F848F5D">
                  <w:pPr>
                    <w:pStyle w:val="15"/>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60</w:t>
                  </w:r>
                </w:p>
              </w:tc>
              <w:tc>
                <w:tcPr>
                  <w:tcW w:w="3850" w:type="dxa"/>
                  <w:noWrap w:val="0"/>
                  <w:vAlign w:val="center"/>
                </w:tcPr>
                <w:p w14:paraId="41580B71">
                  <w:pPr>
                    <w:pStyle w:val="15"/>
                    <w:spacing w:line="320" w:lineRule="exact"/>
                    <w:ind w:firstLine="0" w:firstLineChars="0"/>
                    <w:jc w:val="center"/>
                    <w:rPr>
                      <w:rFonts w:ascii="Times New Roman" w:hAnsi="Times New Roman"/>
                      <w:color w:val="auto"/>
                      <w:sz w:val="22"/>
                      <w:szCs w:val="22"/>
                      <w:highlight w:val="none"/>
                    </w:rPr>
                  </w:pPr>
                  <w:r>
                    <w:rPr>
                      <w:rFonts w:hint="eastAsia" w:ascii="Times New Roman" w:hAnsi="Times New Roman"/>
                      <w:color w:val="auto"/>
                      <w:sz w:val="22"/>
                      <w:szCs w:val="22"/>
                      <w:highlight w:val="none"/>
                    </w:rPr>
                    <w:t>50</w:t>
                  </w:r>
                </w:p>
              </w:tc>
            </w:tr>
          </w:tbl>
          <w:p w14:paraId="0BE53BA3">
            <w:pPr>
              <w:adjustRightInd w:val="0"/>
              <w:snapToGrid w:val="0"/>
              <w:spacing w:line="360" w:lineRule="auto"/>
              <w:ind w:firstLine="522"/>
              <w:rPr>
                <w:rFonts w:ascii="Times New Roman" w:hAnsi="Times New Roman"/>
                <w:b/>
                <w:color w:val="auto"/>
                <w:highlight w:val="none"/>
              </w:rPr>
            </w:pPr>
            <w:r>
              <w:rPr>
                <w:rFonts w:ascii="Times New Roman" w:hAnsi="Times New Roman"/>
                <w:b/>
                <w:color w:val="auto"/>
                <w:highlight w:val="none"/>
              </w:rPr>
              <w:t>4、固体废物</w:t>
            </w:r>
          </w:p>
          <w:p w14:paraId="4AC6F5D2">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20" w:firstLineChars="200"/>
              <w:jc w:val="both"/>
              <w:textAlignment w:val="auto"/>
              <w:rPr>
                <w:rFonts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一般工业固废执行GB1 8599-2001《一般工业固体废物贮存、处置场污染控制标准》及其修改单要求;</w:t>
            </w:r>
          </w:p>
          <w:p w14:paraId="3CD36EE1">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ind w:firstLine="520" w:firstLineChars="200"/>
              <w:jc w:val="both"/>
              <w:textAlignment w:val="auto"/>
              <w:rPr>
                <w:rFonts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危险废物执行GB18597-2001《危险废物贮存污染控制标准》及其修改单要求。</w:t>
            </w:r>
          </w:p>
          <w:bookmarkEnd w:id="40"/>
          <w:p w14:paraId="5B9ACEEE">
            <w:pPr>
              <w:pStyle w:val="12"/>
              <w:adjustRightInd w:val="0"/>
              <w:snapToGrid w:val="0"/>
              <w:spacing w:line="360" w:lineRule="auto"/>
              <w:ind w:left="0" w:leftChars="0" w:right="130" w:rightChars="50" w:firstLine="0" w:firstLineChars="0"/>
              <w:jc w:val="both"/>
              <w:rPr>
                <w:rFonts w:ascii="Times New Roman" w:hAnsi="Times New Roman"/>
                <w:b/>
                <w:snapToGrid w:val="0"/>
                <w:color w:val="auto"/>
                <w:kern w:val="0"/>
                <w:szCs w:val="24"/>
                <w:highlight w:val="none"/>
              </w:rPr>
            </w:pPr>
          </w:p>
        </w:tc>
      </w:tr>
      <w:tr w14:paraId="689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noWrap w:val="0"/>
            <w:vAlign w:val="center"/>
          </w:tcPr>
          <w:p w14:paraId="3C23B920">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总</w:t>
            </w:r>
          </w:p>
          <w:p w14:paraId="25CF4092">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量控制指</w:t>
            </w:r>
          </w:p>
          <w:p w14:paraId="766A16E8">
            <w:pPr>
              <w:spacing w:line="360" w:lineRule="auto"/>
              <w:ind w:right="130" w:rightChars="50" w:firstLine="0" w:firstLineChars="0"/>
              <w:rPr>
                <w:rFonts w:ascii="Times New Roman" w:hAnsi="Times New Roman"/>
                <w:b/>
                <w:color w:val="auto"/>
                <w:sz w:val="24"/>
                <w:highlight w:val="none"/>
              </w:rPr>
            </w:pPr>
            <w:r>
              <w:rPr>
                <w:rFonts w:ascii="Times New Roman" w:hAnsi="Times New Roman"/>
                <w:b/>
                <w:color w:val="auto"/>
                <w:sz w:val="24"/>
                <w:highlight w:val="none"/>
              </w:rPr>
              <w:t>标</w:t>
            </w:r>
          </w:p>
        </w:tc>
        <w:tc>
          <w:tcPr>
            <w:tcW w:w="4640" w:type="pct"/>
            <w:noWrap w:val="0"/>
            <w:vAlign w:val="center"/>
          </w:tcPr>
          <w:p w14:paraId="6379D12D">
            <w:pPr>
              <w:pStyle w:val="2"/>
              <w:keepNext w:val="0"/>
              <w:keepLines w:val="0"/>
              <w:pageBreakBefore w:val="0"/>
              <w:widowControl w:val="0"/>
              <w:kinsoku/>
              <w:wordWrap/>
              <w:overflowPunct/>
              <w:topLinePunct w:val="0"/>
              <w:autoSpaceDE/>
              <w:autoSpaceDN/>
              <w:bidi w:val="0"/>
              <w:spacing w:line="480" w:lineRule="exact"/>
              <w:textAlignment w:val="auto"/>
              <w:rPr>
                <w:rFonts w:hint="eastAsia" w:eastAsia="宋体"/>
                <w:color w:val="auto"/>
                <w:sz w:val="26"/>
                <w:szCs w:val="26"/>
                <w:highlight w:val="none"/>
                <w:lang w:eastAsia="zh-CN"/>
              </w:rPr>
            </w:pPr>
            <w:r>
              <w:rPr>
                <w:rFonts w:hint="eastAsia"/>
                <w:color w:val="auto"/>
                <w:sz w:val="26"/>
                <w:szCs w:val="26"/>
                <w:highlight w:val="none"/>
                <w:lang w:val="en-US" w:eastAsia="zh-CN"/>
              </w:rPr>
              <w:t>1、</w:t>
            </w:r>
            <w:r>
              <w:rPr>
                <w:rFonts w:hint="eastAsia"/>
                <w:color w:val="auto"/>
                <w:sz w:val="26"/>
                <w:szCs w:val="26"/>
                <w:highlight w:val="none"/>
              </w:rPr>
              <w:t>废气</w:t>
            </w:r>
            <w:r>
              <w:rPr>
                <w:rFonts w:hint="eastAsia"/>
                <w:color w:val="auto"/>
                <w:sz w:val="26"/>
                <w:szCs w:val="26"/>
                <w:highlight w:val="none"/>
                <w:lang w:eastAsia="zh-CN"/>
              </w:rPr>
              <w:t>：</w:t>
            </w:r>
            <w:r>
              <w:rPr>
                <w:rFonts w:hint="eastAsia"/>
                <w:color w:val="auto"/>
                <w:sz w:val="26"/>
                <w:szCs w:val="26"/>
                <w:highlight w:val="none"/>
              </w:rPr>
              <w:t>本项目所涉及的废气属间歇式无组织排放，故不作总量控制要求</w:t>
            </w:r>
            <w:r>
              <w:rPr>
                <w:rFonts w:hint="eastAsia"/>
                <w:color w:val="auto"/>
                <w:sz w:val="26"/>
                <w:szCs w:val="26"/>
                <w:highlight w:val="none"/>
                <w:lang w:eastAsia="zh-CN"/>
              </w:rPr>
              <w:t>；</w:t>
            </w:r>
          </w:p>
          <w:p w14:paraId="2F2AED2E">
            <w:pPr>
              <w:pStyle w:val="2"/>
              <w:keepNext w:val="0"/>
              <w:keepLines w:val="0"/>
              <w:pageBreakBefore w:val="0"/>
              <w:widowControl w:val="0"/>
              <w:kinsoku/>
              <w:wordWrap/>
              <w:overflowPunct/>
              <w:topLinePunct w:val="0"/>
              <w:autoSpaceDE/>
              <w:autoSpaceDN/>
              <w:bidi w:val="0"/>
              <w:spacing w:line="480" w:lineRule="exact"/>
              <w:textAlignment w:val="auto"/>
              <w:rPr>
                <w:rFonts w:hint="eastAsia"/>
                <w:color w:val="auto"/>
                <w:sz w:val="26"/>
                <w:szCs w:val="26"/>
                <w:highlight w:val="none"/>
              </w:rPr>
            </w:pPr>
            <w:r>
              <w:rPr>
                <w:rFonts w:hint="eastAsia"/>
                <w:color w:val="auto"/>
                <w:sz w:val="26"/>
                <w:szCs w:val="26"/>
                <w:highlight w:val="none"/>
                <w:lang w:val="en-US" w:eastAsia="zh-CN"/>
              </w:rPr>
              <w:t>2、</w:t>
            </w:r>
            <w:r>
              <w:rPr>
                <w:rFonts w:hint="eastAsia"/>
                <w:color w:val="auto"/>
                <w:sz w:val="26"/>
                <w:szCs w:val="26"/>
                <w:highlight w:val="none"/>
              </w:rPr>
              <w:t>废水</w:t>
            </w:r>
            <w:r>
              <w:rPr>
                <w:rFonts w:hint="eastAsia"/>
                <w:color w:val="auto"/>
                <w:sz w:val="26"/>
                <w:szCs w:val="26"/>
                <w:highlight w:val="none"/>
                <w:lang w:eastAsia="zh-CN"/>
              </w:rPr>
              <w:t>：</w:t>
            </w:r>
            <w:r>
              <w:rPr>
                <w:rFonts w:hint="eastAsia"/>
                <w:color w:val="auto"/>
                <w:sz w:val="26"/>
                <w:szCs w:val="26"/>
                <w:highlight w:val="none"/>
              </w:rPr>
              <w:t>本项目所产生的废水不外排，故不作总量控制要求。</w:t>
            </w:r>
          </w:p>
          <w:p w14:paraId="2EDB98EB">
            <w:pPr>
              <w:keepNext w:val="0"/>
              <w:keepLines w:val="0"/>
              <w:pageBreakBefore w:val="0"/>
              <w:widowControl w:val="0"/>
              <w:kinsoku/>
              <w:wordWrap/>
              <w:overflowPunct/>
              <w:topLinePunct w:val="0"/>
              <w:autoSpaceDE/>
              <w:autoSpaceDN/>
              <w:bidi w:val="0"/>
              <w:adjustRightInd w:val="0"/>
              <w:snapToGrid w:val="0"/>
              <w:spacing w:line="480" w:lineRule="exact"/>
              <w:ind w:firstLine="520"/>
              <w:textAlignment w:val="auto"/>
              <w:rPr>
                <w:rFonts w:ascii="Times New Roman" w:hAnsi="Times New Roman"/>
                <w:color w:val="auto"/>
                <w:highlight w:val="none"/>
              </w:rPr>
            </w:pPr>
            <w:r>
              <w:rPr>
                <w:rFonts w:hint="eastAsia" w:ascii="Times New Roman" w:hAnsi="Times New Roman"/>
                <w:color w:val="auto"/>
                <w:sz w:val="26"/>
                <w:szCs w:val="26"/>
                <w:highlight w:val="none"/>
              </w:rPr>
              <w:t>3、固体废弃物</w:t>
            </w:r>
            <w:r>
              <w:rPr>
                <w:rFonts w:hint="eastAsia"/>
                <w:color w:val="auto"/>
                <w:sz w:val="26"/>
                <w:szCs w:val="26"/>
                <w:highlight w:val="none"/>
                <w:lang w:eastAsia="zh-CN"/>
              </w:rPr>
              <w:t>：</w:t>
            </w:r>
            <w:r>
              <w:rPr>
                <w:rFonts w:hint="eastAsia" w:ascii="Times New Roman" w:hAnsi="Times New Roman"/>
                <w:color w:val="auto"/>
                <w:sz w:val="26"/>
                <w:szCs w:val="26"/>
                <w:highlight w:val="none"/>
              </w:rPr>
              <w:t>固废处置率100%。</w:t>
            </w:r>
          </w:p>
        </w:tc>
      </w:tr>
    </w:tbl>
    <w:p w14:paraId="799A0BE4">
      <w:pPr>
        <w:pStyle w:val="17"/>
        <w:jc w:val="both"/>
        <w:rPr>
          <w:color w:val="auto"/>
          <w:highlight w:val="none"/>
        </w:rPr>
      </w:pPr>
    </w:p>
    <w:p w14:paraId="4F52FEC4">
      <w:pPr>
        <w:pStyle w:val="6"/>
        <w:keepNext/>
        <w:keepLines/>
        <w:pageBreakBefore/>
        <w:widowControl w:val="0"/>
        <w:kinsoku/>
        <w:wordWrap/>
        <w:overflowPunct/>
        <w:topLinePunct w:val="0"/>
        <w:autoSpaceDE/>
        <w:autoSpaceDN/>
        <w:bidi w:val="0"/>
        <w:adjustRightInd/>
        <w:snapToGrid/>
        <w:spacing w:before="312" w:after="312"/>
        <w:jc w:val="left"/>
        <w:textAlignment w:val="auto"/>
        <w:rPr>
          <w:rFonts w:ascii="Times New Roman" w:hAnsi="Times New Roman"/>
          <w:color w:val="auto"/>
          <w:highlight w:val="none"/>
        </w:rPr>
      </w:pPr>
      <w:bookmarkStart w:id="41" w:name="_Toc27163"/>
      <w:bookmarkStart w:id="42" w:name="_Toc23126"/>
      <w:r>
        <w:rPr>
          <w:rFonts w:ascii="Times New Roman" w:hAnsi="Times New Roman"/>
          <w:color w:val="auto"/>
          <w:highlight w:val="none"/>
        </w:rPr>
        <w:t>表</w:t>
      </w:r>
      <w:r>
        <w:rPr>
          <w:rFonts w:hint="eastAsia" w:ascii="Times New Roman" w:hAnsi="Times New Roman"/>
          <w:color w:val="auto"/>
          <w:highlight w:val="none"/>
          <w:lang w:val="en-US" w:eastAsia="zh-CN"/>
        </w:rPr>
        <w:t>五、</w:t>
      </w:r>
      <w:r>
        <w:rPr>
          <w:rFonts w:ascii="Times New Roman" w:hAnsi="Times New Roman"/>
          <w:color w:val="auto"/>
          <w:highlight w:val="none"/>
        </w:rPr>
        <w:t>建设项目工程分析</w:t>
      </w:r>
      <w:bookmarkEnd w:id="41"/>
      <w:bookmarkEnd w:id="42"/>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CA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45DC459">
            <w:pPr>
              <w:keepNext w:val="0"/>
              <w:keepLines w:val="0"/>
              <w:pageBreakBefore w:val="0"/>
              <w:widowControl w:val="0"/>
              <w:kinsoku/>
              <w:wordWrap/>
              <w:overflowPunct/>
              <w:topLinePunct w:val="0"/>
              <w:autoSpaceDE/>
              <w:autoSpaceDN/>
              <w:bidi w:val="0"/>
              <w:adjustRightInd/>
              <w:snapToGrid/>
              <w:spacing w:line="360" w:lineRule="auto"/>
              <w:ind w:left="0" w:leftChars="0" w:right="-101" w:rightChars="-39" w:firstLine="0" w:firstLineChars="0"/>
              <w:textAlignment w:val="auto"/>
              <w:rPr>
                <w:b/>
                <w:color w:val="auto"/>
                <w:sz w:val="28"/>
                <w:szCs w:val="28"/>
                <w:highlight w:val="none"/>
              </w:rPr>
            </w:pPr>
            <w:r>
              <w:rPr>
                <w:rFonts w:hint="eastAsia"/>
                <w:b/>
                <w:color w:val="auto"/>
                <w:sz w:val="28"/>
                <w:szCs w:val="28"/>
                <w:highlight w:val="none"/>
                <w:lang w:val="en-US" w:eastAsia="zh-CN"/>
              </w:rPr>
              <w:t>1、</w:t>
            </w:r>
            <w:r>
              <w:rPr>
                <w:b/>
                <w:color w:val="auto"/>
                <w:sz w:val="28"/>
                <w:szCs w:val="28"/>
                <w:highlight w:val="none"/>
              </w:rPr>
              <w:t>建设项目工艺流程</w:t>
            </w:r>
          </w:p>
          <w:p w14:paraId="7E90D26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一、施工期</w:t>
            </w:r>
          </w:p>
          <w:p w14:paraId="0E0A5915">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lang w:val="en-US" w:eastAsia="zh-CN"/>
              </w:rPr>
              <w:t>本项目为新建项目，本项目建设主要内容为</w:t>
            </w:r>
            <w:r>
              <w:rPr>
                <w:rFonts w:hint="eastAsia"/>
                <w:color w:val="auto"/>
                <w:sz w:val="26"/>
                <w:szCs w:val="26"/>
                <w:highlight w:val="none"/>
                <w:lang w:val="en-US" w:eastAsia="zh-CN"/>
              </w:rPr>
              <w:t>破碎设备</w:t>
            </w:r>
            <w:r>
              <w:rPr>
                <w:rFonts w:hint="eastAsia" w:ascii="Times New Roman" w:hAnsi="Times New Roman"/>
                <w:color w:val="auto"/>
                <w:sz w:val="26"/>
                <w:szCs w:val="26"/>
                <w:highlight w:val="none"/>
                <w:lang w:val="en-US" w:eastAsia="zh-CN"/>
              </w:rPr>
              <w:t>安装</w:t>
            </w:r>
            <w:r>
              <w:rPr>
                <w:rFonts w:hint="eastAsia"/>
                <w:color w:val="auto"/>
                <w:sz w:val="26"/>
                <w:szCs w:val="26"/>
                <w:highlight w:val="none"/>
                <w:lang w:val="en-US" w:eastAsia="zh-CN"/>
              </w:rPr>
              <w:t>、</w:t>
            </w:r>
            <w:r>
              <w:rPr>
                <w:rFonts w:hint="eastAsia" w:ascii="Times New Roman" w:hAnsi="Times New Roman"/>
                <w:color w:val="auto"/>
                <w:sz w:val="26"/>
                <w:szCs w:val="26"/>
                <w:highlight w:val="none"/>
                <w:lang w:val="en-US" w:eastAsia="zh-CN"/>
              </w:rPr>
              <w:t>生活区、修理室、材料房、配电室、场内公路</w:t>
            </w:r>
            <w:r>
              <w:rPr>
                <w:rFonts w:hint="eastAsia"/>
                <w:color w:val="auto"/>
                <w:sz w:val="26"/>
                <w:szCs w:val="26"/>
                <w:highlight w:val="none"/>
                <w:lang w:val="en-US" w:eastAsia="zh-CN"/>
              </w:rPr>
              <w:t>等</w:t>
            </w:r>
            <w:r>
              <w:rPr>
                <w:rFonts w:hint="eastAsia" w:ascii="Times New Roman" w:hAnsi="Times New Roman"/>
                <w:color w:val="auto"/>
                <w:sz w:val="26"/>
                <w:szCs w:val="26"/>
                <w:highlight w:val="none"/>
                <w:lang w:val="en-US" w:eastAsia="zh-CN"/>
              </w:rPr>
              <w:t>。项目</w:t>
            </w:r>
            <w:r>
              <w:rPr>
                <w:rFonts w:hint="eastAsia"/>
                <w:color w:val="auto"/>
                <w:sz w:val="26"/>
                <w:szCs w:val="26"/>
                <w:highlight w:val="none"/>
                <w:lang w:val="en-US" w:eastAsia="zh-CN"/>
              </w:rPr>
              <w:t>利用探矿权期间建设的</w:t>
            </w:r>
            <w:r>
              <w:rPr>
                <w:rFonts w:hint="eastAsia" w:ascii="Times New Roman" w:hAnsi="Times New Roman"/>
                <w:color w:val="auto"/>
                <w:sz w:val="26"/>
                <w:szCs w:val="26"/>
                <w:highlight w:val="none"/>
                <w:lang w:val="en-US" w:eastAsia="zh-CN"/>
              </w:rPr>
              <w:t>生活区、配电室</w:t>
            </w:r>
            <w:r>
              <w:rPr>
                <w:rFonts w:hint="eastAsia"/>
                <w:color w:val="auto"/>
                <w:sz w:val="26"/>
                <w:szCs w:val="26"/>
                <w:highlight w:val="none"/>
                <w:lang w:val="en-US" w:eastAsia="zh-CN"/>
              </w:rPr>
              <w:t>、</w:t>
            </w:r>
            <w:r>
              <w:rPr>
                <w:rFonts w:hint="eastAsia" w:ascii="Times New Roman" w:hAnsi="Times New Roman"/>
                <w:color w:val="auto"/>
                <w:sz w:val="26"/>
                <w:szCs w:val="26"/>
                <w:highlight w:val="none"/>
                <w:lang w:val="en-US" w:eastAsia="zh-CN"/>
              </w:rPr>
              <w:t>1号破碎场地</w:t>
            </w:r>
            <w:r>
              <w:rPr>
                <w:rFonts w:hint="eastAsia"/>
                <w:color w:val="auto"/>
                <w:sz w:val="26"/>
                <w:szCs w:val="26"/>
                <w:highlight w:val="none"/>
                <w:lang w:val="en-US" w:eastAsia="zh-CN"/>
              </w:rPr>
              <w:t>及设备</w:t>
            </w:r>
            <w:r>
              <w:rPr>
                <w:rFonts w:hint="default" w:ascii="Times New Roman" w:hAnsi="Times New Roman" w:eastAsia="宋体"/>
                <w:color w:val="auto"/>
                <w:sz w:val="26"/>
                <w:szCs w:val="26"/>
                <w:highlight w:val="none"/>
                <w:lang w:val="en-US" w:eastAsia="zh-CN"/>
              </w:rPr>
              <w:t>。</w:t>
            </w:r>
            <w:r>
              <w:rPr>
                <w:rFonts w:hint="eastAsia"/>
                <w:color w:val="auto"/>
                <w:sz w:val="26"/>
                <w:szCs w:val="26"/>
                <w:highlight w:val="none"/>
                <w:lang w:val="en-US" w:eastAsia="zh-CN"/>
              </w:rPr>
              <w:t>本次</w:t>
            </w:r>
            <w:r>
              <w:rPr>
                <w:rFonts w:hint="eastAsia" w:ascii="Times New Roman" w:hAnsi="Times New Roman"/>
                <w:color w:val="auto"/>
                <w:sz w:val="26"/>
                <w:szCs w:val="26"/>
                <w:highlight w:val="none"/>
              </w:rPr>
              <w:t>项目</w:t>
            </w:r>
            <w:r>
              <w:rPr>
                <w:rFonts w:hint="eastAsia"/>
                <w:color w:val="auto"/>
                <w:sz w:val="26"/>
                <w:szCs w:val="26"/>
                <w:highlight w:val="none"/>
                <w:lang w:val="en-US" w:eastAsia="zh-CN"/>
              </w:rPr>
              <w:t>建设2号破碎场地，</w:t>
            </w:r>
            <w:r>
              <w:rPr>
                <w:rFonts w:hint="eastAsia" w:ascii="Times New Roman" w:hAnsi="Times New Roman"/>
                <w:color w:val="auto"/>
                <w:sz w:val="26"/>
                <w:szCs w:val="26"/>
                <w:highlight w:val="none"/>
                <w:lang w:val="en-US" w:eastAsia="zh-CN"/>
              </w:rPr>
              <w:t>安装破碎器械、</w:t>
            </w:r>
            <w:r>
              <w:rPr>
                <w:rFonts w:hint="eastAsia" w:ascii="Times New Roman" w:hAnsi="Times New Roman"/>
                <w:color w:val="auto"/>
                <w:sz w:val="26"/>
                <w:szCs w:val="26"/>
                <w:highlight w:val="none"/>
              </w:rPr>
              <w:t>安装布袋除尘器、</w:t>
            </w:r>
            <w:r>
              <w:rPr>
                <w:rFonts w:hint="eastAsia" w:ascii="Times New Roman" w:hAnsi="Times New Roman"/>
                <w:color w:val="auto"/>
                <w:sz w:val="26"/>
                <w:szCs w:val="26"/>
                <w:highlight w:val="none"/>
                <w:lang w:val="en-US" w:eastAsia="zh-CN"/>
              </w:rPr>
              <w:t>修理室、材料房、</w:t>
            </w:r>
            <w:r>
              <w:rPr>
                <w:rFonts w:hint="eastAsia" w:ascii="Times New Roman" w:hAnsi="Times New Roman"/>
                <w:color w:val="auto"/>
                <w:sz w:val="26"/>
                <w:szCs w:val="26"/>
                <w:highlight w:val="none"/>
              </w:rPr>
              <w:t>新建截水沟和沉淀池等技术措施</w:t>
            </w:r>
            <w:r>
              <w:rPr>
                <w:rFonts w:hint="eastAsia" w:ascii="Times New Roman" w:hAnsi="Times New Roman"/>
                <w:color w:val="auto"/>
                <w:sz w:val="26"/>
                <w:szCs w:val="26"/>
                <w:highlight w:val="none"/>
                <w:lang w:val="en-US" w:eastAsia="zh-CN"/>
              </w:rPr>
              <w:t>建成</w:t>
            </w:r>
            <w:r>
              <w:rPr>
                <w:rFonts w:hint="eastAsia" w:ascii="Times New Roman" w:hAnsi="Times New Roman"/>
                <w:color w:val="auto"/>
                <w:sz w:val="26"/>
                <w:szCs w:val="26"/>
                <w:highlight w:val="none"/>
              </w:rPr>
              <w:t>年产</w:t>
            </w:r>
            <w:r>
              <w:rPr>
                <w:rFonts w:hint="eastAsia" w:ascii="Times New Roman" w:hAnsi="Times New Roman"/>
                <w:color w:val="auto"/>
                <w:sz w:val="26"/>
                <w:szCs w:val="26"/>
                <w:highlight w:val="none"/>
                <w:lang w:val="en-US" w:eastAsia="zh-CN"/>
              </w:rPr>
              <w:t>3</w:t>
            </w:r>
            <w:r>
              <w:rPr>
                <w:rFonts w:hint="eastAsia" w:ascii="Times New Roman" w:hAnsi="Times New Roman"/>
                <w:color w:val="auto"/>
                <w:sz w:val="26"/>
                <w:szCs w:val="26"/>
                <w:highlight w:val="none"/>
              </w:rPr>
              <w:t>0万t</w:t>
            </w:r>
            <w:r>
              <w:rPr>
                <w:rFonts w:hint="eastAsia" w:ascii="Times New Roman" w:hAnsi="Times New Roman"/>
                <w:color w:val="auto"/>
                <w:sz w:val="26"/>
                <w:szCs w:val="26"/>
                <w:highlight w:val="none"/>
                <w:lang w:val="en-US" w:eastAsia="zh-CN"/>
              </w:rPr>
              <w:t>建筑材料用石灰岩矿</w:t>
            </w:r>
            <w:r>
              <w:rPr>
                <w:rFonts w:hint="eastAsia" w:ascii="Times New Roman" w:hAnsi="Times New Roman"/>
                <w:color w:val="auto"/>
                <w:sz w:val="26"/>
                <w:szCs w:val="26"/>
                <w:highlight w:val="none"/>
              </w:rPr>
              <w:t>的建设项目，工艺流程如</w:t>
            </w:r>
            <w:r>
              <w:rPr>
                <w:rFonts w:hint="eastAsia" w:ascii="Times New Roman" w:hAnsi="Times New Roman"/>
                <w:color w:val="auto"/>
                <w:sz w:val="26"/>
                <w:szCs w:val="26"/>
                <w:highlight w:val="none"/>
                <w:lang w:val="en-US" w:eastAsia="zh-CN"/>
              </w:rPr>
              <w:t>下</w:t>
            </w:r>
            <w:r>
              <w:rPr>
                <w:rFonts w:hint="eastAsia"/>
                <w:color w:val="auto"/>
                <w:sz w:val="26"/>
                <w:szCs w:val="26"/>
                <w:highlight w:val="none"/>
                <w:lang w:eastAsia="zh-CN"/>
              </w:rPr>
              <w:t>：</w:t>
            </w:r>
          </w:p>
          <w:p w14:paraId="2CD0EA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6"/>
                <w:szCs w:val="26"/>
                <w:highlight w:val="none"/>
                <w:lang w:eastAsia="zh-CN"/>
              </w:rPr>
            </w:pPr>
            <w:r>
              <w:rPr>
                <w:rFonts w:hint="eastAsia" w:ascii="Times New Roman" w:hAnsi="Times New Roman" w:eastAsia="宋体"/>
                <w:color w:val="auto"/>
                <w:sz w:val="26"/>
                <w:szCs w:val="26"/>
                <w:highlight w:val="none"/>
                <w:lang w:eastAsia="zh-CN"/>
              </w:rPr>
              <w:drawing>
                <wp:inline distT="0" distB="0" distL="114300" distR="114300">
                  <wp:extent cx="5269230" cy="1133475"/>
                  <wp:effectExtent l="0" t="0" r="7620" b="9525"/>
                  <wp:docPr id="2" name="图片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
                          <pic:cNvPicPr>
                            <a:picLocks noChangeAspect="1"/>
                          </pic:cNvPicPr>
                        </pic:nvPicPr>
                        <pic:blipFill>
                          <a:blip r:embed="rId17"/>
                          <a:stretch>
                            <a:fillRect/>
                          </a:stretch>
                        </pic:blipFill>
                        <pic:spPr>
                          <a:xfrm>
                            <a:off x="0" y="0"/>
                            <a:ext cx="5269230" cy="1133475"/>
                          </a:xfrm>
                          <a:prstGeom prst="rect">
                            <a:avLst/>
                          </a:prstGeom>
                        </pic:spPr>
                      </pic:pic>
                    </a:graphicData>
                  </a:graphic>
                </wp:inline>
              </w:drawing>
            </w:r>
          </w:p>
          <w:p w14:paraId="111FF996">
            <w:pPr>
              <w:pStyle w:val="2"/>
              <w:keepNext w:val="0"/>
              <w:keepLines w:val="0"/>
              <w:pageBreakBefore w:val="0"/>
              <w:widowControl w:val="0"/>
              <w:kinsoku/>
              <w:wordWrap/>
              <w:overflowPunct/>
              <w:topLinePunct w:val="0"/>
              <w:autoSpaceDE/>
              <w:autoSpaceDN/>
              <w:bidi w:val="0"/>
              <w:adjustRightInd/>
              <w:snapToGrid/>
              <w:spacing w:line="480" w:lineRule="exact"/>
              <w:ind w:firstLine="462" w:firstLineChars="200"/>
              <w:jc w:val="center"/>
              <w:textAlignment w:val="auto"/>
              <w:rPr>
                <w:rFonts w:hint="default" w:ascii="Times New Roman" w:hAnsi="Times New Roman" w:eastAsia="宋体"/>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图5-1项目施工期工艺流程及产污节点图</w:t>
            </w:r>
          </w:p>
          <w:p w14:paraId="3E62CDE1">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宋体"/>
                <w:color w:val="auto"/>
                <w:sz w:val="26"/>
                <w:szCs w:val="26"/>
                <w:highlight w:val="none"/>
                <w:lang w:val="en-US" w:eastAsia="zh-CN"/>
              </w:rPr>
            </w:pPr>
            <w:r>
              <w:rPr>
                <w:rFonts w:hint="default" w:ascii="Times New Roman" w:hAnsi="Times New Roman" w:eastAsia="宋体"/>
                <w:color w:val="auto"/>
                <w:sz w:val="26"/>
                <w:szCs w:val="26"/>
                <w:highlight w:val="none"/>
                <w:lang w:val="en-US" w:eastAsia="zh-CN"/>
              </w:rPr>
              <w:t>二、营运期工艺流程及简述:</w:t>
            </w:r>
          </w:p>
          <w:p w14:paraId="21238D0C">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lang w:val="en-US" w:eastAsia="zh-CN"/>
              </w:rPr>
              <w:t>（1）</w:t>
            </w:r>
            <w:r>
              <w:rPr>
                <w:rFonts w:hint="default" w:ascii="Times New Roman" w:hAnsi="Times New Roman" w:eastAsia="宋体"/>
                <w:color w:val="auto"/>
                <w:sz w:val="26"/>
                <w:szCs w:val="26"/>
                <w:highlight w:val="none"/>
                <w:lang w:val="en-US" w:eastAsia="zh-CN"/>
              </w:rPr>
              <w:t>矿山采用台阶式露天开采，挖机剥离开采和人工直接开采的方式，</w:t>
            </w:r>
            <w:r>
              <w:rPr>
                <w:rFonts w:hint="eastAsia" w:ascii="Times New Roman" w:hAnsi="Times New Roman"/>
                <w:color w:val="auto"/>
                <w:sz w:val="26"/>
                <w:szCs w:val="26"/>
                <w:highlight w:val="none"/>
                <w:lang w:val="en-US" w:eastAsia="zh-CN"/>
              </w:rPr>
              <w:t>产品</w:t>
            </w:r>
            <w:r>
              <w:rPr>
                <w:rFonts w:hint="default" w:ascii="Times New Roman" w:hAnsi="Times New Roman" w:eastAsia="宋体"/>
                <w:color w:val="auto"/>
                <w:sz w:val="26"/>
                <w:szCs w:val="26"/>
                <w:highlight w:val="none"/>
                <w:lang w:val="en-US" w:eastAsia="zh-CN"/>
              </w:rPr>
              <w:t>为普通建筑石料。该矿在生产过程中将对资源进行综合利用。根据实际情况对生产中产生的各类石、砂等进行分类处理、分类销售，以提高资源利用率，提升矿山的经济效益。该类矿山采选矿工艺流程如图</w:t>
            </w:r>
            <w:r>
              <w:rPr>
                <w:rFonts w:hint="eastAsia" w:ascii="Times New Roman" w:hAnsi="Times New Roman"/>
                <w:color w:val="auto"/>
                <w:sz w:val="26"/>
                <w:szCs w:val="26"/>
                <w:highlight w:val="none"/>
                <w:lang w:val="en-US" w:eastAsia="zh-CN"/>
              </w:rPr>
              <w:t>：</w:t>
            </w:r>
          </w:p>
          <w:p w14:paraId="32EB1BE4">
            <w:pPr>
              <w:pStyle w:val="4"/>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Times New Roman" w:hAnsi="Times New Roman" w:eastAsia="宋体"/>
                <w:color w:val="auto"/>
                <w:sz w:val="26"/>
                <w:szCs w:val="26"/>
                <w:highlight w:val="none"/>
                <w:lang w:val="en-US" w:eastAsia="zh-CN"/>
              </w:rPr>
            </w:pPr>
            <w:r>
              <w:rPr>
                <w:rFonts w:hint="default" w:ascii="Times New Roman" w:hAnsi="Times New Roman" w:eastAsia="宋体"/>
                <w:color w:val="auto"/>
                <w:sz w:val="26"/>
                <w:szCs w:val="26"/>
                <w:highlight w:val="none"/>
                <w:lang w:val="en-US" w:eastAsia="zh-CN"/>
              </w:rPr>
              <w:drawing>
                <wp:inline distT="0" distB="0" distL="114300" distR="114300">
                  <wp:extent cx="4848225" cy="1825625"/>
                  <wp:effectExtent l="0" t="0" r="9525" b="3175"/>
                  <wp:docPr id="3" name="图片 3" descr="运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运营"/>
                          <pic:cNvPicPr>
                            <a:picLocks noChangeAspect="1"/>
                          </pic:cNvPicPr>
                        </pic:nvPicPr>
                        <pic:blipFill>
                          <a:blip r:embed="rId18"/>
                          <a:stretch>
                            <a:fillRect/>
                          </a:stretch>
                        </pic:blipFill>
                        <pic:spPr>
                          <a:xfrm>
                            <a:off x="0" y="0"/>
                            <a:ext cx="4848225" cy="1825625"/>
                          </a:xfrm>
                          <a:prstGeom prst="rect">
                            <a:avLst/>
                          </a:prstGeom>
                        </pic:spPr>
                      </pic:pic>
                    </a:graphicData>
                  </a:graphic>
                </wp:inline>
              </w:drawing>
            </w:r>
          </w:p>
          <w:p w14:paraId="295D84EA">
            <w:pPr>
              <w:pStyle w:val="2"/>
              <w:keepNext w:val="0"/>
              <w:keepLines w:val="0"/>
              <w:pageBreakBefore w:val="0"/>
              <w:widowControl w:val="0"/>
              <w:kinsoku/>
              <w:wordWrap/>
              <w:overflowPunct/>
              <w:topLinePunct w:val="0"/>
              <w:autoSpaceDE/>
              <w:autoSpaceDN/>
              <w:bidi w:val="0"/>
              <w:adjustRightInd/>
              <w:snapToGrid/>
              <w:spacing w:line="480" w:lineRule="exact"/>
              <w:ind w:firstLine="462" w:firstLineChars="200"/>
              <w:jc w:val="center"/>
              <w:textAlignment w:val="auto"/>
              <w:rPr>
                <w:rFonts w:hint="default" w:ascii="Times New Roman" w:hAnsi="Times New Roman" w:eastAsia="宋体"/>
                <w:b/>
                <w:bCs/>
                <w:color w:val="auto"/>
                <w:sz w:val="21"/>
                <w:szCs w:val="21"/>
                <w:highlight w:val="none"/>
                <w:lang w:val="en-US" w:eastAsia="zh-CN"/>
              </w:rPr>
            </w:pPr>
            <w:r>
              <w:rPr>
                <w:rFonts w:hint="eastAsia" w:ascii="Times New Roman" w:hAnsi="Times New Roman"/>
                <w:b/>
                <w:bCs/>
                <w:color w:val="auto"/>
                <w:sz w:val="21"/>
                <w:szCs w:val="21"/>
                <w:highlight w:val="none"/>
                <w:lang w:val="en-US" w:eastAsia="zh-CN"/>
              </w:rPr>
              <w:t>图5-2项目运营期工艺流程及产污节点图</w:t>
            </w:r>
          </w:p>
          <w:p w14:paraId="7FED5CA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（2）破碎系统工艺流程</w:t>
            </w:r>
          </w:p>
          <w:p w14:paraId="37B8369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矿山开采块度≤600mm的矿石由汽车运输至破碎站破碎。破碎系统由破碎机、筛分机、料仓组成，工艺流程为：原矿经两段碎矿，一段破碎(400×600mm)后筛分，碎石经皮带输送到成品仓，不合格品进入下一段破碎；二段破碎(100×300mm)后筛分，分级后碎石、石粉由皮带机输送至成品料仓和石粉仓，工艺流程如图所示</w:t>
            </w:r>
            <w:r>
              <w:rPr>
                <w:rFonts w:hint="eastAsia" w:ascii="Times New Roman" w:hAnsi="Times New Roman"/>
                <w:color w:val="auto"/>
                <w:sz w:val="26"/>
                <w:szCs w:val="26"/>
                <w:highlight w:val="none"/>
                <w:lang w:eastAsia="zh-CN"/>
              </w:rPr>
              <w:t>：</w:t>
            </w:r>
          </w:p>
          <w:p w14:paraId="22200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6"/>
                <w:szCs w:val="26"/>
                <w:highlight w:val="none"/>
                <w:lang w:eastAsia="zh-CN"/>
              </w:rPr>
            </w:pPr>
            <w:r>
              <w:rPr>
                <w:rFonts w:hint="eastAsia" w:ascii="Times New Roman" w:hAnsi="Times New Roman" w:eastAsia="宋体"/>
                <w:color w:val="auto"/>
                <w:sz w:val="26"/>
                <w:szCs w:val="26"/>
                <w:highlight w:val="none"/>
                <w:lang w:eastAsia="zh-CN"/>
              </w:rPr>
              <w:drawing>
                <wp:inline distT="0" distB="0" distL="114300" distR="114300">
                  <wp:extent cx="5274310" cy="2211070"/>
                  <wp:effectExtent l="0" t="0" r="2540" b="1778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9"/>
                          <a:stretch>
                            <a:fillRect/>
                          </a:stretch>
                        </pic:blipFill>
                        <pic:spPr>
                          <a:xfrm>
                            <a:off x="0" y="0"/>
                            <a:ext cx="5274310" cy="2211070"/>
                          </a:xfrm>
                          <a:prstGeom prst="rect">
                            <a:avLst/>
                          </a:prstGeom>
                        </pic:spPr>
                      </pic:pic>
                    </a:graphicData>
                  </a:graphic>
                </wp:inline>
              </w:drawing>
            </w:r>
          </w:p>
          <w:p w14:paraId="00275FA6">
            <w:pPr>
              <w:pStyle w:val="2"/>
              <w:keepNext w:val="0"/>
              <w:keepLines w:val="0"/>
              <w:pageBreakBefore w:val="0"/>
              <w:widowControl w:val="0"/>
              <w:kinsoku/>
              <w:wordWrap/>
              <w:overflowPunct/>
              <w:topLinePunct w:val="0"/>
              <w:autoSpaceDE/>
              <w:autoSpaceDN/>
              <w:bidi w:val="0"/>
              <w:adjustRightInd/>
              <w:snapToGrid/>
              <w:spacing w:line="480" w:lineRule="exact"/>
              <w:ind w:firstLine="462" w:firstLineChars="200"/>
              <w:jc w:val="center"/>
              <w:textAlignment w:val="auto"/>
              <w:rPr>
                <w:rFonts w:hint="eastAsia" w:ascii="Times New Roman" w:hAnsi="Times New Roman"/>
                <w:color w:val="auto"/>
                <w:sz w:val="26"/>
                <w:szCs w:val="26"/>
                <w:highlight w:val="none"/>
              </w:rPr>
            </w:pPr>
            <w:r>
              <w:rPr>
                <w:rFonts w:hint="eastAsia" w:ascii="Times New Roman" w:hAnsi="Times New Roman"/>
                <w:b/>
                <w:bCs/>
                <w:color w:val="auto"/>
                <w:sz w:val="21"/>
                <w:szCs w:val="21"/>
                <w:highlight w:val="none"/>
                <w:lang w:val="en-US" w:eastAsia="zh-CN"/>
              </w:rPr>
              <w:t>图5-3项目破碎系统工艺流程图</w:t>
            </w:r>
          </w:p>
          <w:p w14:paraId="3BC4264C">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本项目主要建设石灰岩</w:t>
            </w:r>
            <w:r>
              <w:rPr>
                <w:rFonts w:hint="eastAsia"/>
                <w:color w:val="auto"/>
                <w:sz w:val="26"/>
                <w:szCs w:val="26"/>
                <w:highlight w:val="none"/>
                <w:lang w:val="en-US" w:eastAsia="zh-CN"/>
              </w:rPr>
              <w:t>破碎加工</w:t>
            </w:r>
            <w:r>
              <w:rPr>
                <w:rFonts w:hint="eastAsia" w:ascii="Times New Roman" w:hAnsi="Times New Roman"/>
                <w:color w:val="auto"/>
                <w:sz w:val="26"/>
                <w:szCs w:val="26"/>
                <w:highlight w:val="none"/>
              </w:rPr>
              <w:t>生产线，将石灰岩加工成</w:t>
            </w:r>
            <w:r>
              <w:rPr>
                <w:rFonts w:hint="eastAsia" w:ascii="Times New Roman" w:hAnsi="Times New Roman"/>
                <w:color w:val="auto"/>
                <w:sz w:val="26"/>
                <w:szCs w:val="26"/>
                <w:highlight w:val="none"/>
                <w:lang w:val="en-US" w:eastAsia="zh-CN"/>
              </w:rPr>
              <w:t>机砂</w:t>
            </w:r>
            <w:r>
              <w:rPr>
                <w:rFonts w:hint="eastAsia" w:ascii="Times New Roman" w:hAnsi="Times New Roman"/>
                <w:color w:val="auto"/>
                <w:sz w:val="26"/>
                <w:szCs w:val="26"/>
                <w:highlight w:val="none"/>
              </w:rPr>
              <w:t>、碎石和块石等。开采方法采用山坡式露天开采，工艺流程简述:</w:t>
            </w:r>
          </w:p>
          <w:p w14:paraId="686E26EB">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(1)表土剥离</w:t>
            </w:r>
          </w:p>
          <w:p w14:paraId="25BFC85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依据矿区地层描述，矿区范围内大部分石灰岩直接裸露地表，不需要剥离。</w:t>
            </w:r>
          </w:p>
          <w:p w14:paraId="75B4D66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(2)穿孔、爆破</w:t>
            </w:r>
          </w:p>
          <w:p w14:paraId="4386F4A8">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矿山采用KQD-80潜孔钻机凿岩，采用湿式凿岩，对局部边角地段矿岩采用浅孔设备辅助穿孔爆破。爆破采用2#岩石炸药，磁电雷管起爆</w:t>
            </w:r>
            <w:r>
              <w:rPr>
                <w:rFonts w:hint="eastAsia" w:ascii="Times New Roman" w:hAnsi="Times New Roman"/>
                <w:color w:val="auto"/>
                <w:sz w:val="26"/>
                <w:szCs w:val="26"/>
                <w:highlight w:val="none"/>
                <w:lang w:eastAsia="zh-CN"/>
              </w:rPr>
              <w:t>。</w:t>
            </w:r>
          </w:p>
          <w:p w14:paraId="64C1179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(3)开采方式</w:t>
            </w:r>
          </w:p>
          <w:p w14:paraId="5EB0CBBC">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开采方式为露天开采，开采从1190m台阶作为首采台阶开采，然后按1180m、1170m至1030m自上而下的顺序回采，台阶高度</w:t>
            </w:r>
            <w:r>
              <w:rPr>
                <w:rFonts w:hint="eastAsia" w:ascii="Times New Roman" w:hAnsi="Times New Roman"/>
                <w:color w:val="auto"/>
                <w:sz w:val="26"/>
                <w:szCs w:val="26"/>
                <w:highlight w:val="none"/>
                <w:lang w:val="en-US" w:eastAsia="zh-CN"/>
              </w:rPr>
              <w:t>10</w:t>
            </w:r>
            <w:r>
              <w:rPr>
                <w:rFonts w:hint="eastAsia" w:ascii="Times New Roman" w:hAnsi="Times New Roman"/>
                <w:color w:val="auto"/>
                <w:sz w:val="26"/>
                <w:szCs w:val="26"/>
                <w:highlight w:val="none"/>
              </w:rPr>
              <w:t>m。</w:t>
            </w:r>
          </w:p>
          <w:p w14:paraId="01022D9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(4)采装、堆放</w:t>
            </w:r>
          </w:p>
          <w:p w14:paraId="73F0BAF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爆破后采出的矿石经挖掘机和装载机装载后运往</w:t>
            </w:r>
            <w:r>
              <w:rPr>
                <w:rFonts w:hint="eastAsia"/>
                <w:color w:val="auto"/>
                <w:sz w:val="26"/>
                <w:szCs w:val="26"/>
                <w:highlight w:val="none"/>
                <w:lang w:val="en-US" w:eastAsia="zh-CN"/>
              </w:rPr>
              <w:t>破碎设备</w:t>
            </w:r>
            <w:r>
              <w:rPr>
                <w:rFonts w:hint="eastAsia" w:ascii="Times New Roman" w:hAnsi="Times New Roman"/>
                <w:color w:val="auto"/>
                <w:sz w:val="26"/>
                <w:szCs w:val="26"/>
                <w:highlight w:val="none"/>
              </w:rPr>
              <w:t>进行</w:t>
            </w:r>
            <w:r>
              <w:rPr>
                <w:rFonts w:hint="eastAsia"/>
                <w:color w:val="auto"/>
                <w:sz w:val="26"/>
                <w:szCs w:val="26"/>
                <w:highlight w:val="none"/>
                <w:lang w:val="en-US" w:eastAsia="zh-CN"/>
              </w:rPr>
              <w:t>破碎加工</w:t>
            </w:r>
            <w:r>
              <w:rPr>
                <w:rFonts w:hint="eastAsia" w:ascii="Times New Roman" w:hAnsi="Times New Roman"/>
                <w:color w:val="auto"/>
                <w:sz w:val="26"/>
                <w:szCs w:val="26"/>
                <w:highlight w:val="none"/>
              </w:rPr>
              <w:t>。</w:t>
            </w:r>
          </w:p>
          <w:p w14:paraId="081DB9E2">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(5)破碎、筛分及外运出售</w:t>
            </w:r>
          </w:p>
          <w:p w14:paraId="2C01CA8B">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石料由皮带运输机运至破碎机进行破碎、筛分后临时堆放于成品堆场外运出售。破碎后产品分为3个粒级，分别为</w:t>
            </w:r>
            <w:r>
              <w:rPr>
                <w:rFonts w:hint="eastAsia" w:ascii="Times New Roman" w:hAnsi="Times New Roman"/>
                <w:color w:val="auto"/>
                <w:sz w:val="26"/>
                <w:szCs w:val="26"/>
                <w:highlight w:val="none"/>
                <w:lang w:val="en-US" w:eastAsia="zh-CN"/>
              </w:rPr>
              <w:t>3</w:t>
            </w:r>
            <w:r>
              <w:rPr>
                <w:rFonts w:hint="eastAsia" w:ascii="Times New Roman" w:hAnsi="Times New Roman"/>
                <w:color w:val="auto"/>
                <w:sz w:val="26"/>
                <w:szCs w:val="26"/>
                <w:highlight w:val="none"/>
              </w:rPr>
              <w:t>0~</w:t>
            </w:r>
            <w:r>
              <w:rPr>
                <w:rFonts w:hint="eastAsia" w:ascii="Times New Roman" w:hAnsi="Times New Roman"/>
                <w:color w:val="auto"/>
                <w:sz w:val="26"/>
                <w:szCs w:val="26"/>
                <w:highlight w:val="none"/>
                <w:lang w:val="en-US" w:eastAsia="zh-CN"/>
              </w:rPr>
              <w:t>5</w:t>
            </w:r>
            <w:r>
              <w:rPr>
                <w:rFonts w:hint="eastAsia" w:ascii="Times New Roman" w:hAnsi="Times New Roman"/>
                <w:color w:val="auto"/>
                <w:sz w:val="26"/>
                <w:szCs w:val="26"/>
                <w:highlight w:val="none"/>
              </w:rPr>
              <w:t>0mm</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lang w:val="en-US" w:eastAsia="zh-CN"/>
              </w:rPr>
              <w:t>5</w:t>
            </w:r>
            <w:r>
              <w:rPr>
                <w:rFonts w:hint="eastAsia" w:ascii="Times New Roman" w:hAnsi="Times New Roman"/>
                <w:color w:val="auto"/>
                <w:sz w:val="26"/>
                <w:szCs w:val="26"/>
                <w:highlight w:val="none"/>
              </w:rPr>
              <w:t xml:space="preserve">~ </w:t>
            </w:r>
            <w:r>
              <w:rPr>
                <w:rFonts w:hint="eastAsia" w:ascii="Times New Roman" w:hAnsi="Times New Roman"/>
                <w:color w:val="auto"/>
                <w:sz w:val="26"/>
                <w:szCs w:val="26"/>
                <w:highlight w:val="none"/>
                <w:lang w:val="en-US" w:eastAsia="zh-CN"/>
              </w:rPr>
              <w:t>3</w:t>
            </w:r>
            <w:r>
              <w:rPr>
                <w:rFonts w:hint="eastAsia" w:ascii="Times New Roman" w:hAnsi="Times New Roman"/>
                <w:color w:val="auto"/>
                <w:sz w:val="26"/>
                <w:szCs w:val="26"/>
                <w:highlight w:val="none"/>
              </w:rPr>
              <w:t>0mm</w:t>
            </w:r>
            <w:r>
              <w:rPr>
                <w:rFonts w:hint="eastAsia" w:ascii="Times New Roman" w:hAnsi="Times New Roman"/>
                <w:color w:val="auto"/>
                <w:sz w:val="26"/>
                <w:szCs w:val="26"/>
                <w:highlight w:val="none"/>
                <w:lang w:eastAsia="zh-CN"/>
              </w:rPr>
              <w:t>，</w:t>
            </w:r>
            <w:r>
              <w:rPr>
                <w:rFonts w:hint="eastAsia" w:ascii="微软雅黑" w:hAnsi="微软雅黑" w:eastAsia="微软雅黑" w:cs="微软雅黑"/>
                <w:color w:val="auto"/>
                <w:sz w:val="26"/>
                <w:szCs w:val="26"/>
                <w:highlight w:val="none"/>
                <w:lang w:eastAsia="zh-CN"/>
              </w:rPr>
              <w:t>&lt;</w:t>
            </w:r>
            <w:r>
              <w:rPr>
                <w:rFonts w:hint="eastAsia" w:ascii="Times New Roman" w:hAnsi="Times New Roman"/>
                <w:color w:val="auto"/>
                <w:sz w:val="26"/>
                <w:szCs w:val="26"/>
                <w:highlight w:val="none"/>
                <w:lang w:val="en-US" w:eastAsia="zh-CN"/>
              </w:rPr>
              <w:t>5</w:t>
            </w:r>
            <w:r>
              <w:rPr>
                <w:rFonts w:hint="eastAsia" w:ascii="Times New Roman" w:hAnsi="Times New Roman"/>
                <w:color w:val="auto"/>
                <w:sz w:val="26"/>
                <w:szCs w:val="26"/>
                <w:highlight w:val="none"/>
              </w:rPr>
              <w:t>mm。</w:t>
            </w:r>
          </w:p>
          <w:p w14:paraId="7E71B0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b/>
                <w:color w:val="auto"/>
                <w:sz w:val="28"/>
                <w:szCs w:val="28"/>
                <w:highlight w:val="none"/>
              </w:rPr>
            </w:pPr>
            <w:r>
              <w:rPr>
                <w:b/>
                <w:color w:val="auto"/>
                <w:sz w:val="28"/>
                <w:szCs w:val="28"/>
                <w:highlight w:val="none"/>
              </w:rPr>
              <w:t>2、施工期污染源分析</w:t>
            </w:r>
          </w:p>
          <w:p w14:paraId="4C5D03B0">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lang w:val="en-US" w:eastAsia="zh-CN"/>
              </w:rPr>
              <w:t>1</w:t>
            </w: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rPr>
              <w:t>废气</w:t>
            </w:r>
          </w:p>
          <w:p w14:paraId="278A90B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stheme="minorBidi"/>
                <w:snapToGrid/>
                <w:color w:val="auto"/>
                <w:kern w:val="2"/>
                <w:sz w:val="26"/>
                <w:szCs w:val="26"/>
                <w:highlight w:val="none"/>
                <w:lang w:val="en-US" w:eastAsia="zh-CN" w:bidi="ar-SA"/>
              </w:rPr>
            </w:pPr>
            <w:r>
              <w:rPr>
                <w:rFonts w:hint="eastAsia" w:ascii="宋体" w:hAnsi="宋体" w:eastAsia="宋体" w:cs="宋体"/>
                <w:snapToGrid/>
                <w:color w:val="auto"/>
                <w:kern w:val="2"/>
                <w:sz w:val="26"/>
                <w:szCs w:val="26"/>
                <w:highlight w:val="none"/>
                <w:lang w:val="en-US" w:eastAsia="zh-CN" w:bidi="ar-SA"/>
              </w:rPr>
              <w:t>①</w:t>
            </w:r>
            <w:r>
              <w:rPr>
                <w:rFonts w:hint="eastAsia" w:ascii="Times New Roman" w:hAnsi="Times New Roman" w:eastAsia="宋体" w:cstheme="minorBidi"/>
                <w:snapToGrid/>
                <w:color w:val="auto"/>
                <w:kern w:val="2"/>
                <w:sz w:val="26"/>
                <w:szCs w:val="26"/>
                <w:highlight w:val="none"/>
                <w:lang w:val="en-US" w:eastAsia="zh-CN" w:bidi="ar-SA"/>
              </w:rPr>
              <w:t>扬尘：本项目施工期的大气污染物主要是扬尘。本项目施工期扬尘主要为土地平整、建筑物基础开挖、地基处理施工过程开挖的土方堆放造成；水泥、砂石、混凝土、土石方等如运输、装卸、仓库储存方式不当，也可能产生扬尘。评价要求施工方必须做好扬尘防护工作，工地不准裸露野蛮施工，在风速大于4m/s时应停止挖、填土方作业；在连续晴天、起风的情况下，对弃土表面洒水；土石方运输过程中会产生一定的扬尘，运输车辆必须加盖遮布，防止运输过程中洒落，减轻对沿线环境空气的影响；施工工地应做到工地封闭作业，减少裸露地面，防止运输撒落物料、及时清理工地、维护四周环境卫生等。</w:t>
            </w:r>
          </w:p>
          <w:p w14:paraId="1C8A1636">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stheme="minorBidi"/>
                <w:snapToGrid/>
                <w:color w:val="auto"/>
                <w:kern w:val="2"/>
                <w:sz w:val="26"/>
                <w:szCs w:val="26"/>
                <w:highlight w:val="none"/>
                <w:lang w:val="en-US" w:eastAsia="zh-CN" w:bidi="ar-SA"/>
              </w:rPr>
            </w:pPr>
            <w:r>
              <w:rPr>
                <w:rFonts w:hint="eastAsia" w:ascii="宋体" w:hAnsi="宋体" w:eastAsia="宋体" w:cs="宋体"/>
                <w:snapToGrid/>
                <w:color w:val="auto"/>
                <w:kern w:val="2"/>
                <w:sz w:val="26"/>
                <w:szCs w:val="26"/>
                <w:highlight w:val="none"/>
                <w:lang w:val="en-US" w:eastAsia="zh-CN" w:bidi="ar-SA"/>
              </w:rPr>
              <w:t>②</w:t>
            </w:r>
            <w:r>
              <w:rPr>
                <w:rFonts w:hint="eastAsia" w:ascii="Times New Roman" w:hAnsi="Times New Roman" w:eastAsia="宋体" w:cstheme="minorBidi"/>
                <w:snapToGrid/>
                <w:color w:val="auto"/>
                <w:kern w:val="2"/>
                <w:sz w:val="26"/>
                <w:szCs w:val="26"/>
                <w:highlight w:val="none"/>
                <w:lang w:val="en-US" w:eastAsia="zh-CN" w:bidi="ar-SA"/>
              </w:rPr>
              <w:t>尾气：施工期间车辆运输建筑原材料、施工设备等均会产生尾气，主要污染物为CO、NO</w:t>
            </w:r>
            <w:r>
              <w:rPr>
                <w:rFonts w:hint="eastAsia" w:ascii="Times New Roman" w:hAnsi="Times New Roman" w:eastAsia="宋体" w:cstheme="minorBidi"/>
                <w:snapToGrid/>
                <w:color w:val="auto"/>
                <w:kern w:val="2"/>
                <w:sz w:val="26"/>
                <w:szCs w:val="26"/>
                <w:highlight w:val="none"/>
                <w:vertAlign w:val="subscript"/>
                <w:lang w:val="en-US" w:eastAsia="zh-CN" w:bidi="ar-SA"/>
              </w:rPr>
              <w:t>X</w:t>
            </w:r>
            <w:r>
              <w:rPr>
                <w:rFonts w:hint="eastAsia" w:ascii="Times New Roman" w:hAnsi="Times New Roman" w:eastAsia="宋体" w:cstheme="minorBidi"/>
                <w:snapToGrid/>
                <w:color w:val="auto"/>
                <w:kern w:val="2"/>
                <w:sz w:val="26"/>
                <w:szCs w:val="26"/>
                <w:highlight w:val="none"/>
                <w:lang w:val="en-US" w:eastAsia="zh-CN" w:bidi="ar-SA"/>
              </w:rPr>
              <w:t>。</w:t>
            </w:r>
            <w:r>
              <w:rPr>
                <w:rFonts w:hint="eastAsia" w:ascii="Times New Roman" w:hAnsi="Times New Roman"/>
                <w:color w:val="auto"/>
                <w:sz w:val="26"/>
                <w:szCs w:val="26"/>
                <w:highlight w:val="none"/>
              </w:rPr>
              <w:t>污染物均为无组织排放，施工期短，排放量不大。</w:t>
            </w:r>
          </w:p>
          <w:p w14:paraId="2BF7FE07">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lang w:val="en-US" w:eastAsia="zh-CN"/>
              </w:rPr>
              <w:t>2</w:t>
            </w: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rPr>
              <w:t>废水</w:t>
            </w:r>
          </w:p>
          <w:p w14:paraId="2813069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①</w:t>
            </w:r>
            <w:r>
              <w:rPr>
                <w:rFonts w:hint="eastAsia" w:ascii="Times New Roman" w:hAnsi="Times New Roman"/>
                <w:color w:val="auto"/>
                <w:sz w:val="26"/>
                <w:szCs w:val="26"/>
                <w:highlight w:val="none"/>
              </w:rPr>
              <w:t>施工污水</w:t>
            </w:r>
          </w:p>
          <w:p w14:paraId="07A5D78B">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 xml:space="preserve">本项目施工期对施工废水的影响主要来自以下几个方面：①车辆及施工机械冲洗废水；②施工机械跑、冒、滴、漏的油污及露天机械被雨水冲刷后产生的油污染；③裸露地表、表土、堆放的建筑材料被雨水冲刷形成的泥浆水进入周边水体造成的污染。 </w:t>
            </w:r>
          </w:p>
          <w:p w14:paraId="6E26F8AC">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 xml:space="preserve">施工废水经临时截排水沟及施工废水临时沉淀池，沉淀后作为项目晴天的洒水抑尘用水，不外排。 </w:t>
            </w:r>
          </w:p>
          <w:p w14:paraId="7A1358CE">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 xml:space="preserve">本项目禁止将未进行沉淀处理的废水随意乱排，以免对周边地表水体造成影响。在采取合理的施工方式、并建设施工废水临时沉淀池对施工废水进行处理后全部回用，该部分废水对地表水体影响较小。 </w:t>
            </w:r>
          </w:p>
          <w:p w14:paraId="42BEA12E">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②</w:t>
            </w:r>
            <w:r>
              <w:rPr>
                <w:rFonts w:hint="eastAsia" w:ascii="Times New Roman" w:hAnsi="Times New Roman"/>
                <w:color w:val="auto"/>
                <w:sz w:val="26"/>
                <w:szCs w:val="26"/>
                <w:highlight w:val="none"/>
              </w:rPr>
              <w:t>生活污水</w:t>
            </w:r>
          </w:p>
          <w:p w14:paraId="20F7879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本项目施工期施工场地平均施工人员约有</w:t>
            </w:r>
            <w:r>
              <w:rPr>
                <w:rFonts w:hint="eastAsia" w:ascii="Times New Roman" w:hAnsi="Times New Roman"/>
                <w:color w:val="auto"/>
                <w:sz w:val="26"/>
                <w:szCs w:val="26"/>
                <w:highlight w:val="none"/>
                <w:lang w:val="en-US" w:eastAsia="zh-CN"/>
              </w:rPr>
              <w:t>15</w:t>
            </w:r>
            <w:r>
              <w:rPr>
                <w:rFonts w:hint="eastAsia" w:ascii="Times New Roman" w:hAnsi="Times New Roman"/>
                <w:color w:val="auto"/>
                <w:sz w:val="26"/>
                <w:szCs w:val="26"/>
                <w:highlight w:val="none"/>
              </w:rPr>
              <w:t>人，</w:t>
            </w:r>
            <w:r>
              <w:rPr>
                <w:rFonts w:hint="eastAsia" w:ascii="Times New Roman" w:hAnsi="Times New Roman"/>
                <w:color w:val="auto"/>
                <w:sz w:val="26"/>
                <w:szCs w:val="26"/>
                <w:highlight w:val="none"/>
                <w:lang w:val="en-US" w:eastAsia="zh-CN"/>
              </w:rPr>
              <w:t>施工人员均为周边村民，不在内食宿，</w:t>
            </w:r>
            <w:r>
              <w:rPr>
                <w:rFonts w:hint="eastAsia" w:ascii="Times New Roman" w:hAnsi="Times New Roman"/>
                <w:color w:val="auto"/>
                <w:sz w:val="26"/>
                <w:szCs w:val="26"/>
                <w:highlight w:val="none"/>
              </w:rPr>
              <w:t>则施工生活废水主要为洗手废水，用水量按10L/人·d计，则施工生活用水量为0.</w:t>
            </w:r>
            <w:r>
              <w:rPr>
                <w:rFonts w:hint="eastAsia" w:ascii="Times New Roman" w:hAnsi="Times New Roman"/>
                <w:color w:val="auto"/>
                <w:sz w:val="26"/>
                <w:szCs w:val="26"/>
                <w:highlight w:val="none"/>
                <w:lang w:val="en-US" w:eastAsia="zh-CN"/>
              </w:rPr>
              <w:t>15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/d，其产生的污水量按其用水量的80%计，即产生的污水量为</w:t>
            </w:r>
            <w:r>
              <w:rPr>
                <w:rFonts w:hint="eastAsia" w:ascii="Times New Roman" w:hAnsi="Times New Roman"/>
                <w:color w:val="auto"/>
                <w:sz w:val="26"/>
                <w:szCs w:val="26"/>
                <w:highlight w:val="none"/>
                <w:lang w:val="en-US" w:eastAsia="zh-CN"/>
              </w:rPr>
              <w:t>0.12</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/d，施工期为</w:t>
            </w:r>
            <w:r>
              <w:rPr>
                <w:rFonts w:hint="eastAsia" w:ascii="Times New Roman" w:hAnsi="Times New Roman"/>
                <w:color w:val="auto"/>
                <w:sz w:val="26"/>
                <w:szCs w:val="26"/>
                <w:highlight w:val="none"/>
                <w:lang w:val="en-US" w:eastAsia="zh-CN"/>
              </w:rPr>
              <w:t>6</w:t>
            </w:r>
            <w:r>
              <w:rPr>
                <w:rFonts w:hint="eastAsia" w:ascii="Times New Roman" w:hAnsi="Times New Roman"/>
                <w:color w:val="auto"/>
                <w:sz w:val="26"/>
                <w:szCs w:val="26"/>
                <w:highlight w:val="none"/>
              </w:rPr>
              <w:t>个月，总的废水量为</w:t>
            </w:r>
            <w:r>
              <w:rPr>
                <w:rFonts w:hint="eastAsia" w:ascii="Times New Roman" w:hAnsi="Times New Roman"/>
                <w:color w:val="auto"/>
                <w:sz w:val="26"/>
                <w:szCs w:val="26"/>
                <w:highlight w:val="none"/>
                <w:lang w:val="en-US" w:eastAsia="zh-CN"/>
              </w:rPr>
              <w:t>21.6</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（按1</w:t>
            </w:r>
            <w:r>
              <w:rPr>
                <w:rFonts w:hint="eastAsia" w:ascii="Times New Roman" w:hAnsi="Times New Roman"/>
                <w:color w:val="auto"/>
                <w:sz w:val="26"/>
                <w:szCs w:val="26"/>
                <w:highlight w:val="none"/>
                <w:lang w:val="en-US" w:eastAsia="zh-CN"/>
              </w:rPr>
              <w:t>8</w:t>
            </w:r>
            <w:r>
              <w:rPr>
                <w:rFonts w:hint="eastAsia" w:ascii="Times New Roman" w:hAnsi="Times New Roman"/>
                <w:color w:val="auto"/>
                <w:sz w:val="26"/>
                <w:szCs w:val="26"/>
                <w:highlight w:val="none"/>
              </w:rPr>
              <w:t>0天计），均排入临时沉淀池进行处理后回用场地洒水降尘，不外排。</w:t>
            </w:r>
          </w:p>
          <w:p w14:paraId="0713409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③</w:t>
            </w:r>
            <w:r>
              <w:rPr>
                <w:rFonts w:hint="eastAsia" w:ascii="Times New Roman" w:hAnsi="Times New Roman"/>
                <w:color w:val="auto"/>
                <w:sz w:val="26"/>
                <w:szCs w:val="26"/>
                <w:highlight w:val="none"/>
              </w:rPr>
              <w:t>施工雨天地表径流</w:t>
            </w:r>
          </w:p>
          <w:p w14:paraId="67A49C4C">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施工场地不可避免的会遭遇雨水的冲刷，使得施工场地成为一定面源污染源。项目雨季施工过程，路面雨水经截排水沟进行导流，收集进入临时沉淀池暂存，沉淀池处理后非雨天回用于施工及洒水降尘，不外排，对地表水体的影响较小。</w:t>
            </w:r>
          </w:p>
          <w:p w14:paraId="4FBC0FC2">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lang w:val="en-US" w:eastAsia="zh-CN"/>
              </w:rPr>
              <w:t>3</w:t>
            </w: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rPr>
              <w:t>噪声</w:t>
            </w:r>
          </w:p>
          <w:p w14:paraId="06CFE894">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施工期间，由于使用挖掘机、推土机、电锯、电钻等施工机械以及施工材料运输车辆，将会产生一定的噪声污染。挖掘机、推土机噪声源强约为90dB (A)</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电锯、电钻等施工机械的噪声源强达到95dB (A)以上</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大型施工运输车辆的噪声源强度也超过90dB (A)。施工噪声的特点是突发性和间歇性。</w:t>
            </w:r>
          </w:p>
          <w:p w14:paraId="4F1B2D73">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lang w:val="en-US" w:eastAsia="zh-CN"/>
              </w:rPr>
              <w:t>4</w:t>
            </w: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rPr>
              <w:t>固体废弃物</w:t>
            </w:r>
          </w:p>
          <w:p w14:paraId="4A99B5D2">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ascii="Times New Roman" w:hAnsi="Times New Roman"/>
                <w:color w:val="auto"/>
                <w:sz w:val="26"/>
                <w:szCs w:val="26"/>
                <w:highlight w:val="none"/>
                <w:lang w:val="en-US" w:eastAsia="zh-CN"/>
              </w:rPr>
            </w:pPr>
            <w:r>
              <w:rPr>
                <w:rFonts w:hint="eastAsia" w:ascii="宋体" w:hAnsi="宋体" w:eastAsia="宋体" w:cs="宋体"/>
                <w:color w:val="auto"/>
                <w:sz w:val="26"/>
                <w:szCs w:val="26"/>
                <w:highlight w:val="none"/>
                <w:lang w:val="en-US" w:eastAsia="zh-CN"/>
              </w:rPr>
              <w:t>①</w:t>
            </w:r>
            <w:r>
              <w:rPr>
                <w:rFonts w:hint="eastAsia" w:ascii="Times New Roman" w:hAnsi="Times New Roman"/>
                <w:color w:val="auto"/>
                <w:sz w:val="26"/>
                <w:szCs w:val="26"/>
                <w:highlight w:val="none"/>
                <w:lang w:val="en-US" w:eastAsia="zh-CN"/>
              </w:rPr>
              <w:t>据《云南省昆明市东川区排子田普通建筑材料用石灰岩矿矿产资源开发利用方案》及现场踏勘可知，本项目地势西高东低，北侧目前厂区内地表均为砂石料，待小江砂场将堆放的砂石料清运后，场地平整开挖土石方量不大，剥离出的表土用于项目区北侧及东侧填平，可做到挖填平衡，无外弃土石方。</w:t>
            </w:r>
          </w:p>
          <w:p w14:paraId="0473076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lang w:val="en-US" w:eastAsia="zh-CN"/>
              </w:rPr>
              <w:t>②</w:t>
            </w:r>
            <w:r>
              <w:rPr>
                <w:rFonts w:hint="eastAsia" w:ascii="Times New Roman" w:hAnsi="Times New Roman"/>
                <w:color w:val="auto"/>
                <w:sz w:val="26"/>
                <w:szCs w:val="26"/>
                <w:highlight w:val="none"/>
                <w:lang w:val="en-US" w:eastAsia="zh-CN"/>
              </w:rPr>
              <w:t>本项目生活区已建设完成，本次施工期废弃材料主要为机械安装废弃材料</w:t>
            </w:r>
            <w:r>
              <w:rPr>
                <w:rFonts w:hint="eastAsia"/>
                <w:color w:val="auto"/>
                <w:sz w:val="26"/>
                <w:szCs w:val="26"/>
                <w:highlight w:val="none"/>
                <w:lang w:val="en-US" w:eastAsia="zh-CN"/>
              </w:rPr>
              <w:t>，</w:t>
            </w:r>
            <w:r>
              <w:rPr>
                <w:rFonts w:hint="eastAsia" w:ascii="Times New Roman" w:hAnsi="Times New Roman"/>
                <w:color w:val="auto"/>
                <w:sz w:val="26"/>
                <w:szCs w:val="26"/>
                <w:highlight w:val="none"/>
              </w:rPr>
              <w:t>项目施工产生的</w:t>
            </w:r>
            <w:r>
              <w:rPr>
                <w:rFonts w:hint="eastAsia" w:ascii="Times New Roman" w:hAnsi="Times New Roman"/>
                <w:color w:val="auto"/>
                <w:sz w:val="26"/>
                <w:szCs w:val="26"/>
                <w:highlight w:val="none"/>
                <w:lang w:val="en-US" w:eastAsia="zh-CN"/>
              </w:rPr>
              <w:t>废</w:t>
            </w:r>
            <w:r>
              <w:rPr>
                <w:rFonts w:hint="eastAsia" w:ascii="Times New Roman" w:hAnsi="Times New Roman"/>
                <w:color w:val="auto"/>
                <w:sz w:val="26"/>
                <w:szCs w:val="26"/>
                <w:highlight w:val="none"/>
              </w:rPr>
              <w:t>弃建筑材料采用分类清理、及时处置，如钢材和塑料等，可回收利用的回收利用，对不可回收的建筑垃圾集中收集后按照相关部门要求进行处置。</w:t>
            </w:r>
          </w:p>
          <w:p w14:paraId="5C6640D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lang w:val="en-US" w:eastAsia="zh-CN"/>
              </w:rPr>
              <w:t>③</w:t>
            </w:r>
            <w:r>
              <w:rPr>
                <w:rFonts w:hint="eastAsia" w:ascii="Times New Roman" w:hAnsi="Times New Roman"/>
                <w:color w:val="auto"/>
                <w:sz w:val="26"/>
                <w:szCs w:val="26"/>
                <w:highlight w:val="none"/>
              </w:rPr>
              <w:t>施工期间，施工人员约有</w:t>
            </w:r>
            <w:r>
              <w:rPr>
                <w:rFonts w:hint="eastAsia" w:ascii="Times New Roman" w:hAnsi="Times New Roman"/>
                <w:color w:val="auto"/>
                <w:sz w:val="26"/>
                <w:szCs w:val="26"/>
                <w:highlight w:val="none"/>
                <w:lang w:val="en-US" w:eastAsia="zh-CN"/>
              </w:rPr>
              <w:t>15</w:t>
            </w:r>
            <w:r>
              <w:rPr>
                <w:rFonts w:hint="eastAsia" w:ascii="Times New Roman" w:hAnsi="Times New Roman"/>
                <w:color w:val="auto"/>
                <w:sz w:val="26"/>
                <w:szCs w:val="26"/>
                <w:highlight w:val="none"/>
              </w:rPr>
              <w:t>人，每人每天产生生活垃圾0.2kg/d</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每天共计3kg，</w:t>
            </w:r>
            <w:r>
              <w:rPr>
                <w:rFonts w:hint="eastAsia"/>
                <w:color w:val="auto"/>
                <w:sz w:val="26"/>
                <w:szCs w:val="26"/>
                <w:highlight w:val="none"/>
                <w:lang w:val="en-US" w:eastAsia="zh-CN"/>
              </w:rPr>
              <w:t>施工期间共产生生活垃圾量为0.54t，</w:t>
            </w:r>
            <w:r>
              <w:rPr>
                <w:rFonts w:hint="eastAsia" w:ascii="Times New Roman" w:hAnsi="Times New Roman"/>
                <w:color w:val="auto"/>
                <w:sz w:val="26"/>
                <w:szCs w:val="26"/>
                <w:highlight w:val="none"/>
              </w:rPr>
              <w:t>生活垃圾集中收集，</w:t>
            </w:r>
            <w:r>
              <w:rPr>
                <w:rFonts w:hint="eastAsia" w:ascii="Times New Roman" w:hAnsi="Times New Roman"/>
                <w:color w:val="auto"/>
                <w:sz w:val="26"/>
                <w:szCs w:val="26"/>
                <w:highlight w:val="none"/>
                <w:lang w:val="en-US" w:eastAsia="zh-CN"/>
              </w:rPr>
              <w:t>定期清运至环卫部门指定地点</w:t>
            </w:r>
            <w:r>
              <w:rPr>
                <w:rFonts w:hint="eastAsia" w:ascii="Times New Roman" w:hAnsi="Times New Roman"/>
                <w:color w:val="auto"/>
                <w:sz w:val="26"/>
                <w:szCs w:val="26"/>
                <w:highlight w:val="none"/>
              </w:rPr>
              <w:t>。</w:t>
            </w:r>
          </w:p>
          <w:p w14:paraId="6AF74366">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lang w:val="en-US" w:eastAsia="zh-CN"/>
              </w:rPr>
              <w:t>5</w:t>
            </w:r>
            <w:r>
              <w:rPr>
                <w:rFonts w:hint="eastAsia" w:ascii="Times New Roman" w:hAnsi="Times New Roman"/>
                <w:b/>
                <w:bCs/>
                <w:color w:val="auto"/>
                <w:sz w:val="26"/>
                <w:szCs w:val="26"/>
                <w:highlight w:val="none"/>
                <w:lang w:eastAsia="zh-CN"/>
              </w:rPr>
              <w:t>）</w:t>
            </w:r>
            <w:r>
              <w:rPr>
                <w:rFonts w:hint="eastAsia" w:ascii="Times New Roman" w:hAnsi="Times New Roman"/>
                <w:b/>
                <w:bCs/>
                <w:color w:val="auto"/>
                <w:sz w:val="26"/>
                <w:szCs w:val="26"/>
                <w:highlight w:val="none"/>
              </w:rPr>
              <w:t>水土流失</w:t>
            </w:r>
          </w:p>
          <w:p w14:paraId="530E8F92">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工程建设期是损坏原地貌植被的集中时期，生产运行期主要生产活动以开挖土石方为主，并不断排放弃土石渣。项目用地及影响范围内原地貌植被所具有的水土保持功能迅速降低或丧失，并为水土流失的发生、发展提供了丰富的松散堆积物，水土流失强度急剧增加。</w:t>
            </w:r>
          </w:p>
          <w:p w14:paraId="020E5B94">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项目建设过程中主要是各场地建设对地表的扰动造成的水土流失，主要有以下两个方面</w:t>
            </w:r>
            <w:r>
              <w:rPr>
                <w:rFonts w:hint="eastAsia"/>
                <w:color w:val="auto"/>
                <w:sz w:val="26"/>
                <w:szCs w:val="26"/>
                <w:highlight w:val="none"/>
                <w:lang w:eastAsia="zh-CN"/>
              </w:rPr>
              <w:t>：</w:t>
            </w:r>
            <w:r>
              <w:rPr>
                <w:rFonts w:hint="eastAsia" w:ascii="Times New Roman" w:hAnsi="Times New Roman"/>
                <w:color w:val="auto"/>
                <w:sz w:val="26"/>
                <w:szCs w:val="26"/>
                <w:highlight w:val="none"/>
              </w:rPr>
              <w:t xml:space="preserve"> </w:t>
            </w:r>
          </w:p>
          <w:p w14:paraId="190C24C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①工程建设期间，生产场区建设、道路区修建均有一定量的土石方工程。场地在平整活动中，改变了原地貌形态和地表土层结构，同时损坏了植被层，产生大量的裸露地面和疏松土体，使土壤抗蚀抗冲能力下降。</w:t>
            </w:r>
          </w:p>
          <w:p w14:paraId="4D3266B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②根据土石方平衡分析，建设期间产生的土石方量在场地内部以挖填平衡，工程建设期间无弃渣产生，不存在弃渣产生水土流失的情况。</w:t>
            </w:r>
          </w:p>
          <w:p w14:paraId="7985BDD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③</w:t>
            </w:r>
            <w:r>
              <w:rPr>
                <w:rFonts w:hint="eastAsia" w:ascii="Times New Roman" w:hAnsi="Times New Roman"/>
                <w:color w:val="auto"/>
                <w:sz w:val="26"/>
                <w:szCs w:val="26"/>
                <w:highlight w:val="none"/>
              </w:rPr>
              <w:t>施工期间，基础开挖将扰动地表，在降雨季节，地表土壤将受到冲刷，建设过程中扰动地表造成的水土流失。</w:t>
            </w:r>
          </w:p>
          <w:p w14:paraId="13BA656E">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textAlignment w:val="auto"/>
              <w:rPr>
                <w:b/>
                <w:color w:val="auto"/>
                <w:sz w:val="28"/>
                <w:szCs w:val="28"/>
                <w:highlight w:val="none"/>
              </w:rPr>
            </w:pPr>
            <w:r>
              <w:rPr>
                <w:rFonts w:hint="eastAsia"/>
                <w:b/>
                <w:color w:val="auto"/>
                <w:sz w:val="28"/>
                <w:szCs w:val="28"/>
                <w:highlight w:val="none"/>
                <w:lang w:val="en-US" w:eastAsia="zh-CN"/>
              </w:rPr>
              <w:t>3</w:t>
            </w:r>
            <w:r>
              <w:rPr>
                <w:b/>
                <w:color w:val="auto"/>
                <w:sz w:val="28"/>
                <w:szCs w:val="28"/>
                <w:highlight w:val="none"/>
              </w:rPr>
              <w:t>、</w:t>
            </w:r>
            <w:r>
              <w:rPr>
                <w:rFonts w:hint="eastAsia"/>
                <w:b/>
                <w:color w:val="auto"/>
                <w:sz w:val="28"/>
                <w:szCs w:val="28"/>
                <w:highlight w:val="none"/>
                <w:lang w:val="en-US" w:eastAsia="zh-CN"/>
              </w:rPr>
              <w:t>运营期</w:t>
            </w:r>
            <w:r>
              <w:rPr>
                <w:b/>
                <w:color w:val="auto"/>
                <w:sz w:val="28"/>
                <w:szCs w:val="28"/>
                <w:highlight w:val="none"/>
              </w:rPr>
              <w:t>污染源分析</w:t>
            </w:r>
          </w:p>
          <w:p w14:paraId="3F76347B">
            <w:pPr>
              <w:keepNext w:val="0"/>
              <w:keepLines w:val="0"/>
              <w:pageBreakBefore w:val="0"/>
              <w:widowControl w:val="0"/>
              <w:kinsoku/>
              <w:wordWrap/>
              <w:overflowPunct/>
              <w:topLinePunct w:val="0"/>
              <w:autoSpaceDE/>
              <w:autoSpaceDN/>
              <w:bidi w:val="0"/>
              <w:adjustRightInd/>
              <w:snapToGrid/>
              <w:spacing w:line="480" w:lineRule="exact"/>
              <w:ind w:firstLine="522" w:firstLineChars="200"/>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rPr>
              <w:t>(1)废气</w:t>
            </w:r>
          </w:p>
          <w:p w14:paraId="7566BEA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矿山采矿流程为：工作面钻机钻孔—中深孔爆破—液压挖掘机铲装—矿用自卸汽车运输—</w:t>
            </w:r>
            <w:r>
              <w:rPr>
                <w:rFonts w:hint="eastAsia"/>
                <w:color w:val="auto"/>
                <w:sz w:val="26"/>
                <w:szCs w:val="26"/>
                <w:highlight w:val="none"/>
                <w:lang w:val="en-US" w:eastAsia="zh-CN"/>
              </w:rPr>
              <w:t>矿石</w:t>
            </w:r>
            <w:r>
              <w:rPr>
                <w:rFonts w:hint="eastAsia" w:ascii="Times New Roman" w:hAnsi="Times New Roman"/>
                <w:color w:val="auto"/>
                <w:sz w:val="26"/>
                <w:szCs w:val="26"/>
                <w:highlight w:val="none"/>
              </w:rPr>
              <w:t>破碎</w:t>
            </w:r>
            <w:r>
              <w:rPr>
                <w:rFonts w:hint="eastAsia"/>
                <w:color w:val="auto"/>
                <w:sz w:val="26"/>
                <w:szCs w:val="26"/>
                <w:highlight w:val="none"/>
                <w:lang w:val="en-US" w:eastAsia="zh-CN"/>
              </w:rPr>
              <w:t>加工</w:t>
            </w:r>
            <w:r>
              <w:rPr>
                <w:rFonts w:hint="eastAsia" w:ascii="Times New Roman" w:hAnsi="Times New Roman"/>
                <w:color w:val="auto"/>
                <w:sz w:val="26"/>
                <w:szCs w:val="26"/>
                <w:highlight w:val="none"/>
              </w:rPr>
              <w:t>—</w:t>
            </w:r>
            <w:r>
              <w:rPr>
                <w:rFonts w:hint="eastAsia"/>
                <w:color w:val="auto"/>
                <w:sz w:val="26"/>
                <w:szCs w:val="26"/>
                <w:highlight w:val="none"/>
                <w:lang w:val="en-US" w:eastAsia="zh-CN"/>
              </w:rPr>
              <w:t>成品</w:t>
            </w:r>
            <w:r>
              <w:rPr>
                <w:rFonts w:hint="eastAsia" w:ascii="Times New Roman" w:hAnsi="Times New Roman"/>
                <w:color w:val="auto"/>
                <w:sz w:val="26"/>
                <w:szCs w:val="26"/>
                <w:highlight w:val="none"/>
              </w:rPr>
              <w:t>堆料场。</w:t>
            </w:r>
            <w:r>
              <w:rPr>
                <w:rFonts w:hint="eastAsia"/>
                <w:color w:val="auto"/>
                <w:sz w:val="26"/>
                <w:szCs w:val="26"/>
                <w:highlight w:val="none"/>
                <w:lang w:val="en-US" w:eastAsia="zh-CN"/>
              </w:rPr>
              <w:t>在每一个工作流程中都会产生粉尘，</w:t>
            </w:r>
            <w:r>
              <w:rPr>
                <w:rFonts w:hint="eastAsia" w:ascii="Times New Roman" w:hAnsi="Times New Roman"/>
                <w:color w:val="auto"/>
                <w:sz w:val="26"/>
                <w:szCs w:val="26"/>
                <w:highlight w:val="none"/>
              </w:rPr>
              <w:t>营运期项目废气主要为钻孔凿岩</w:t>
            </w:r>
            <w:r>
              <w:rPr>
                <w:rFonts w:hint="eastAsia" w:ascii="Times New Roman" w:hAnsi="Times New Roman"/>
                <w:color w:val="auto"/>
                <w:sz w:val="26"/>
                <w:szCs w:val="26"/>
                <w:highlight w:val="none"/>
                <w:lang w:val="en-US" w:eastAsia="zh-CN"/>
              </w:rPr>
              <w:t>粉尘</w:t>
            </w:r>
            <w:r>
              <w:rPr>
                <w:rFonts w:hint="eastAsia"/>
                <w:color w:val="auto"/>
                <w:sz w:val="26"/>
                <w:szCs w:val="26"/>
                <w:highlight w:val="none"/>
                <w:lang w:val="en-US" w:eastAsia="zh-CN"/>
              </w:rPr>
              <w:t>、</w:t>
            </w:r>
            <w:r>
              <w:rPr>
                <w:rFonts w:hint="eastAsia" w:ascii="Times New Roman" w:hAnsi="Times New Roman"/>
                <w:color w:val="auto"/>
                <w:sz w:val="26"/>
                <w:szCs w:val="26"/>
                <w:highlight w:val="none"/>
              </w:rPr>
              <w:t>山体爆破产生的废气、</w:t>
            </w:r>
            <w:r>
              <w:rPr>
                <w:rFonts w:hint="eastAsia"/>
                <w:color w:val="auto"/>
                <w:sz w:val="26"/>
                <w:szCs w:val="26"/>
                <w:highlight w:val="none"/>
                <w:lang w:val="en-US" w:eastAsia="zh-CN"/>
              </w:rPr>
              <w:t>装卸粉尘、道路</w:t>
            </w:r>
            <w:r>
              <w:rPr>
                <w:rFonts w:hint="eastAsia" w:ascii="Times New Roman" w:hAnsi="Times New Roman"/>
                <w:color w:val="auto"/>
                <w:sz w:val="26"/>
                <w:szCs w:val="26"/>
                <w:highlight w:val="none"/>
              </w:rPr>
              <w:t>运输过程粉尘、矿石加工粉尘、堆场扬尘</w:t>
            </w:r>
            <w:r>
              <w:rPr>
                <w:rFonts w:hint="eastAsia"/>
                <w:color w:val="auto"/>
                <w:sz w:val="26"/>
                <w:szCs w:val="26"/>
                <w:highlight w:val="none"/>
                <w:lang w:val="en-US" w:eastAsia="zh-CN"/>
              </w:rPr>
              <w:t>及</w:t>
            </w:r>
            <w:r>
              <w:rPr>
                <w:rFonts w:hint="eastAsia" w:ascii="Times New Roman" w:hAnsi="Times New Roman"/>
                <w:color w:val="auto"/>
                <w:sz w:val="26"/>
                <w:szCs w:val="26"/>
                <w:highlight w:val="none"/>
              </w:rPr>
              <w:t>汽车尾气及厨房油烟，均为无组织排放。</w:t>
            </w:r>
          </w:p>
          <w:p w14:paraId="09981FA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val="en-US" w:eastAsia="zh-CN"/>
              </w:rPr>
            </w:pPr>
            <w:r>
              <w:rPr>
                <w:rFonts w:hint="eastAsia" w:ascii="宋体" w:hAnsi="宋体" w:eastAsia="宋体" w:cs="宋体"/>
                <w:color w:val="auto"/>
                <w:sz w:val="26"/>
                <w:szCs w:val="26"/>
                <w:highlight w:val="none"/>
              </w:rPr>
              <w:t>①</w:t>
            </w:r>
            <w:r>
              <w:rPr>
                <w:rFonts w:hint="eastAsia" w:ascii="Times New Roman" w:hAnsi="Times New Roman"/>
                <w:color w:val="auto"/>
                <w:sz w:val="26"/>
                <w:szCs w:val="26"/>
                <w:highlight w:val="none"/>
              </w:rPr>
              <w:t>钻孔凿岩</w:t>
            </w:r>
            <w:r>
              <w:rPr>
                <w:rFonts w:hint="eastAsia" w:ascii="Times New Roman" w:hAnsi="Times New Roman"/>
                <w:color w:val="auto"/>
                <w:sz w:val="26"/>
                <w:szCs w:val="26"/>
                <w:highlight w:val="none"/>
                <w:lang w:val="en-US" w:eastAsia="zh-CN"/>
              </w:rPr>
              <w:t>粉尘</w:t>
            </w:r>
          </w:p>
          <w:p w14:paraId="1D4D19C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在钻孔、凿岩过程中，由于钻头对岩石的冲击、挤压以及切剥、摩擦等，岩石被碎成大小不一的较细颗粒(岩粉)，排出孔口部分就形成了粉尘</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由于排放点接近地面，因此会对近距离和采石工人产生一定的影响。</w:t>
            </w:r>
          </w:p>
          <w:p w14:paraId="2B44B32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根据《逸散性工业粉尘控制技术》(中国环境科学出版社，1989) 的数据可知，钻孔时逸散尘排放因子为0.004kg/t(石料)。该项目开采量为30万t</w:t>
            </w:r>
            <w:r>
              <w:rPr>
                <w:rFonts w:hint="eastAsia"/>
                <w:color w:val="auto"/>
                <w:sz w:val="26"/>
                <w:szCs w:val="26"/>
                <w:highlight w:val="none"/>
                <w:lang w:val="en-US" w:eastAsia="zh-CN"/>
              </w:rPr>
              <w:t>/</w:t>
            </w:r>
            <w:r>
              <w:rPr>
                <w:rFonts w:hint="eastAsia" w:ascii="Times New Roman" w:hAnsi="Times New Roman"/>
                <w:color w:val="auto"/>
                <w:sz w:val="26"/>
                <w:szCs w:val="26"/>
                <w:highlight w:val="none"/>
              </w:rPr>
              <w:t>a，因此其钻孔时逸散尘的产生量为1.2t/a，lkg/h(钻孔凿岩日工作时间4h，年工作时间300d)。根据类比调查，中深孔凿岩钻孔时粉尘的产生量不大，采用湿式作业，潜孔钻机自带收尘装置，能有效减少粉尘的排放量。采用湿法作业这样可大大降低了粉尘的产生浓度和影响范围。潜孔钻机自带收尘装置</w:t>
            </w:r>
            <w:r>
              <w:rPr>
                <w:rFonts w:hint="eastAsia" w:ascii="Times New Roman" w:hAnsi="Times New Roman"/>
                <w:color w:val="auto"/>
                <w:sz w:val="26"/>
                <w:szCs w:val="26"/>
                <w:highlight w:val="none"/>
                <w:lang w:val="en-US" w:eastAsia="zh-CN"/>
              </w:rPr>
              <w:t>及</w:t>
            </w:r>
            <w:r>
              <w:rPr>
                <w:rFonts w:hint="eastAsia" w:ascii="Times New Roman" w:hAnsi="Times New Roman"/>
                <w:color w:val="auto"/>
                <w:sz w:val="26"/>
                <w:szCs w:val="26"/>
                <w:highlight w:val="none"/>
              </w:rPr>
              <w:t>湿法作业时抑尘效率约为9</w:t>
            </w:r>
            <w:r>
              <w:rPr>
                <w:rFonts w:hint="eastAsia"/>
                <w:color w:val="auto"/>
                <w:sz w:val="26"/>
                <w:szCs w:val="26"/>
                <w:highlight w:val="none"/>
                <w:lang w:val="en-US" w:eastAsia="zh-CN"/>
              </w:rPr>
              <w:t>5</w:t>
            </w:r>
            <w:r>
              <w:rPr>
                <w:rFonts w:hint="eastAsia" w:ascii="Times New Roman" w:hAnsi="Times New Roman"/>
                <w:color w:val="auto"/>
                <w:sz w:val="26"/>
                <w:szCs w:val="26"/>
                <w:highlight w:val="none"/>
              </w:rPr>
              <w:t>%，粉尘排放量约0.</w:t>
            </w:r>
            <w:r>
              <w:rPr>
                <w:rFonts w:hint="eastAsia"/>
                <w:color w:val="auto"/>
                <w:sz w:val="26"/>
                <w:szCs w:val="26"/>
                <w:highlight w:val="none"/>
                <w:lang w:val="en-US" w:eastAsia="zh-CN"/>
              </w:rPr>
              <w:t>06</w:t>
            </w:r>
            <w:r>
              <w:rPr>
                <w:rFonts w:hint="eastAsia" w:ascii="Times New Roman" w:hAnsi="Times New Roman"/>
                <w:color w:val="auto"/>
                <w:sz w:val="26"/>
                <w:szCs w:val="26"/>
                <w:highlight w:val="none"/>
              </w:rPr>
              <w:t>t/a</w:t>
            </w:r>
            <w:r>
              <w:rPr>
                <w:rFonts w:hint="eastAsia"/>
                <w:color w:val="auto"/>
                <w:sz w:val="26"/>
                <w:szCs w:val="26"/>
                <w:highlight w:val="none"/>
                <w:lang w:eastAsia="zh-CN"/>
              </w:rPr>
              <w:t>（</w:t>
            </w:r>
            <w:r>
              <w:rPr>
                <w:rFonts w:hint="eastAsia" w:ascii="Times New Roman" w:hAnsi="Times New Roman"/>
                <w:color w:val="auto"/>
                <w:sz w:val="26"/>
                <w:szCs w:val="26"/>
                <w:highlight w:val="none"/>
              </w:rPr>
              <w:t>0.</w:t>
            </w:r>
            <w:r>
              <w:rPr>
                <w:rFonts w:hint="eastAsia"/>
                <w:color w:val="auto"/>
                <w:sz w:val="26"/>
                <w:szCs w:val="26"/>
                <w:highlight w:val="none"/>
                <w:lang w:val="en-US" w:eastAsia="zh-CN"/>
              </w:rPr>
              <w:t>05</w:t>
            </w:r>
            <w:r>
              <w:rPr>
                <w:rFonts w:hint="eastAsia" w:ascii="Times New Roman" w:hAnsi="Times New Roman"/>
                <w:color w:val="auto"/>
                <w:sz w:val="26"/>
                <w:szCs w:val="26"/>
                <w:highlight w:val="none"/>
              </w:rPr>
              <w:t xml:space="preserve"> kg/h</w:t>
            </w:r>
            <w:r>
              <w:rPr>
                <w:rFonts w:hint="eastAsia"/>
                <w:color w:val="auto"/>
                <w:sz w:val="26"/>
                <w:szCs w:val="26"/>
                <w:highlight w:val="none"/>
                <w:lang w:val="en-US" w:eastAsia="zh-CN"/>
              </w:rPr>
              <w:t>)</w:t>
            </w:r>
            <w:r>
              <w:rPr>
                <w:rFonts w:hint="eastAsia" w:ascii="Times New Roman" w:hAnsi="Times New Roman"/>
                <w:color w:val="auto"/>
                <w:sz w:val="26"/>
                <w:szCs w:val="26"/>
                <w:highlight w:val="none"/>
              </w:rPr>
              <w:t>。</w:t>
            </w:r>
          </w:p>
          <w:p w14:paraId="6FAA57D5">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②</w:t>
            </w:r>
            <w:r>
              <w:rPr>
                <w:rFonts w:hint="eastAsia" w:ascii="Times New Roman" w:hAnsi="Times New Roman"/>
                <w:color w:val="auto"/>
                <w:sz w:val="26"/>
                <w:szCs w:val="26"/>
                <w:highlight w:val="none"/>
              </w:rPr>
              <w:t>爆破开采废气</w:t>
            </w:r>
          </w:p>
          <w:p w14:paraId="6400017B">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矿山爆破过程</w:t>
            </w:r>
            <w:r>
              <w:rPr>
                <w:rFonts w:hint="eastAsia"/>
                <w:color w:val="auto"/>
                <w:sz w:val="26"/>
                <w:szCs w:val="26"/>
                <w:highlight w:val="none"/>
                <w:lang w:val="en-US" w:eastAsia="zh-CN"/>
              </w:rPr>
              <w:t>粉尘</w:t>
            </w:r>
            <w:r>
              <w:rPr>
                <w:rFonts w:hint="eastAsia" w:ascii="Times New Roman" w:hAnsi="Times New Roman"/>
                <w:color w:val="auto"/>
                <w:sz w:val="26"/>
                <w:szCs w:val="26"/>
                <w:highlight w:val="none"/>
              </w:rPr>
              <w:t>瞬时产尘量较大</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但是</w:t>
            </w:r>
            <w:r>
              <w:rPr>
                <w:rFonts w:hint="eastAsia"/>
                <w:color w:val="auto"/>
                <w:sz w:val="26"/>
                <w:szCs w:val="26"/>
                <w:highlight w:val="none"/>
                <w:lang w:val="en-US" w:eastAsia="zh-CN"/>
              </w:rPr>
              <w:t>因此产生的粉尘会随空气、风力等因素迅速被稀释，即</w:t>
            </w:r>
            <w:r>
              <w:rPr>
                <w:rFonts w:hint="eastAsia" w:ascii="Times New Roman" w:hAnsi="Times New Roman"/>
                <w:color w:val="auto"/>
                <w:sz w:val="26"/>
                <w:szCs w:val="26"/>
                <w:highlight w:val="none"/>
              </w:rPr>
              <w:t>高粉尘浓度维持的时间较短。本工程年开采矿体体积量11.</w:t>
            </w:r>
            <w:r>
              <w:rPr>
                <w:rFonts w:hint="eastAsia" w:ascii="Times New Roman" w:hAnsi="Times New Roman"/>
                <w:color w:val="auto"/>
                <w:sz w:val="26"/>
                <w:szCs w:val="26"/>
                <w:highlight w:val="none"/>
                <w:lang w:val="en-US" w:eastAsia="zh-CN"/>
              </w:rPr>
              <w:t>03</w:t>
            </w:r>
            <w:r>
              <w:rPr>
                <w:rFonts w:hint="eastAsia" w:ascii="Times New Roman" w:hAnsi="Times New Roman"/>
                <w:color w:val="auto"/>
                <w:sz w:val="26"/>
                <w:szCs w:val="26"/>
                <w:highlight w:val="none"/>
              </w:rPr>
              <w:t>万m</w:t>
            </w:r>
            <w:r>
              <w:rPr>
                <w:rFonts w:hint="default"/>
                <w:color w:val="auto"/>
                <w:sz w:val="26"/>
                <w:szCs w:val="26"/>
                <w:highlight w:val="none"/>
                <w:vertAlign w:val="superscript"/>
              </w:rPr>
              <w:t>3</w:t>
            </w:r>
            <w:r>
              <w:rPr>
                <w:rFonts w:hint="eastAsia" w:ascii="Times New Roman" w:hAnsi="Times New Roman"/>
                <w:color w:val="auto"/>
                <w:sz w:val="26"/>
                <w:szCs w:val="26"/>
                <w:highlight w:val="none"/>
              </w:rPr>
              <w:t>，查阅</w:t>
            </w:r>
            <w:r>
              <w:rPr>
                <w:rFonts w:hint="eastAsia"/>
                <w:color w:val="auto"/>
                <w:sz w:val="26"/>
                <w:szCs w:val="26"/>
                <w:highlight w:val="none"/>
                <w:lang w:val="en-US" w:eastAsia="zh-CN"/>
              </w:rPr>
              <w:t>相关资料及综合</w:t>
            </w:r>
            <w:r>
              <w:rPr>
                <w:rFonts w:hint="eastAsia" w:ascii="Times New Roman" w:hAnsi="Times New Roman"/>
                <w:color w:val="auto"/>
                <w:sz w:val="26"/>
                <w:szCs w:val="26"/>
                <w:highlight w:val="none"/>
              </w:rPr>
              <w:t>《江西省弋阳县</w:t>
            </w:r>
            <w:r>
              <w:rPr>
                <w:rFonts w:hint="eastAsia" w:ascii="Times New Roman" w:hAnsi="Times New Roman"/>
                <w:color w:val="auto"/>
                <w:sz w:val="26"/>
                <w:szCs w:val="26"/>
                <w:highlight w:val="none"/>
                <w:lang w:val="en-US" w:eastAsia="zh-CN"/>
              </w:rPr>
              <w:t>丁</w:t>
            </w:r>
            <w:r>
              <w:rPr>
                <w:rFonts w:hint="eastAsia" w:ascii="Times New Roman" w:hAnsi="Times New Roman"/>
                <w:color w:val="auto"/>
                <w:sz w:val="26"/>
                <w:szCs w:val="26"/>
                <w:highlight w:val="none"/>
              </w:rPr>
              <w:t>家坪建筑石料用灰岩矿项目</w:t>
            </w:r>
            <w:r>
              <w:rPr>
                <w:rFonts w:hint="eastAsia"/>
                <w:color w:val="auto"/>
                <w:sz w:val="26"/>
                <w:szCs w:val="26"/>
                <w:highlight w:val="none"/>
                <w:lang w:val="en-US" w:eastAsia="zh-CN"/>
              </w:rPr>
              <w:t>环境影响报告书</w:t>
            </w:r>
            <w:r>
              <w:rPr>
                <w:rFonts w:hint="eastAsia" w:ascii="Times New Roman" w:hAnsi="Times New Roman"/>
                <w:color w:val="auto"/>
                <w:sz w:val="26"/>
                <w:szCs w:val="26"/>
                <w:highlight w:val="none"/>
              </w:rPr>
              <w:t>》，爆破时相应的粉尘产生量约25g /m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 xml:space="preserve"> ，故爆破产生的粉尘约为2.</w:t>
            </w:r>
            <w:r>
              <w:rPr>
                <w:rFonts w:hint="eastAsia" w:ascii="Times New Roman" w:hAnsi="Times New Roman"/>
                <w:color w:val="auto"/>
                <w:sz w:val="26"/>
                <w:szCs w:val="26"/>
                <w:highlight w:val="none"/>
                <w:lang w:val="en-US" w:eastAsia="zh-CN"/>
              </w:rPr>
              <w:t>76</w:t>
            </w:r>
            <w:r>
              <w:rPr>
                <w:rFonts w:hint="eastAsia" w:ascii="Times New Roman" w:hAnsi="Times New Roman"/>
                <w:color w:val="auto"/>
                <w:sz w:val="26"/>
                <w:szCs w:val="26"/>
                <w:highlight w:val="none"/>
              </w:rPr>
              <w:t>t/a。</w:t>
            </w:r>
          </w:p>
          <w:p w14:paraId="047924B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爆破后，粒径大的粉尘在短时间内在爆破区内沉降，直径&lt; 10um的飘尘不易沉降，但仅占产尘量的1%，直径10~45μm的粉尘在爆破区内也不能短时间沉降，合计为40%左右，故本项目爆破粉尘排放量约为1.</w:t>
            </w:r>
            <w:r>
              <w:rPr>
                <w:rFonts w:hint="eastAsia" w:ascii="Times New Roman" w:hAnsi="Times New Roman"/>
                <w:color w:val="auto"/>
                <w:sz w:val="26"/>
                <w:szCs w:val="26"/>
                <w:highlight w:val="none"/>
                <w:lang w:val="en-US" w:eastAsia="zh-CN"/>
              </w:rPr>
              <w:t>104</w:t>
            </w:r>
            <w:r>
              <w:rPr>
                <w:rFonts w:hint="eastAsia" w:ascii="Times New Roman" w:hAnsi="Times New Roman"/>
                <w:color w:val="auto"/>
                <w:sz w:val="26"/>
                <w:szCs w:val="26"/>
                <w:highlight w:val="none"/>
              </w:rPr>
              <w:t>t/a。</w:t>
            </w:r>
          </w:p>
          <w:p w14:paraId="51C83D0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③</w:t>
            </w:r>
            <w:r>
              <w:rPr>
                <w:rFonts w:hint="eastAsia" w:ascii="Times New Roman" w:hAnsi="Times New Roman"/>
                <w:color w:val="auto"/>
                <w:sz w:val="26"/>
                <w:szCs w:val="26"/>
                <w:highlight w:val="none"/>
              </w:rPr>
              <w:t>装卸扬尘</w:t>
            </w:r>
          </w:p>
          <w:p w14:paraId="4E61A92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在</w:t>
            </w:r>
            <w:r>
              <w:rPr>
                <w:rFonts w:hint="eastAsia"/>
                <w:color w:val="auto"/>
                <w:sz w:val="26"/>
                <w:szCs w:val="26"/>
                <w:highlight w:val="none"/>
                <w:lang w:val="en-US" w:eastAsia="zh-CN"/>
              </w:rPr>
              <w:t>开采矿体时</w:t>
            </w:r>
            <w:r>
              <w:rPr>
                <w:rFonts w:hint="eastAsia" w:ascii="Times New Roman" w:hAnsi="Times New Roman"/>
                <w:color w:val="auto"/>
                <w:sz w:val="26"/>
                <w:szCs w:val="26"/>
                <w:highlight w:val="none"/>
              </w:rPr>
              <w:t>，主要污染源是采掘场装卸车起尘，根据《秦皇岛沙石料装卸中对起尘机理扩散规律的研究》，矿石装卸起尘计算公式如下:</w:t>
            </w:r>
          </w:p>
          <w:p w14:paraId="1155DF42">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center"/>
              <w:textAlignment w:val="auto"/>
              <w:rPr>
                <w:rFonts w:hint="default"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Q=0.00523</w:t>
            </w:r>
            <w:r>
              <w:rPr>
                <w:rFonts w:hint="eastAsia"/>
                <w:color w:val="auto"/>
                <w:sz w:val="26"/>
                <w:szCs w:val="26"/>
                <w:highlight w:val="none"/>
                <w:lang w:val="en-US" w:eastAsia="zh-CN"/>
              </w:rPr>
              <w:t>*</w:t>
            </w:r>
            <w:r>
              <w:rPr>
                <w:rFonts w:hint="eastAsia" w:ascii="Times New Roman" w:hAnsi="Times New Roman"/>
                <w:color w:val="auto"/>
                <w:sz w:val="26"/>
                <w:szCs w:val="26"/>
                <w:highlight w:val="none"/>
              </w:rPr>
              <w:t>(U)</w:t>
            </w:r>
            <w:r>
              <w:rPr>
                <w:rFonts w:hint="eastAsia"/>
                <w:color w:val="auto"/>
                <w:sz w:val="26"/>
                <w:szCs w:val="26"/>
                <w:highlight w:val="none"/>
                <w:vertAlign w:val="superscript"/>
                <w:lang w:val="en-US" w:eastAsia="zh-CN"/>
              </w:rPr>
              <w:t>1.3</w:t>
            </w:r>
            <w:r>
              <w:rPr>
                <w:rFonts w:hint="eastAsia"/>
                <w:color w:val="auto"/>
                <w:sz w:val="26"/>
                <w:szCs w:val="26"/>
                <w:highlight w:val="none"/>
                <w:lang w:val="en-US" w:eastAsia="zh-CN"/>
              </w:rPr>
              <w:t>*</w:t>
            </w:r>
            <w:r>
              <w:rPr>
                <w:rFonts w:hint="eastAsia" w:ascii="Times New Roman" w:hAnsi="Times New Roman"/>
                <w:color w:val="auto"/>
                <w:sz w:val="26"/>
                <w:szCs w:val="26"/>
                <w:highlight w:val="none"/>
              </w:rPr>
              <w:t>(H)</w:t>
            </w:r>
            <w:r>
              <w:rPr>
                <w:rFonts w:hint="eastAsia"/>
                <w:color w:val="auto"/>
                <w:sz w:val="26"/>
                <w:szCs w:val="26"/>
                <w:highlight w:val="none"/>
                <w:vertAlign w:val="superscript"/>
                <w:lang w:val="en-US" w:eastAsia="zh-CN"/>
              </w:rPr>
              <w:t>2.01</w:t>
            </w:r>
            <w:r>
              <w:rPr>
                <w:rFonts w:hint="eastAsia"/>
                <w:color w:val="auto"/>
                <w:sz w:val="26"/>
                <w:szCs w:val="26"/>
                <w:highlight w:val="none"/>
                <w:lang w:val="en-US" w:eastAsia="zh-CN"/>
              </w:rPr>
              <w:t>*</w:t>
            </w:r>
            <w:r>
              <w:rPr>
                <w:rFonts w:hint="eastAsia" w:ascii="Times New Roman" w:hAnsi="Times New Roman"/>
                <w:color w:val="auto"/>
                <w:sz w:val="26"/>
                <w:szCs w:val="26"/>
                <w:highlight w:val="none"/>
              </w:rPr>
              <w:t>(w)</w:t>
            </w:r>
            <w:r>
              <w:rPr>
                <w:rFonts w:hint="eastAsia"/>
                <w:color w:val="auto"/>
                <w:sz w:val="26"/>
                <w:szCs w:val="26"/>
                <w:highlight w:val="none"/>
                <w:vertAlign w:val="superscript"/>
                <w:lang w:val="en-US" w:eastAsia="zh-CN"/>
              </w:rPr>
              <w:t>-1.4</w:t>
            </w:r>
          </w:p>
          <w:p w14:paraId="0C266F14">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center"/>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q=Q</w:t>
            </w:r>
            <w:r>
              <w:rPr>
                <w:rFonts w:hint="eastAsia"/>
                <w:color w:val="auto"/>
                <w:sz w:val="26"/>
                <w:szCs w:val="26"/>
                <w:highlight w:val="none"/>
                <w:lang w:val="en-US" w:eastAsia="zh-CN"/>
              </w:rPr>
              <w:t>*</w:t>
            </w:r>
            <w:r>
              <w:rPr>
                <w:rFonts w:hint="eastAsia" w:ascii="Times New Roman" w:hAnsi="Times New Roman"/>
                <w:color w:val="auto"/>
                <w:sz w:val="26"/>
                <w:szCs w:val="26"/>
                <w:highlight w:val="none"/>
              </w:rPr>
              <w:t>M</w:t>
            </w:r>
          </w:p>
          <w:p w14:paraId="341A7CCF">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式中: Q</w:t>
            </w:r>
            <w:r>
              <w:rPr>
                <w:rFonts w:hint="eastAsia"/>
                <w:color w:val="auto"/>
                <w:sz w:val="26"/>
                <w:szCs w:val="26"/>
                <w:highlight w:val="none"/>
                <w:lang w:eastAsia="zh-CN"/>
              </w:rPr>
              <w:t>——</w:t>
            </w:r>
            <w:r>
              <w:rPr>
                <w:rFonts w:hint="eastAsia" w:ascii="Times New Roman" w:hAnsi="Times New Roman"/>
                <w:color w:val="auto"/>
                <w:sz w:val="26"/>
                <w:szCs w:val="26"/>
                <w:highlight w:val="none"/>
              </w:rPr>
              <w:t>铲</w:t>
            </w:r>
            <w:r>
              <w:rPr>
                <w:rFonts w:hint="eastAsia"/>
                <w:color w:val="auto"/>
                <w:sz w:val="26"/>
                <w:szCs w:val="26"/>
                <w:highlight w:val="none"/>
                <w:lang w:val="en-US" w:eastAsia="zh-CN"/>
              </w:rPr>
              <w:t>装</w:t>
            </w:r>
            <w:r>
              <w:rPr>
                <w:rFonts w:hint="eastAsia" w:ascii="Times New Roman" w:hAnsi="Times New Roman"/>
                <w:color w:val="auto"/>
                <w:sz w:val="26"/>
                <w:szCs w:val="26"/>
                <w:highlight w:val="none"/>
              </w:rPr>
              <w:t>卸起尘量，kg/m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w:t>
            </w:r>
          </w:p>
          <w:p w14:paraId="3F53F59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eastAsia="zh-CN"/>
              </w:rPr>
            </w:pPr>
            <w:r>
              <w:rPr>
                <w:rFonts w:hint="eastAsia" w:ascii="Times New Roman" w:hAnsi="Times New Roman"/>
                <w:color w:val="auto"/>
                <w:sz w:val="26"/>
                <w:szCs w:val="26"/>
                <w:highlight w:val="none"/>
              </w:rPr>
              <w:t>U</w:t>
            </w:r>
            <w:r>
              <w:rPr>
                <w:rFonts w:hint="eastAsia"/>
                <w:color w:val="auto"/>
                <w:sz w:val="26"/>
                <w:szCs w:val="26"/>
                <w:highlight w:val="none"/>
                <w:lang w:eastAsia="zh-CN"/>
              </w:rPr>
              <w:t>——</w:t>
            </w:r>
            <w:r>
              <w:rPr>
                <w:rFonts w:hint="eastAsia" w:ascii="Times New Roman" w:hAnsi="Times New Roman"/>
                <w:color w:val="auto"/>
                <w:sz w:val="26"/>
                <w:szCs w:val="26"/>
                <w:highlight w:val="none"/>
              </w:rPr>
              <w:t>尘源风速，m/s</w:t>
            </w:r>
            <w:r>
              <w:rPr>
                <w:rFonts w:hint="eastAsia"/>
                <w:color w:val="auto"/>
                <w:sz w:val="26"/>
                <w:szCs w:val="26"/>
                <w:highlight w:val="none"/>
                <w:lang w:eastAsia="zh-CN"/>
              </w:rPr>
              <w:t>；</w:t>
            </w:r>
            <w:r>
              <w:rPr>
                <w:rFonts w:hint="eastAsia" w:ascii="Times New Roman" w:hAnsi="Times New Roman"/>
                <w:color w:val="auto"/>
                <w:sz w:val="26"/>
                <w:szCs w:val="26"/>
                <w:highlight w:val="none"/>
              </w:rPr>
              <w:t>本工程取</w:t>
            </w:r>
            <w:r>
              <w:rPr>
                <w:rFonts w:hint="eastAsia"/>
                <w:color w:val="auto"/>
                <w:sz w:val="26"/>
                <w:szCs w:val="26"/>
                <w:highlight w:val="none"/>
                <w:lang w:val="en-US" w:eastAsia="zh-CN"/>
              </w:rPr>
              <w:t>2.4</w:t>
            </w:r>
            <w:r>
              <w:rPr>
                <w:rFonts w:hint="eastAsia" w:ascii="Times New Roman" w:hAnsi="Times New Roman"/>
                <w:color w:val="auto"/>
                <w:sz w:val="26"/>
                <w:szCs w:val="26"/>
                <w:highlight w:val="none"/>
              </w:rPr>
              <w:t xml:space="preserve">m/s </w:t>
            </w:r>
            <w:r>
              <w:rPr>
                <w:rFonts w:hint="eastAsia"/>
                <w:color w:val="auto"/>
                <w:sz w:val="26"/>
                <w:szCs w:val="26"/>
                <w:highlight w:val="none"/>
                <w:lang w:eastAsia="zh-CN"/>
              </w:rPr>
              <w:t>；</w:t>
            </w:r>
          </w:p>
          <w:p w14:paraId="060FBEA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W</w:t>
            </w:r>
            <w:r>
              <w:rPr>
                <w:rFonts w:hint="eastAsia"/>
                <w:color w:val="auto"/>
                <w:sz w:val="26"/>
                <w:szCs w:val="26"/>
                <w:highlight w:val="none"/>
                <w:lang w:eastAsia="zh-CN"/>
              </w:rPr>
              <w:t>——</w:t>
            </w:r>
            <w:r>
              <w:rPr>
                <w:rFonts w:hint="eastAsia" w:ascii="Times New Roman" w:hAnsi="Times New Roman"/>
                <w:color w:val="auto"/>
                <w:sz w:val="26"/>
                <w:szCs w:val="26"/>
                <w:highlight w:val="none"/>
              </w:rPr>
              <w:t>含水率，%</w:t>
            </w:r>
            <w:r>
              <w:rPr>
                <w:rFonts w:hint="eastAsia"/>
                <w:color w:val="auto"/>
                <w:sz w:val="26"/>
                <w:szCs w:val="26"/>
                <w:highlight w:val="none"/>
                <w:lang w:eastAsia="zh-CN"/>
              </w:rPr>
              <w:t>；</w:t>
            </w:r>
          </w:p>
          <w:p w14:paraId="2109410D">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H</w:t>
            </w:r>
            <w:r>
              <w:rPr>
                <w:rFonts w:hint="eastAsia"/>
                <w:color w:val="auto"/>
                <w:sz w:val="26"/>
                <w:szCs w:val="26"/>
                <w:highlight w:val="none"/>
                <w:lang w:eastAsia="zh-CN"/>
              </w:rPr>
              <w:t>——</w:t>
            </w:r>
            <w:r>
              <w:rPr>
                <w:rFonts w:hint="eastAsia" w:ascii="Times New Roman" w:hAnsi="Times New Roman"/>
                <w:color w:val="auto"/>
                <w:sz w:val="26"/>
                <w:szCs w:val="26"/>
                <w:highlight w:val="none"/>
              </w:rPr>
              <w:t>装卸高度，m</w:t>
            </w:r>
            <w:r>
              <w:rPr>
                <w:rFonts w:hint="eastAsia"/>
                <w:color w:val="auto"/>
                <w:sz w:val="26"/>
                <w:szCs w:val="26"/>
                <w:highlight w:val="none"/>
                <w:lang w:eastAsia="zh-CN"/>
              </w:rPr>
              <w:t>；</w:t>
            </w:r>
            <w:r>
              <w:rPr>
                <w:rFonts w:hint="eastAsia" w:ascii="Times New Roman" w:hAnsi="Times New Roman"/>
                <w:color w:val="auto"/>
                <w:sz w:val="26"/>
                <w:szCs w:val="26"/>
                <w:highlight w:val="none"/>
              </w:rPr>
              <w:t>本工程取2m</w:t>
            </w:r>
            <w:r>
              <w:rPr>
                <w:rFonts w:hint="eastAsia"/>
                <w:color w:val="auto"/>
                <w:sz w:val="26"/>
                <w:szCs w:val="26"/>
                <w:highlight w:val="none"/>
                <w:lang w:eastAsia="zh-CN"/>
              </w:rPr>
              <w:t>；</w:t>
            </w:r>
          </w:p>
          <w:p w14:paraId="660E242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olor w:val="auto"/>
                <w:sz w:val="26"/>
                <w:szCs w:val="26"/>
                <w:highlight w:val="none"/>
                <w:lang w:eastAsia="zh-CN"/>
              </w:rPr>
            </w:pPr>
            <w:r>
              <w:rPr>
                <w:rFonts w:hint="eastAsia"/>
                <w:color w:val="auto"/>
                <w:sz w:val="26"/>
                <w:szCs w:val="26"/>
                <w:highlight w:val="none"/>
                <w:lang w:val="en-US" w:eastAsia="zh-CN"/>
              </w:rPr>
              <w:t>q</w:t>
            </w:r>
            <w:r>
              <w:rPr>
                <w:rFonts w:hint="eastAsia"/>
                <w:color w:val="auto"/>
                <w:sz w:val="26"/>
                <w:szCs w:val="26"/>
                <w:highlight w:val="none"/>
                <w:lang w:eastAsia="zh-CN"/>
              </w:rPr>
              <w:t>——</w:t>
            </w:r>
            <w:r>
              <w:rPr>
                <w:rFonts w:hint="eastAsia" w:ascii="Times New Roman" w:hAnsi="Times New Roman"/>
                <w:color w:val="auto"/>
                <w:sz w:val="26"/>
                <w:szCs w:val="26"/>
                <w:highlight w:val="none"/>
              </w:rPr>
              <w:t>源强，kg/a</w:t>
            </w:r>
            <w:r>
              <w:rPr>
                <w:rFonts w:hint="eastAsia"/>
                <w:color w:val="auto"/>
                <w:sz w:val="26"/>
                <w:szCs w:val="26"/>
                <w:highlight w:val="none"/>
                <w:lang w:eastAsia="zh-CN"/>
              </w:rPr>
              <w:t>；</w:t>
            </w:r>
          </w:p>
          <w:p w14:paraId="321A4FD3">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M</w:t>
            </w:r>
            <w:r>
              <w:rPr>
                <w:rFonts w:hint="eastAsia"/>
                <w:color w:val="auto"/>
                <w:sz w:val="26"/>
                <w:szCs w:val="26"/>
                <w:highlight w:val="none"/>
                <w:lang w:eastAsia="zh-CN"/>
              </w:rPr>
              <w:t>——</w:t>
            </w:r>
            <w:r>
              <w:rPr>
                <w:rFonts w:hint="eastAsia" w:ascii="Times New Roman" w:hAnsi="Times New Roman"/>
                <w:color w:val="auto"/>
                <w:sz w:val="26"/>
                <w:szCs w:val="26"/>
                <w:highlight w:val="none"/>
              </w:rPr>
              <w:t>装卸量，11.</w:t>
            </w:r>
            <w:r>
              <w:rPr>
                <w:rFonts w:hint="eastAsia"/>
                <w:color w:val="auto"/>
                <w:sz w:val="26"/>
                <w:szCs w:val="26"/>
                <w:highlight w:val="none"/>
                <w:lang w:val="en-US" w:eastAsia="zh-CN"/>
              </w:rPr>
              <w:t>03</w:t>
            </w:r>
            <w:r>
              <w:rPr>
                <w:rFonts w:hint="eastAsia" w:ascii="Times New Roman" w:hAnsi="Times New Roman"/>
                <w:color w:val="auto"/>
                <w:sz w:val="26"/>
                <w:szCs w:val="26"/>
                <w:highlight w:val="none"/>
              </w:rPr>
              <w:t>万m</w:t>
            </w:r>
            <w:r>
              <w:rPr>
                <w:rFonts w:hint="eastAsia"/>
                <w:color w:val="auto"/>
                <w:sz w:val="26"/>
                <w:szCs w:val="26"/>
                <w:highlight w:val="none"/>
                <w:vertAlign w:val="superscript"/>
                <w:lang w:val="en-US" w:eastAsia="zh-CN"/>
              </w:rPr>
              <w:t>3</w:t>
            </w:r>
            <w:r>
              <w:rPr>
                <w:rFonts w:hint="eastAsia" w:ascii="Times New Roman" w:hAnsi="Times New Roman"/>
                <w:color w:val="auto"/>
                <w:sz w:val="26"/>
                <w:szCs w:val="26"/>
                <w:highlight w:val="none"/>
              </w:rPr>
              <w:t>/a。</w:t>
            </w:r>
          </w:p>
          <w:p w14:paraId="458F8B29">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由上式可见，铲装粉尘产生量跟物料含水率有关，根据《散料装卸机械的喷水除尘装置》(唐敦硕，港口装卸，1998年第3期)，当含水率为6%时，粉尘可被抑制，但不宜超过8%，本项目未洒水时按含水率3%计，则未洒水时铲装过程粉尘产生量约为1.</w:t>
            </w:r>
            <w:r>
              <w:rPr>
                <w:rFonts w:hint="eastAsia"/>
                <w:color w:val="auto"/>
                <w:sz w:val="26"/>
                <w:szCs w:val="26"/>
                <w:highlight w:val="none"/>
                <w:lang w:val="en-US" w:eastAsia="zh-CN"/>
              </w:rPr>
              <w:t>5</w:t>
            </w:r>
            <w:r>
              <w:rPr>
                <w:rFonts w:hint="eastAsia" w:ascii="Times New Roman" w:hAnsi="Times New Roman"/>
                <w:color w:val="auto"/>
                <w:sz w:val="26"/>
                <w:szCs w:val="26"/>
                <w:highlight w:val="none"/>
              </w:rPr>
              <w:t>6t/a，铲装粉尘排放量以洒水后矿石含水率6%计</w:t>
            </w:r>
            <w:r>
              <w:rPr>
                <w:rFonts w:hint="eastAsia"/>
                <w:color w:val="auto"/>
                <w:sz w:val="26"/>
                <w:szCs w:val="26"/>
                <w:highlight w:val="none"/>
                <w:lang w:eastAsia="zh-CN"/>
              </w:rPr>
              <w:t>，</w:t>
            </w:r>
            <w:r>
              <w:rPr>
                <w:rFonts w:hint="eastAsia" w:ascii="Times New Roman" w:hAnsi="Times New Roman"/>
                <w:color w:val="auto"/>
                <w:sz w:val="26"/>
                <w:szCs w:val="26"/>
                <w:highlight w:val="none"/>
              </w:rPr>
              <w:t>则洒水后粉尘排放量约为0.</w:t>
            </w:r>
            <w:r>
              <w:rPr>
                <w:rFonts w:hint="eastAsia"/>
                <w:color w:val="auto"/>
                <w:sz w:val="26"/>
                <w:szCs w:val="26"/>
                <w:highlight w:val="none"/>
                <w:lang w:val="en-US" w:eastAsia="zh-CN"/>
              </w:rPr>
              <w:t>59</w:t>
            </w:r>
            <w:r>
              <w:rPr>
                <w:rFonts w:hint="eastAsia" w:ascii="Times New Roman" w:hAnsi="Times New Roman"/>
                <w:color w:val="auto"/>
                <w:sz w:val="26"/>
                <w:szCs w:val="26"/>
                <w:highlight w:val="none"/>
              </w:rPr>
              <w:t>t/a</w:t>
            </w:r>
            <w:r>
              <w:rPr>
                <w:rFonts w:hint="eastAsia"/>
                <w:color w:val="auto"/>
                <w:sz w:val="26"/>
                <w:szCs w:val="26"/>
                <w:highlight w:val="none"/>
                <w:lang w:eastAsia="zh-CN"/>
              </w:rPr>
              <w:t>，</w:t>
            </w:r>
            <w:r>
              <w:rPr>
                <w:rFonts w:hint="eastAsia" w:ascii="Times New Roman" w:hAnsi="Times New Roman"/>
                <w:color w:val="auto"/>
                <w:sz w:val="26"/>
                <w:szCs w:val="26"/>
                <w:highlight w:val="none"/>
              </w:rPr>
              <w:t>排放速率为0.</w:t>
            </w:r>
            <w:r>
              <w:rPr>
                <w:rFonts w:hint="eastAsia"/>
                <w:color w:val="auto"/>
                <w:sz w:val="26"/>
                <w:szCs w:val="26"/>
                <w:highlight w:val="none"/>
                <w:lang w:val="en-US" w:eastAsia="zh-CN"/>
              </w:rPr>
              <w:t>0002</w:t>
            </w:r>
            <w:r>
              <w:rPr>
                <w:rFonts w:hint="eastAsia" w:ascii="Times New Roman" w:hAnsi="Times New Roman"/>
                <w:color w:val="auto"/>
                <w:sz w:val="26"/>
                <w:szCs w:val="26"/>
                <w:highlight w:val="none"/>
              </w:rPr>
              <w:t>kg/h。</w:t>
            </w:r>
          </w:p>
          <w:p w14:paraId="431AAE0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④</w:t>
            </w:r>
            <w:r>
              <w:rPr>
                <w:rFonts w:hint="eastAsia"/>
                <w:color w:val="auto"/>
                <w:sz w:val="26"/>
                <w:szCs w:val="26"/>
                <w:highlight w:val="none"/>
                <w:lang w:val="en-US" w:eastAsia="zh-CN"/>
              </w:rPr>
              <w:t>道路</w:t>
            </w:r>
            <w:r>
              <w:rPr>
                <w:rFonts w:hint="eastAsia" w:ascii="Times New Roman" w:hAnsi="Times New Roman"/>
                <w:color w:val="auto"/>
                <w:sz w:val="26"/>
                <w:szCs w:val="26"/>
                <w:highlight w:val="none"/>
              </w:rPr>
              <w:t>运输过程产生的粉尘</w:t>
            </w:r>
          </w:p>
          <w:p w14:paraId="111740C7">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矿用自卸式载重汽车在堆矿场运至加</w:t>
            </w:r>
            <w:r>
              <w:rPr>
                <w:rFonts w:hint="eastAsia"/>
                <w:color w:val="auto"/>
                <w:sz w:val="26"/>
                <w:szCs w:val="26"/>
                <w:highlight w:val="none"/>
                <w:lang w:val="en-US" w:eastAsia="zh-CN"/>
              </w:rPr>
              <w:t>工</w:t>
            </w:r>
            <w:r>
              <w:rPr>
                <w:rFonts w:hint="eastAsia" w:ascii="Times New Roman" w:hAnsi="Times New Roman"/>
                <w:color w:val="auto"/>
                <w:sz w:val="26"/>
                <w:szCs w:val="26"/>
                <w:highlight w:val="none"/>
              </w:rPr>
              <w:t>区，加工区运出矿区的过程中会产生一定的扬尘。</w:t>
            </w:r>
            <w:r>
              <w:rPr>
                <w:rFonts w:hint="eastAsia"/>
                <w:color w:val="auto"/>
                <w:sz w:val="26"/>
                <w:szCs w:val="26"/>
                <w:highlight w:val="none"/>
                <w:lang w:val="en-US" w:eastAsia="zh-CN"/>
              </w:rPr>
              <w:t>据</w:t>
            </w:r>
            <w:r>
              <w:rPr>
                <w:rFonts w:hint="eastAsia" w:ascii="Times New Roman" w:hAnsi="Times New Roman"/>
                <w:color w:val="auto"/>
                <w:sz w:val="26"/>
                <w:szCs w:val="26"/>
                <w:highlight w:val="none"/>
                <w:lang w:val="en-US" w:eastAsia="zh-CN"/>
              </w:rPr>
              <w:t>《云南省昆明市东川区排子田普通建筑材料用石灰岩矿矿产资源开发利用方案》</w:t>
            </w:r>
            <w:r>
              <w:rPr>
                <w:rFonts w:hint="eastAsia"/>
                <w:color w:val="auto"/>
                <w:sz w:val="26"/>
                <w:szCs w:val="26"/>
                <w:highlight w:val="none"/>
                <w:lang w:val="en-US" w:eastAsia="zh-CN"/>
              </w:rPr>
              <w:t>，本</w:t>
            </w:r>
            <w:r>
              <w:rPr>
                <w:rFonts w:hint="eastAsia" w:ascii="Times New Roman" w:hAnsi="Times New Roman"/>
                <w:color w:val="auto"/>
                <w:sz w:val="26"/>
                <w:szCs w:val="26"/>
                <w:highlight w:val="none"/>
              </w:rPr>
              <w:t>项目日开采量为</w:t>
            </w:r>
            <w:r>
              <w:rPr>
                <w:rFonts w:hint="eastAsia"/>
                <w:color w:val="auto"/>
                <w:sz w:val="26"/>
                <w:szCs w:val="26"/>
                <w:highlight w:val="none"/>
                <w:lang w:val="en-US" w:eastAsia="zh-CN"/>
              </w:rPr>
              <w:t>1000t，20</w:t>
            </w:r>
            <w:r>
              <w:rPr>
                <w:rFonts w:hint="eastAsia" w:ascii="Times New Roman" w:hAnsi="Times New Roman"/>
                <w:color w:val="auto"/>
                <w:sz w:val="26"/>
                <w:szCs w:val="26"/>
                <w:highlight w:val="none"/>
              </w:rPr>
              <w:t>t的</w:t>
            </w:r>
            <w:r>
              <w:rPr>
                <w:rFonts w:hint="eastAsia"/>
                <w:color w:val="auto"/>
                <w:sz w:val="26"/>
                <w:szCs w:val="26"/>
                <w:highlight w:val="none"/>
                <w:lang w:val="en-US" w:eastAsia="zh-CN"/>
              </w:rPr>
              <w:t>自</w:t>
            </w:r>
            <w:r>
              <w:rPr>
                <w:rFonts w:hint="eastAsia" w:ascii="Times New Roman" w:hAnsi="Times New Roman"/>
                <w:color w:val="auto"/>
                <w:sz w:val="26"/>
                <w:szCs w:val="26"/>
                <w:highlight w:val="none"/>
              </w:rPr>
              <w:t>卸车装运，共配备</w:t>
            </w:r>
            <w:r>
              <w:rPr>
                <w:rFonts w:hint="eastAsia"/>
                <w:color w:val="auto"/>
                <w:sz w:val="26"/>
                <w:szCs w:val="26"/>
                <w:highlight w:val="none"/>
                <w:lang w:val="en-US" w:eastAsia="zh-CN"/>
              </w:rPr>
              <w:t>3</w:t>
            </w:r>
            <w:r>
              <w:rPr>
                <w:rFonts w:hint="eastAsia" w:ascii="Times New Roman" w:hAnsi="Times New Roman"/>
                <w:color w:val="auto"/>
                <w:sz w:val="26"/>
                <w:szCs w:val="26"/>
                <w:highlight w:val="none"/>
              </w:rPr>
              <w:t>辆装卸车</w:t>
            </w:r>
            <w:r>
              <w:rPr>
                <w:rFonts w:hint="eastAsia"/>
                <w:color w:val="auto"/>
                <w:sz w:val="26"/>
                <w:szCs w:val="26"/>
                <w:highlight w:val="none"/>
                <w:lang w:eastAsia="zh-CN"/>
              </w:rPr>
              <w:t>，</w:t>
            </w:r>
            <w:r>
              <w:rPr>
                <w:rFonts w:hint="eastAsia" w:ascii="Times New Roman" w:hAnsi="Times New Roman"/>
                <w:color w:val="auto"/>
                <w:sz w:val="26"/>
                <w:szCs w:val="26"/>
                <w:highlight w:val="none"/>
              </w:rPr>
              <w:t>平均每天每辆车的装卸车次达1</w:t>
            </w:r>
            <w:r>
              <w:rPr>
                <w:rFonts w:hint="eastAsia"/>
                <w:color w:val="auto"/>
                <w:sz w:val="26"/>
                <w:szCs w:val="26"/>
                <w:highlight w:val="none"/>
                <w:lang w:val="en-US" w:eastAsia="zh-CN"/>
              </w:rPr>
              <w:t>7</w:t>
            </w:r>
            <w:r>
              <w:rPr>
                <w:rFonts w:hint="eastAsia" w:ascii="Times New Roman" w:hAnsi="Times New Roman"/>
                <w:color w:val="auto"/>
                <w:sz w:val="26"/>
                <w:szCs w:val="26"/>
                <w:highlight w:val="none"/>
              </w:rPr>
              <w:t>次左右。本工程矿石至破碎站最大运输距离约</w:t>
            </w:r>
            <w:r>
              <w:rPr>
                <w:rFonts w:hint="eastAsia"/>
                <w:color w:val="auto"/>
                <w:sz w:val="26"/>
                <w:szCs w:val="26"/>
                <w:highlight w:val="none"/>
                <w:lang w:val="en-US" w:eastAsia="zh-CN"/>
              </w:rPr>
              <w:t>6</w:t>
            </w:r>
            <w:r>
              <w:rPr>
                <w:rFonts w:hint="eastAsia" w:ascii="Times New Roman" w:hAnsi="Times New Roman"/>
                <w:color w:val="auto"/>
                <w:sz w:val="26"/>
                <w:szCs w:val="26"/>
                <w:highlight w:val="none"/>
              </w:rPr>
              <w:t>00m，汽车平均时速15km/h，其产尘强度与路面种类、气候干湿以及汽车行驶速度等因素有关。各矿山地理位置、气候条件不同，产尘量的差异也较大。据国外资料介绍，当运矿汽车以4m/s的速度运行时路面空气中的粉尘量在10~15mg/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之间。在道路两侧50m内粉尘浓度有可能超过1mg/m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的浓度。汽车道路扬尘量按经验如</w:t>
            </w:r>
            <w:r>
              <w:rPr>
                <w:rFonts w:hint="eastAsia"/>
                <w:color w:val="auto"/>
                <w:sz w:val="26"/>
                <w:szCs w:val="26"/>
                <w:highlight w:val="none"/>
                <w:lang w:val="en-US" w:eastAsia="zh-CN"/>
              </w:rPr>
              <w:t>下</w:t>
            </w:r>
            <w:r>
              <w:rPr>
                <w:rFonts w:hint="eastAsia" w:ascii="Times New Roman" w:hAnsi="Times New Roman"/>
                <w:color w:val="auto"/>
                <w:sz w:val="26"/>
                <w:szCs w:val="26"/>
                <w:highlight w:val="none"/>
              </w:rPr>
              <w:t>公式估算:</w:t>
            </w:r>
          </w:p>
          <w:p w14:paraId="03522C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Q＝N·L·Qi·</w:t>
            </w:r>
            <w:r>
              <w:rPr>
                <w:rFonts w:hint="eastAsia" w:cs="Times New Roman"/>
                <w:color w:val="auto"/>
                <w:highlight w:val="none"/>
                <w:lang w:val="en-US" w:eastAsia="zh-CN"/>
              </w:rPr>
              <w:t>M</w:t>
            </w:r>
          </w:p>
          <w:p w14:paraId="3D8E02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olor w:val="auto"/>
                <w:sz w:val="26"/>
                <w:szCs w:val="26"/>
                <w:highlight w:val="none"/>
                <w:lang w:eastAsia="zh-CN"/>
              </w:rPr>
            </w:pPr>
            <w:r>
              <w:rPr>
                <w:rFonts w:hint="default" w:ascii="Times New Roman" w:hAnsi="Times New Roman" w:cs="Times New Roman"/>
                <w:color w:val="auto"/>
                <w:highlight w:val="none"/>
                <w:lang w:val="en-US" w:eastAsia="zh-CN"/>
              </w:rPr>
              <w:t>Qi=0.0079V·W</w:t>
            </w:r>
            <w:r>
              <w:rPr>
                <w:rFonts w:hint="default" w:ascii="Times New Roman" w:hAnsi="Times New Roman" w:cs="Times New Roman"/>
                <w:color w:val="auto"/>
                <w:highlight w:val="none"/>
                <w:vertAlign w:val="superscript"/>
                <w:lang w:val="en-US" w:eastAsia="zh-CN"/>
              </w:rPr>
              <w:t>0.85</w:t>
            </w:r>
            <w:r>
              <w:rPr>
                <w:rFonts w:hint="default" w:ascii="Times New Roman" w:hAnsi="Times New Roman" w:cs="Times New Roman"/>
                <w:color w:val="auto"/>
                <w:highlight w:val="none"/>
                <w:lang w:val="en-US" w:eastAsia="zh-CN"/>
              </w:rPr>
              <w:t>·P</w:t>
            </w:r>
            <w:r>
              <w:rPr>
                <w:rFonts w:hint="default" w:ascii="Times New Roman" w:hAnsi="Times New Roman" w:cs="Times New Roman"/>
                <w:color w:val="auto"/>
                <w:highlight w:val="none"/>
                <w:vertAlign w:val="superscript"/>
                <w:lang w:val="en-US" w:eastAsia="zh-CN"/>
              </w:rPr>
              <w:t>0.72</w:t>
            </w:r>
          </w:p>
          <w:p w14:paraId="6BDE4D7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式中</w:t>
            </w:r>
            <w:r>
              <w:rPr>
                <w:rFonts w:hint="eastAsia"/>
                <w:color w:val="auto"/>
                <w:sz w:val="26"/>
                <w:szCs w:val="26"/>
                <w:highlight w:val="none"/>
                <w:lang w:eastAsia="zh-CN"/>
              </w:rPr>
              <w:t>：</w:t>
            </w:r>
            <w:r>
              <w:rPr>
                <w:rFonts w:hint="eastAsia" w:ascii="Times New Roman" w:hAnsi="Times New Roman"/>
                <w:color w:val="auto"/>
                <w:sz w:val="26"/>
                <w:szCs w:val="26"/>
                <w:highlight w:val="none"/>
              </w:rPr>
              <w:t>Qi</w:t>
            </w:r>
            <w:r>
              <w:rPr>
                <w:rFonts w:hint="eastAsia"/>
                <w:color w:val="auto"/>
                <w:sz w:val="26"/>
                <w:szCs w:val="26"/>
                <w:highlight w:val="none"/>
                <w:lang w:eastAsia="zh-CN"/>
              </w:rPr>
              <w:t>—</w:t>
            </w:r>
            <w:r>
              <w:rPr>
                <w:rFonts w:hint="eastAsia" w:ascii="Times New Roman" w:hAnsi="Times New Roman"/>
                <w:color w:val="auto"/>
                <w:sz w:val="26"/>
                <w:szCs w:val="26"/>
                <w:highlight w:val="none"/>
              </w:rPr>
              <w:t>汽车每车次行驶扬尘量(kg/km</w:t>
            </w:r>
            <w:r>
              <w:rPr>
                <w:rFonts w:hint="eastAsia" w:ascii="宋体" w:hAnsi="宋体" w:eastAsia="宋体" w:cs="宋体"/>
                <w:color w:val="auto"/>
                <w:sz w:val="26"/>
                <w:szCs w:val="26"/>
                <w:highlight w:val="none"/>
              </w:rPr>
              <w:t>·</w:t>
            </w:r>
            <w:r>
              <w:rPr>
                <w:rFonts w:hint="eastAsia" w:ascii="Times New Roman" w:hAnsi="Times New Roman"/>
                <w:color w:val="auto"/>
                <w:sz w:val="26"/>
                <w:szCs w:val="26"/>
                <w:highlight w:val="none"/>
              </w:rPr>
              <w:t>辆)</w:t>
            </w:r>
            <w:r>
              <w:rPr>
                <w:rFonts w:hint="eastAsia"/>
                <w:color w:val="auto"/>
                <w:sz w:val="26"/>
                <w:szCs w:val="26"/>
                <w:highlight w:val="none"/>
                <w:lang w:eastAsia="zh-CN"/>
              </w:rPr>
              <w:t>；</w:t>
            </w:r>
          </w:p>
          <w:p w14:paraId="34913603">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Q</w:t>
            </w:r>
            <w:r>
              <w:rPr>
                <w:rFonts w:hint="eastAsia"/>
                <w:color w:val="auto"/>
                <w:sz w:val="26"/>
                <w:szCs w:val="26"/>
                <w:highlight w:val="none"/>
                <w:lang w:eastAsia="zh-CN"/>
              </w:rPr>
              <w:t>—</w:t>
            </w:r>
            <w:r>
              <w:rPr>
                <w:rFonts w:hint="eastAsia" w:ascii="Times New Roman" w:hAnsi="Times New Roman"/>
                <w:color w:val="auto"/>
                <w:sz w:val="26"/>
                <w:szCs w:val="26"/>
                <w:highlight w:val="none"/>
              </w:rPr>
              <w:t>汽车运输总扬尘量</w:t>
            </w:r>
            <w:r>
              <w:rPr>
                <w:rFonts w:hint="eastAsia"/>
                <w:color w:val="auto"/>
                <w:sz w:val="26"/>
                <w:szCs w:val="26"/>
                <w:highlight w:val="none"/>
                <w:lang w:eastAsia="zh-CN"/>
              </w:rPr>
              <w:t>；</w:t>
            </w:r>
          </w:p>
          <w:p w14:paraId="1D97BCC2">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V</w:t>
            </w:r>
            <w:r>
              <w:rPr>
                <w:rFonts w:hint="eastAsia"/>
                <w:color w:val="auto"/>
                <w:sz w:val="26"/>
                <w:szCs w:val="26"/>
                <w:highlight w:val="none"/>
                <w:lang w:eastAsia="zh-CN"/>
              </w:rPr>
              <w:t>—</w:t>
            </w:r>
            <w:r>
              <w:rPr>
                <w:rFonts w:hint="eastAsia" w:ascii="Times New Roman" w:hAnsi="Times New Roman"/>
                <w:color w:val="auto"/>
                <w:sz w:val="26"/>
                <w:szCs w:val="26"/>
                <w:highlight w:val="none"/>
              </w:rPr>
              <w:t>汽车速度 (km/h)，取</w:t>
            </w:r>
            <w:r>
              <w:rPr>
                <w:rFonts w:hint="eastAsia"/>
                <w:color w:val="auto"/>
                <w:sz w:val="26"/>
                <w:szCs w:val="26"/>
                <w:highlight w:val="none"/>
                <w:lang w:val="en-US" w:eastAsia="zh-CN"/>
              </w:rPr>
              <w:t>15</w:t>
            </w:r>
            <w:r>
              <w:rPr>
                <w:rFonts w:hint="eastAsia" w:ascii="Times New Roman" w:hAnsi="Times New Roman"/>
                <w:color w:val="auto"/>
                <w:sz w:val="26"/>
                <w:szCs w:val="26"/>
                <w:highlight w:val="none"/>
              </w:rPr>
              <w:t>km/h</w:t>
            </w:r>
            <w:r>
              <w:rPr>
                <w:rFonts w:hint="eastAsia"/>
                <w:color w:val="auto"/>
                <w:sz w:val="26"/>
                <w:szCs w:val="26"/>
                <w:highlight w:val="none"/>
                <w:lang w:eastAsia="zh-CN"/>
              </w:rPr>
              <w:t>；</w:t>
            </w:r>
          </w:p>
          <w:p w14:paraId="3E5D778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W</w:t>
            </w:r>
            <w:r>
              <w:rPr>
                <w:rFonts w:hint="eastAsia"/>
                <w:color w:val="auto"/>
                <w:sz w:val="26"/>
                <w:szCs w:val="26"/>
                <w:highlight w:val="none"/>
                <w:lang w:eastAsia="zh-CN"/>
              </w:rPr>
              <w:t>—</w:t>
            </w:r>
            <w:r>
              <w:rPr>
                <w:rFonts w:hint="eastAsia" w:ascii="Times New Roman" w:hAnsi="Times New Roman"/>
                <w:color w:val="auto"/>
                <w:sz w:val="26"/>
                <w:szCs w:val="26"/>
                <w:highlight w:val="none"/>
              </w:rPr>
              <w:t>汽车重量 (T)，取</w:t>
            </w:r>
            <w:r>
              <w:rPr>
                <w:rFonts w:hint="eastAsia"/>
                <w:color w:val="auto"/>
                <w:sz w:val="26"/>
                <w:szCs w:val="26"/>
                <w:highlight w:val="none"/>
                <w:lang w:val="en-US" w:eastAsia="zh-CN"/>
              </w:rPr>
              <w:t>20</w:t>
            </w:r>
            <w:r>
              <w:rPr>
                <w:rFonts w:hint="eastAsia" w:ascii="Times New Roman" w:hAnsi="Times New Roman"/>
                <w:color w:val="auto"/>
                <w:sz w:val="26"/>
                <w:szCs w:val="26"/>
                <w:highlight w:val="none"/>
              </w:rPr>
              <w:t>t</w:t>
            </w:r>
            <w:r>
              <w:rPr>
                <w:rFonts w:hint="eastAsia"/>
                <w:color w:val="auto"/>
                <w:sz w:val="26"/>
                <w:szCs w:val="26"/>
                <w:highlight w:val="none"/>
                <w:lang w:eastAsia="zh-CN"/>
              </w:rPr>
              <w:t>；</w:t>
            </w:r>
          </w:p>
          <w:p w14:paraId="423A0DFB">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P</w:t>
            </w:r>
            <w:r>
              <w:rPr>
                <w:rFonts w:hint="eastAsia"/>
                <w:color w:val="auto"/>
                <w:sz w:val="26"/>
                <w:szCs w:val="26"/>
                <w:highlight w:val="none"/>
                <w:lang w:eastAsia="zh-CN"/>
              </w:rPr>
              <w:t>—</w:t>
            </w:r>
            <w:r>
              <w:rPr>
                <w:rFonts w:hint="eastAsia" w:ascii="Times New Roman" w:hAnsi="Times New Roman"/>
                <w:color w:val="auto"/>
                <w:sz w:val="26"/>
                <w:szCs w:val="26"/>
                <w:highlight w:val="none"/>
              </w:rPr>
              <w:t>道路表面粉尘量 (kg/m</w:t>
            </w:r>
            <w:r>
              <w:rPr>
                <w:rFonts w:hint="eastAsia"/>
                <w:color w:val="auto"/>
                <w:sz w:val="26"/>
                <w:szCs w:val="26"/>
                <w:highlight w:val="none"/>
                <w:vertAlign w:val="superscript"/>
                <w:lang w:val="en-US" w:eastAsia="zh-CN"/>
              </w:rPr>
              <w:t>2</w:t>
            </w:r>
            <w:r>
              <w:rPr>
                <w:rFonts w:hint="eastAsia" w:ascii="Times New Roman" w:hAnsi="Times New Roman"/>
                <w:color w:val="auto"/>
                <w:sz w:val="26"/>
                <w:szCs w:val="26"/>
                <w:highlight w:val="none"/>
              </w:rPr>
              <w:t>)，取0.</w:t>
            </w:r>
            <w:r>
              <w:rPr>
                <w:rFonts w:hint="eastAsia"/>
                <w:color w:val="auto"/>
                <w:sz w:val="26"/>
                <w:szCs w:val="26"/>
                <w:highlight w:val="none"/>
                <w:lang w:val="en-US" w:eastAsia="zh-CN"/>
              </w:rPr>
              <w:t>2</w:t>
            </w:r>
            <w:r>
              <w:rPr>
                <w:rFonts w:hint="eastAsia" w:ascii="Times New Roman" w:hAnsi="Times New Roman"/>
                <w:color w:val="auto"/>
                <w:sz w:val="26"/>
                <w:szCs w:val="26"/>
                <w:highlight w:val="none"/>
              </w:rPr>
              <w:t>kg/m</w:t>
            </w:r>
            <w:r>
              <w:rPr>
                <w:rFonts w:hint="eastAsia" w:ascii="Times New Roman" w:hAnsi="Times New Roman"/>
                <w:color w:val="auto"/>
                <w:sz w:val="26"/>
                <w:szCs w:val="26"/>
                <w:highlight w:val="none"/>
                <w:vertAlign w:val="superscript"/>
              </w:rPr>
              <w:t>2</w:t>
            </w:r>
            <w:r>
              <w:rPr>
                <w:rFonts w:hint="eastAsia"/>
                <w:color w:val="auto"/>
                <w:sz w:val="26"/>
                <w:szCs w:val="26"/>
                <w:highlight w:val="none"/>
                <w:lang w:eastAsia="zh-CN"/>
              </w:rPr>
              <w:t>；</w:t>
            </w:r>
          </w:p>
          <w:p w14:paraId="5995146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N——汽车数量，</w:t>
            </w: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辆；</w:t>
            </w:r>
          </w:p>
          <w:p w14:paraId="12586779">
            <w:pPr>
              <w:bidi w:val="0"/>
              <w:rPr>
                <w:rFonts w:hint="eastAsia" w:ascii="Times New Roman" w:hAnsi="Times New Roman"/>
                <w:color w:val="auto"/>
                <w:sz w:val="26"/>
                <w:szCs w:val="26"/>
                <w:highlight w:val="none"/>
              </w:rPr>
            </w:pPr>
            <w:r>
              <w:rPr>
                <w:rFonts w:hint="default" w:ascii="Times New Roman" w:hAnsi="Times New Roman" w:cs="Times New Roman"/>
                <w:color w:val="auto"/>
                <w:highlight w:val="none"/>
                <w:lang w:val="en-US" w:eastAsia="zh-CN"/>
              </w:rPr>
              <w:t>L——运输距离，</w:t>
            </w:r>
            <w:r>
              <w:rPr>
                <w:rFonts w:hint="eastAsia" w:ascii="Times New Roman" w:hAnsi="Times New Roman" w:cs="Times New Roman"/>
                <w:color w:val="auto"/>
                <w:highlight w:val="none"/>
                <w:lang w:val="en-US" w:eastAsia="zh-CN"/>
              </w:rPr>
              <w:t>0.6k</w:t>
            </w:r>
            <w:r>
              <w:rPr>
                <w:rFonts w:hint="default" w:ascii="Times New Roman" w:hAnsi="Times New Roman" w:cs="Times New Roman"/>
                <w:color w:val="auto"/>
                <w:highlight w:val="none"/>
                <w:lang w:val="en-US" w:eastAsia="zh-CN"/>
              </w:rPr>
              <w:t>m</w:t>
            </w:r>
            <w:r>
              <w:rPr>
                <w:rFonts w:hint="eastAsia" w:ascii="Times New Roman" w:hAnsi="Times New Roman" w:cs="Times New Roman"/>
                <w:color w:val="auto"/>
                <w:highlight w:val="none"/>
                <w:lang w:val="en-US" w:eastAsia="zh-CN"/>
              </w:rPr>
              <w:t>；</w:t>
            </w:r>
          </w:p>
          <w:p w14:paraId="0AAA44C9">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olor w:val="auto"/>
                <w:sz w:val="26"/>
                <w:szCs w:val="26"/>
                <w:highlight w:val="none"/>
                <w:lang w:val="en-US" w:eastAsia="zh-CN"/>
              </w:rPr>
            </w:pPr>
            <w:r>
              <w:rPr>
                <w:rFonts w:hint="eastAsia"/>
                <w:color w:val="auto"/>
                <w:sz w:val="26"/>
                <w:szCs w:val="26"/>
                <w:highlight w:val="none"/>
                <w:lang w:val="en-US" w:eastAsia="zh-CN"/>
              </w:rPr>
              <w:t>M</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每辆汽车运输次数；</w:t>
            </w:r>
          </w:p>
          <w:p w14:paraId="0411D35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根据上</w:t>
            </w:r>
            <w:r>
              <w:rPr>
                <w:rFonts w:hint="eastAsia"/>
                <w:color w:val="auto"/>
                <w:sz w:val="26"/>
                <w:szCs w:val="26"/>
                <w:highlight w:val="none"/>
                <w:lang w:val="en-US" w:eastAsia="zh-CN"/>
              </w:rPr>
              <w:t>述公</w:t>
            </w:r>
            <w:r>
              <w:rPr>
                <w:rFonts w:hint="eastAsia" w:ascii="Times New Roman" w:hAnsi="Times New Roman"/>
                <w:color w:val="auto"/>
                <w:sz w:val="26"/>
                <w:szCs w:val="26"/>
                <w:highlight w:val="none"/>
              </w:rPr>
              <w:t>式计算，Qi</w:t>
            </w:r>
            <w:r>
              <w:rPr>
                <w:rFonts w:hint="eastAsia"/>
                <w:color w:val="auto"/>
                <w:sz w:val="26"/>
                <w:szCs w:val="26"/>
                <w:highlight w:val="none"/>
                <w:lang w:val="en-US" w:eastAsia="zh-CN"/>
              </w:rPr>
              <w:t>=0.4747</w:t>
            </w:r>
            <w:r>
              <w:rPr>
                <w:rFonts w:hint="eastAsia" w:ascii="Times New Roman" w:hAnsi="Times New Roman"/>
                <w:color w:val="auto"/>
                <w:sz w:val="26"/>
                <w:szCs w:val="26"/>
                <w:highlight w:val="none"/>
              </w:rPr>
              <w:t>kg/km</w:t>
            </w:r>
            <w:r>
              <w:rPr>
                <w:rFonts w:hint="eastAsia" w:ascii="宋体" w:hAnsi="宋体" w:eastAsia="宋体" w:cs="宋体"/>
                <w:color w:val="auto"/>
                <w:sz w:val="26"/>
                <w:szCs w:val="26"/>
                <w:highlight w:val="none"/>
              </w:rPr>
              <w:t>·</w:t>
            </w:r>
            <w:r>
              <w:rPr>
                <w:rFonts w:hint="eastAsia" w:ascii="Times New Roman" w:hAnsi="Times New Roman"/>
                <w:color w:val="auto"/>
                <w:sz w:val="26"/>
                <w:szCs w:val="26"/>
                <w:highlight w:val="none"/>
              </w:rPr>
              <w:t>辆</w:t>
            </w:r>
            <w:r>
              <w:rPr>
                <w:rFonts w:hint="eastAsia"/>
                <w:color w:val="auto"/>
                <w:sz w:val="26"/>
                <w:szCs w:val="26"/>
                <w:highlight w:val="none"/>
                <w:lang w:eastAsia="zh-CN"/>
              </w:rPr>
              <w:t>，</w:t>
            </w:r>
            <w:r>
              <w:rPr>
                <w:rFonts w:hint="eastAsia"/>
                <w:color w:val="auto"/>
                <w:sz w:val="26"/>
                <w:szCs w:val="26"/>
                <w:highlight w:val="none"/>
                <w:lang w:val="en-US" w:eastAsia="zh-CN"/>
              </w:rPr>
              <w:t>则</w:t>
            </w:r>
            <w:r>
              <w:rPr>
                <w:rFonts w:hint="eastAsia" w:ascii="Times New Roman" w:hAnsi="Times New Roman"/>
                <w:color w:val="auto"/>
                <w:sz w:val="26"/>
                <w:szCs w:val="26"/>
                <w:highlight w:val="none"/>
              </w:rPr>
              <w:t>Q本工程汽车运输引起粉尘</w:t>
            </w:r>
            <w:r>
              <w:rPr>
                <w:rFonts w:hint="eastAsia"/>
                <w:color w:val="auto"/>
                <w:sz w:val="26"/>
                <w:szCs w:val="26"/>
                <w:highlight w:val="none"/>
                <w:lang w:val="en-US" w:eastAsia="zh-CN"/>
              </w:rPr>
              <w:t>总</w:t>
            </w:r>
            <w:r>
              <w:rPr>
                <w:rFonts w:hint="eastAsia" w:ascii="Times New Roman" w:hAnsi="Times New Roman"/>
                <w:color w:val="auto"/>
                <w:sz w:val="26"/>
                <w:szCs w:val="26"/>
                <w:highlight w:val="none"/>
              </w:rPr>
              <w:t>产生量约为</w:t>
            </w:r>
            <w:r>
              <w:rPr>
                <w:rFonts w:hint="eastAsia"/>
                <w:color w:val="auto"/>
                <w:sz w:val="26"/>
                <w:szCs w:val="26"/>
                <w:highlight w:val="none"/>
                <w:lang w:val="en-US" w:eastAsia="zh-CN"/>
              </w:rPr>
              <w:t>14.53</w:t>
            </w:r>
            <w:r>
              <w:rPr>
                <w:rFonts w:hint="eastAsia" w:ascii="Times New Roman" w:hAnsi="Times New Roman"/>
                <w:color w:val="auto"/>
                <w:sz w:val="26"/>
                <w:szCs w:val="26"/>
                <w:highlight w:val="none"/>
              </w:rPr>
              <w:t>kg/d</w:t>
            </w:r>
            <w:r>
              <w:rPr>
                <w:rFonts w:hint="eastAsia"/>
                <w:color w:val="auto"/>
                <w:sz w:val="26"/>
                <w:szCs w:val="26"/>
                <w:highlight w:val="none"/>
                <w:lang w:eastAsia="zh-CN"/>
              </w:rPr>
              <w:t>，</w:t>
            </w:r>
            <w:r>
              <w:rPr>
                <w:rFonts w:hint="eastAsia"/>
                <w:color w:val="auto"/>
                <w:sz w:val="26"/>
                <w:szCs w:val="26"/>
                <w:highlight w:val="none"/>
                <w:lang w:val="en-US" w:eastAsia="zh-CN"/>
              </w:rPr>
              <w:t>4.36</w:t>
            </w:r>
            <w:r>
              <w:rPr>
                <w:rFonts w:hint="eastAsia" w:ascii="Times New Roman" w:hAnsi="Times New Roman"/>
                <w:color w:val="auto"/>
                <w:sz w:val="26"/>
                <w:szCs w:val="26"/>
                <w:highlight w:val="none"/>
              </w:rPr>
              <w:t>t</w:t>
            </w:r>
            <w:r>
              <w:rPr>
                <w:rFonts w:hint="eastAsia"/>
                <w:color w:val="auto"/>
                <w:sz w:val="26"/>
                <w:szCs w:val="26"/>
                <w:highlight w:val="none"/>
                <w:lang w:val="en-US" w:eastAsia="zh-CN"/>
              </w:rPr>
              <w:t>/</w:t>
            </w:r>
            <w:r>
              <w:rPr>
                <w:rFonts w:hint="eastAsia" w:ascii="Times New Roman" w:hAnsi="Times New Roman"/>
                <w:color w:val="auto"/>
                <w:sz w:val="26"/>
                <w:szCs w:val="26"/>
                <w:highlight w:val="none"/>
              </w:rPr>
              <w:t>a。运输道路</w:t>
            </w:r>
            <w:r>
              <w:rPr>
                <w:rFonts w:hint="eastAsia"/>
                <w:color w:val="auto"/>
                <w:sz w:val="26"/>
                <w:szCs w:val="26"/>
                <w:highlight w:val="none"/>
                <w:lang w:val="en-US" w:eastAsia="zh-CN"/>
              </w:rPr>
              <w:t>设</w:t>
            </w:r>
            <w:r>
              <w:rPr>
                <w:rFonts w:hint="eastAsia" w:ascii="Times New Roman" w:hAnsi="Times New Roman"/>
                <w:color w:val="auto"/>
                <w:sz w:val="26"/>
                <w:szCs w:val="26"/>
                <w:highlight w:val="none"/>
              </w:rPr>
              <w:t>洒水</w:t>
            </w:r>
            <w:r>
              <w:rPr>
                <w:rFonts w:hint="eastAsia"/>
                <w:color w:val="auto"/>
                <w:sz w:val="26"/>
                <w:szCs w:val="26"/>
                <w:highlight w:val="none"/>
                <w:lang w:val="en-US" w:eastAsia="zh-CN"/>
              </w:rPr>
              <w:t>设施</w:t>
            </w:r>
            <w:r>
              <w:rPr>
                <w:rFonts w:hint="eastAsia" w:ascii="Times New Roman" w:hAnsi="Times New Roman"/>
                <w:color w:val="auto"/>
                <w:sz w:val="26"/>
                <w:szCs w:val="26"/>
                <w:highlight w:val="none"/>
              </w:rPr>
              <w:t>，通过洒水可将道路起尘量降低70%，则运输车辆起尘量为</w:t>
            </w:r>
            <w:r>
              <w:rPr>
                <w:rFonts w:hint="eastAsia"/>
                <w:color w:val="auto"/>
                <w:sz w:val="26"/>
                <w:szCs w:val="26"/>
                <w:highlight w:val="none"/>
                <w:lang w:val="en-US" w:eastAsia="zh-CN"/>
              </w:rPr>
              <w:t>4.36</w:t>
            </w:r>
            <w:r>
              <w:rPr>
                <w:rFonts w:hint="eastAsia" w:ascii="Times New Roman" w:hAnsi="Times New Roman"/>
                <w:color w:val="auto"/>
                <w:sz w:val="26"/>
                <w:szCs w:val="26"/>
                <w:highlight w:val="none"/>
              </w:rPr>
              <w:t>kg/d</w:t>
            </w:r>
            <w:r>
              <w:rPr>
                <w:rFonts w:hint="eastAsia"/>
                <w:color w:val="auto"/>
                <w:sz w:val="26"/>
                <w:szCs w:val="26"/>
                <w:highlight w:val="none"/>
                <w:lang w:eastAsia="zh-CN"/>
              </w:rPr>
              <w:t>，</w:t>
            </w:r>
            <w:r>
              <w:rPr>
                <w:rFonts w:hint="eastAsia"/>
                <w:color w:val="auto"/>
                <w:sz w:val="26"/>
                <w:szCs w:val="26"/>
                <w:highlight w:val="none"/>
                <w:lang w:val="en-US" w:eastAsia="zh-CN"/>
              </w:rPr>
              <w:t>1.31</w:t>
            </w:r>
            <w:r>
              <w:rPr>
                <w:rFonts w:hint="eastAsia" w:ascii="Times New Roman" w:hAnsi="Times New Roman"/>
                <w:color w:val="auto"/>
                <w:sz w:val="26"/>
                <w:szCs w:val="26"/>
                <w:highlight w:val="none"/>
              </w:rPr>
              <w:t>t</w:t>
            </w:r>
            <w:r>
              <w:rPr>
                <w:rFonts w:hint="eastAsia"/>
                <w:color w:val="auto"/>
                <w:sz w:val="26"/>
                <w:szCs w:val="26"/>
                <w:highlight w:val="none"/>
                <w:lang w:val="en-US" w:eastAsia="zh-CN"/>
              </w:rPr>
              <w:t>/</w:t>
            </w:r>
            <w:r>
              <w:rPr>
                <w:rFonts w:hint="eastAsia" w:ascii="Times New Roman" w:hAnsi="Times New Roman"/>
                <w:color w:val="auto"/>
                <w:sz w:val="26"/>
                <w:szCs w:val="26"/>
                <w:highlight w:val="none"/>
              </w:rPr>
              <w:t>a。</w:t>
            </w:r>
          </w:p>
          <w:p w14:paraId="55187617">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⑤</w:t>
            </w:r>
            <w:r>
              <w:rPr>
                <w:rFonts w:hint="eastAsia" w:ascii="Times New Roman" w:hAnsi="Times New Roman"/>
                <w:color w:val="auto"/>
                <w:sz w:val="26"/>
                <w:szCs w:val="26"/>
                <w:highlight w:val="none"/>
              </w:rPr>
              <w:t>矿石</w:t>
            </w:r>
            <w:r>
              <w:rPr>
                <w:rFonts w:hint="eastAsia"/>
                <w:color w:val="auto"/>
                <w:sz w:val="26"/>
                <w:szCs w:val="26"/>
                <w:highlight w:val="none"/>
                <w:lang w:val="en-US" w:eastAsia="zh-CN"/>
              </w:rPr>
              <w:t>破碎</w:t>
            </w:r>
            <w:r>
              <w:rPr>
                <w:rFonts w:hint="eastAsia" w:ascii="Times New Roman" w:hAnsi="Times New Roman"/>
                <w:color w:val="auto"/>
                <w:sz w:val="26"/>
                <w:szCs w:val="26"/>
                <w:highlight w:val="none"/>
              </w:rPr>
              <w:t>加工粉尘</w:t>
            </w:r>
          </w:p>
          <w:p w14:paraId="6BDDBB75">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eastAsia="宋体" w:cs="Times New Roman"/>
                <w:color w:val="auto"/>
                <w:sz w:val="26"/>
                <w:szCs w:val="26"/>
                <w:highlight w:val="none"/>
              </w:rPr>
            </w:pPr>
            <w:r>
              <w:rPr>
                <w:rFonts w:hint="eastAsia" w:ascii="Times New Roman" w:hAnsi="Times New Roman" w:eastAsia="宋体" w:cs="Times New Roman"/>
                <w:color w:val="auto"/>
                <w:sz w:val="26"/>
                <w:szCs w:val="26"/>
                <w:highlight w:val="none"/>
              </w:rPr>
              <w:t>项目</w:t>
            </w:r>
            <w:r>
              <w:rPr>
                <w:rFonts w:hint="eastAsia" w:ascii="Times New Roman" w:hAnsi="Times New Roman" w:eastAsia="宋体" w:cs="Times New Roman"/>
                <w:color w:val="auto"/>
                <w:sz w:val="26"/>
                <w:szCs w:val="26"/>
                <w:highlight w:val="none"/>
                <w:lang w:val="en-US" w:eastAsia="zh-CN"/>
              </w:rPr>
              <w:t>建设完工</w:t>
            </w:r>
            <w:r>
              <w:rPr>
                <w:rFonts w:hint="eastAsia" w:ascii="Times New Roman" w:hAnsi="Times New Roman" w:eastAsia="宋体" w:cs="Times New Roman"/>
                <w:color w:val="auto"/>
                <w:sz w:val="26"/>
                <w:szCs w:val="26"/>
                <w:highlight w:val="none"/>
              </w:rPr>
              <w:t>后年破碎石料量为</w:t>
            </w:r>
            <w:r>
              <w:rPr>
                <w:rFonts w:hint="eastAsia" w:ascii="Times New Roman" w:hAnsi="Times New Roman" w:eastAsia="宋体" w:cs="Times New Roman"/>
                <w:color w:val="auto"/>
                <w:sz w:val="26"/>
                <w:szCs w:val="26"/>
                <w:highlight w:val="none"/>
                <w:lang w:val="en-US" w:eastAsia="zh-CN"/>
              </w:rPr>
              <w:t>3</w:t>
            </w:r>
            <w:r>
              <w:rPr>
                <w:rFonts w:hint="eastAsia" w:ascii="Times New Roman" w:hAnsi="Times New Roman" w:eastAsia="宋体" w:cs="Times New Roman"/>
                <w:color w:val="auto"/>
                <w:sz w:val="26"/>
                <w:szCs w:val="26"/>
                <w:highlight w:val="none"/>
              </w:rPr>
              <w:t>0万t。项目破碎系统包括了破碎机及筛分</w:t>
            </w:r>
            <w:r>
              <w:rPr>
                <w:rFonts w:hint="eastAsia" w:cs="Times New Roman"/>
                <w:color w:val="auto"/>
                <w:sz w:val="26"/>
                <w:szCs w:val="26"/>
                <w:highlight w:val="none"/>
                <w:lang w:val="en-US" w:eastAsia="zh-CN"/>
              </w:rPr>
              <w:t>机</w:t>
            </w:r>
            <w:r>
              <w:rPr>
                <w:rFonts w:hint="eastAsia" w:ascii="Times New Roman" w:hAnsi="Times New Roman" w:eastAsia="宋体" w:cs="Times New Roman"/>
                <w:color w:val="auto"/>
                <w:sz w:val="26"/>
                <w:szCs w:val="26"/>
                <w:highlight w:val="none"/>
              </w:rPr>
              <w:t>等环节，原矿</w:t>
            </w:r>
            <w:r>
              <w:rPr>
                <w:rFonts w:hint="eastAsia" w:cs="Times New Roman"/>
                <w:color w:val="auto"/>
                <w:sz w:val="26"/>
                <w:szCs w:val="26"/>
                <w:highlight w:val="none"/>
                <w:lang w:val="en-US" w:eastAsia="zh-CN"/>
              </w:rPr>
              <w:t>经采选后运至破碎机</w:t>
            </w:r>
            <w:r>
              <w:rPr>
                <w:rFonts w:hint="eastAsia" w:ascii="Times New Roman" w:hAnsi="Times New Roman" w:eastAsia="宋体" w:cs="Times New Roman"/>
                <w:color w:val="auto"/>
                <w:sz w:val="26"/>
                <w:szCs w:val="26"/>
                <w:highlight w:val="none"/>
              </w:rPr>
              <w:t>进行破碎、筛分后临时堆放于成品堆场外运出售。项目破碎、筛分全过程采用全密闭，破碎</w:t>
            </w:r>
            <w:r>
              <w:rPr>
                <w:rFonts w:hint="eastAsia" w:cs="Times New Roman"/>
                <w:color w:val="auto"/>
                <w:sz w:val="26"/>
                <w:szCs w:val="26"/>
                <w:highlight w:val="none"/>
                <w:lang w:val="en-US" w:eastAsia="zh-CN"/>
              </w:rPr>
              <w:t>机</w:t>
            </w:r>
            <w:r>
              <w:rPr>
                <w:rFonts w:hint="eastAsia" w:ascii="Times New Roman" w:hAnsi="Times New Roman" w:eastAsia="宋体" w:cs="Times New Roman"/>
                <w:color w:val="auto"/>
                <w:sz w:val="26"/>
                <w:szCs w:val="26"/>
                <w:highlight w:val="none"/>
              </w:rPr>
              <w:t>设置全封闭式集气罩对产生的粉尘进行收集，</w:t>
            </w:r>
            <w:r>
              <w:rPr>
                <w:rFonts w:hint="eastAsia" w:cs="Times New Roman"/>
                <w:color w:val="auto"/>
                <w:sz w:val="26"/>
                <w:szCs w:val="26"/>
                <w:highlight w:val="none"/>
                <w:lang w:val="en-US" w:eastAsia="zh-CN"/>
              </w:rPr>
              <w:t>集气罩为5m*5m*5m，</w:t>
            </w:r>
            <w:r>
              <w:rPr>
                <w:rFonts w:hint="eastAsia" w:ascii="Times New Roman" w:hAnsi="Times New Roman" w:eastAsia="宋体" w:cs="Times New Roman"/>
                <w:color w:val="auto"/>
                <w:sz w:val="26"/>
                <w:szCs w:val="26"/>
                <w:highlight w:val="none"/>
              </w:rPr>
              <w:t>集气罩</w:t>
            </w:r>
            <w:r>
              <w:rPr>
                <w:rFonts w:hint="eastAsia" w:cs="Times New Roman"/>
                <w:color w:val="auto"/>
                <w:sz w:val="26"/>
                <w:szCs w:val="26"/>
                <w:highlight w:val="none"/>
                <w:lang w:val="en-US" w:eastAsia="zh-CN"/>
              </w:rPr>
              <w:t>收尘率为97%，</w:t>
            </w:r>
            <w:r>
              <w:rPr>
                <w:rFonts w:hint="eastAsia" w:ascii="Times New Roman" w:hAnsi="Times New Roman" w:eastAsia="宋体" w:cs="Times New Roman"/>
                <w:color w:val="auto"/>
                <w:sz w:val="26"/>
                <w:szCs w:val="26"/>
                <w:highlight w:val="none"/>
              </w:rPr>
              <w:t>收集后的粉尘通过布袋除尘器处理</w:t>
            </w:r>
            <w:r>
              <w:rPr>
                <w:rFonts w:hint="eastAsia" w:cs="Times New Roman"/>
                <w:color w:val="auto"/>
                <w:sz w:val="26"/>
                <w:szCs w:val="26"/>
                <w:highlight w:val="none"/>
                <w:lang w:eastAsia="zh-CN"/>
              </w:rPr>
              <w:t>（</w:t>
            </w:r>
            <w:r>
              <w:rPr>
                <w:rFonts w:hint="eastAsia" w:cs="Times New Roman"/>
                <w:color w:val="auto"/>
                <w:sz w:val="26"/>
                <w:szCs w:val="26"/>
                <w:highlight w:val="none"/>
                <w:lang w:val="en-US" w:eastAsia="zh-CN"/>
              </w:rPr>
              <w:t>据建设单位提供安装的布袋除尘器处理效率为99.9%</w:t>
            </w:r>
            <w:r>
              <w:rPr>
                <w:rFonts w:hint="eastAsia" w:cs="Times New Roman"/>
                <w:color w:val="auto"/>
                <w:sz w:val="26"/>
                <w:szCs w:val="26"/>
                <w:highlight w:val="none"/>
                <w:lang w:eastAsia="zh-CN"/>
              </w:rPr>
              <w:t>）</w:t>
            </w:r>
            <w:r>
              <w:rPr>
                <w:rFonts w:hint="eastAsia" w:ascii="Times New Roman" w:hAnsi="Times New Roman" w:eastAsia="宋体" w:cs="Times New Roman"/>
                <w:color w:val="auto"/>
                <w:sz w:val="26"/>
                <w:szCs w:val="26"/>
                <w:highlight w:val="none"/>
              </w:rPr>
              <w:t>，处理后的粉尘经15m的排气简排放</w:t>
            </w:r>
            <w:r>
              <w:rPr>
                <w:rFonts w:hint="eastAsia" w:cs="Times New Roman"/>
                <w:color w:val="auto"/>
                <w:sz w:val="26"/>
                <w:szCs w:val="26"/>
                <w:highlight w:val="none"/>
                <w:lang w:eastAsia="zh-CN"/>
              </w:rPr>
              <w:t>。</w:t>
            </w:r>
            <w:r>
              <w:rPr>
                <w:rFonts w:hint="eastAsia" w:ascii="Times New Roman" w:hAnsi="Times New Roman" w:eastAsia="宋体" w:cs="Times New Roman"/>
                <w:color w:val="auto"/>
                <w:sz w:val="26"/>
                <w:szCs w:val="26"/>
                <w:highlight w:val="none"/>
              </w:rPr>
              <w:t>集气罩</w:t>
            </w:r>
            <w:r>
              <w:rPr>
                <w:rFonts w:hint="eastAsia" w:cs="Times New Roman"/>
                <w:color w:val="auto"/>
                <w:sz w:val="26"/>
                <w:szCs w:val="26"/>
                <w:highlight w:val="none"/>
                <w:lang w:val="en-US" w:eastAsia="zh-CN"/>
              </w:rPr>
              <w:t>未收集的呈无组织排放，破碎生产系统外安装洒水降尘喷雾，可抑制85%的粉尘排放</w:t>
            </w:r>
            <w:r>
              <w:rPr>
                <w:rFonts w:hint="eastAsia" w:ascii="Times New Roman" w:hAnsi="Times New Roman" w:eastAsia="宋体" w:cs="Times New Roman"/>
                <w:color w:val="auto"/>
                <w:sz w:val="26"/>
                <w:szCs w:val="26"/>
                <w:highlight w:val="none"/>
              </w:rPr>
              <w:t>。本项目</w:t>
            </w:r>
            <w:r>
              <w:rPr>
                <w:rFonts w:hint="eastAsia" w:ascii="Times New Roman" w:hAnsi="Times New Roman" w:eastAsia="宋体" w:cs="Times New Roman"/>
                <w:color w:val="auto"/>
                <w:sz w:val="26"/>
                <w:szCs w:val="26"/>
                <w:highlight w:val="none"/>
                <w:lang w:val="en-US" w:eastAsia="zh-CN"/>
              </w:rPr>
              <w:t>设有</w:t>
            </w:r>
            <w:r>
              <w:rPr>
                <w:rFonts w:hint="eastAsia" w:ascii="Times New Roman" w:hAnsi="Times New Roman" w:eastAsia="宋体" w:cs="Times New Roman"/>
                <w:color w:val="auto"/>
                <w:sz w:val="26"/>
                <w:szCs w:val="26"/>
                <w:highlight w:val="none"/>
              </w:rPr>
              <w:t>2条破碎生产线</w:t>
            </w:r>
            <w:r>
              <w:rPr>
                <w:rFonts w:hint="eastAsia" w:ascii="Times New Roman" w:hAnsi="Times New Roman" w:eastAsia="宋体" w:cs="Times New Roman"/>
                <w:color w:val="auto"/>
                <w:sz w:val="26"/>
                <w:szCs w:val="26"/>
                <w:highlight w:val="none"/>
                <w:lang w:eastAsia="zh-CN"/>
              </w:rPr>
              <w:t>，</w:t>
            </w:r>
            <w:r>
              <w:rPr>
                <w:rFonts w:hint="eastAsia" w:ascii="Times New Roman" w:hAnsi="Times New Roman" w:eastAsia="宋体" w:cs="Times New Roman"/>
                <w:color w:val="auto"/>
                <w:sz w:val="26"/>
                <w:szCs w:val="26"/>
                <w:highlight w:val="none"/>
                <w:lang w:val="en-US" w:eastAsia="zh-CN"/>
              </w:rPr>
              <w:t>2套布袋除尘器，</w:t>
            </w:r>
            <w:r>
              <w:rPr>
                <w:rFonts w:hint="eastAsia" w:ascii="Times New Roman" w:hAnsi="Times New Roman" w:eastAsia="宋体" w:cs="Times New Roman"/>
                <w:color w:val="auto"/>
                <w:sz w:val="26"/>
                <w:szCs w:val="26"/>
                <w:highlight w:val="none"/>
              </w:rPr>
              <w:t>每条破碎生产线风机风量为5000m</w:t>
            </w:r>
            <w:r>
              <w:rPr>
                <w:rFonts w:hint="eastAsia" w:ascii="Times New Roman" w:hAnsi="Times New Roman" w:eastAsia="宋体" w:cs="Times New Roman"/>
                <w:color w:val="auto"/>
                <w:sz w:val="26"/>
                <w:szCs w:val="26"/>
                <w:highlight w:val="none"/>
                <w:vertAlign w:val="superscript"/>
              </w:rPr>
              <w:t>3</w:t>
            </w:r>
            <w:r>
              <w:rPr>
                <w:rFonts w:hint="eastAsia" w:ascii="Times New Roman" w:hAnsi="Times New Roman" w:eastAsia="宋体" w:cs="Times New Roman"/>
                <w:color w:val="auto"/>
                <w:sz w:val="26"/>
                <w:szCs w:val="26"/>
                <w:highlight w:val="none"/>
              </w:rPr>
              <w:t>/h</w:t>
            </w:r>
            <w:r>
              <w:rPr>
                <w:rFonts w:hint="eastAsia" w:ascii="Times New Roman" w:hAnsi="Times New Roman" w:eastAsia="宋体" w:cs="Times New Roman"/>
                <w:color w:val="auto"/>
                <w:sz w:val="26"/>
                <w:szCs w:val="26"/>
                <w:highlight w:val="none"/>
                <w:lang w:eastAsia="zh-CN"/>
              </w:rPr>
              <w:t>，</w:t>
            </w:r>
            <w:r>
              <w:rPr>
                <w:rFonts w:hint="eastAsia" w:ascii="Times New Roman" w:hAnsi="Times New Roman" w:eastAsia="宋体" w:cs="Times New Roman"/>
                <w:color w:val="auto"/>
                <w:sz w:val="26"/>
                <w:szCs w:val="26"/>
                <w:highlight w:val="none"/>
              </w:rPr>
              <w:t>15m高排气简(直径0.6m</w:t>
            </w:r>
            <w:r>
              <w:rPr>
                <w:rFonts w:hint="eastAsia" w:ascii="Times New Roman" w:hAnsi="Times New Roman" w:eastAsia="宋体" w:cs="Times New Roman"/>
                <w:color w:val="auto"/>
                <w:sz w:val="26"/>
                <w:szCs w:val="26"/>
                <w:highlight w:val="none"/>
                <w:lang w:eastAsia="zh-CN"/>
              </w:rPr>
              <w:t>）</w:t>
            </w:r>
            <w:r>
              <w:rPr>
                <w:rFonts w:hint="eastAsia" w:cs="Times New Roman"/>
                <w:color w:val="auto"/>
                <w:sz w:val="26"/>
                <w:szCs w:val="26"/>
                <w:highlight w:val="none"/>
                <w:lang w:eastAsia="zh-CN"/>
              </w:rPr>
              <w:t>。</w:t>
            </w:r>
            <w:r>
              <w:rPr>
                <w:rFonts w:hint="eastAsia" w:cs="Times New Roman"/>
                <w:color w:val="auto"/>
                <w:sz w:val="26"/>
                <w:szCs w:val="26"/>
                <w:highlight w:val="none"/>
                <w:lang w:val="en-US" w:eastAsia="zh-CN"/>
              </w:rPr>
              <w:t>项目每年生产2万吨的块石，需破碎制成的产品有碎石（24万t/a）及机砂（4万t/a），</w:t>
            </w:r>
            <w:r>
              <w:rPr>
                <w:rFonts w:hint="eastAsia" w:ascii="Times New Roman" w:hAnsi="Times New Roman" w:eastAsia="宋体" w:cs="Times New Roman"/>
                <w:color w:val="auto"/>
                <w:sz w:val="26"/>
                <w:szCs w:val="26"/>
                <w:highlight w:val="none"/>
                <w:lang w:val="en-US" w:eastAsia="zh-CN"/>
              </w:rPr>
              <w:t>1号、</w:t>
            </w:r>
            <w:r>
              <w:rPr>
                <w:rFonts w:hint="eastAsia" w:ascii="Times New Roman" w:hAnsi="Times New Roman" w:eastAsia="宋体" w:cs="Times New Roman"/>
                <w:color w:val="auto"/>
                <w:sz w:val="26"/>
                <w:szCs w:val="26"/>
                <w:highlight w:val="none"/>
              </w:rPr>
              <w:t>2</w:t>
            </w:r>
            <w:r>
              <w:rPr>
                <w:rFonts w:hint="eastAsia" w:ascii="Times New Roman" w:hAnsi="Times New Roman" w:eastAsia="宋体" w:cs="Times New Roman"/>
                <w:color w:val="auto"/>
                <w:sz w:val="26"/>
                <w:szCs w:val="26"/>
                <w:highlight w:val="none"/>
                <w:lang w:val="en-US" w:eastAsia="zh-CN"/>
              </w:rPr>
              <w:t>号</w:t>
            </w:r>
            <w:r>
              <w:rPr>
                <w:rFonts w:hint="eastAsia" w:ascii="Times New Roman" w:hAnsi="Times New Roman" w:eastAsia="宋体" w:cs="Times New Roman"/>
                <w:color w:val="auto"/>
                <w:sz w:val="26"/>
                <w:szCs w:val="26"/>
                <w:highlight w:val="none"/>
              </w:rPr>
              <w:t>破碎生产线</w:t>
            </w:r>
            <w:r>
              <w:rPr>
                <w:rFonts w:hint="eastAsia" w:ascii="Times New Roman" w:hAnsi="Times New Roman" w:eastAsia="宋体" w:cs="Times New Roman"/>
                <w:color w:val="auto"/>
                <w:sz w:val="26"/>
                <w:szCs w:val="26"/>
                <w:highlight w:val="none"/>
                <w:lang w:val="en-US" w:eastAsia="zh-CN"/>
              </w:rPr>
              <w:t>各破碎</w:t>
            </w:r>
            <w:r>
              <w:rPr>
                <w:rFonts w:hint="eastAsia" w:cs="Times New Roman"/>
                <w:color w:val="auto"/>
                <w:sz w:val="26"/>
                <w:szCs w:val="26"/>
                <w:highlight w:val="none"/>
                <w:lang w:val="en-US" w:eastAsia="zh-CN"/>
              </w:rPr>
              <w:t>生产线</w:t>
            </w:r>
            <w:r>
              <w:rPr>
                <w:rFonts w:hint="eastAsia" w:ascii="Times New Roman" w:hAnsi="Times New Roman" w:eastAsia="宋体" w:cs="Times New Roman"/>
                <w:color w:val="auto"/>
                <w:sz w:val="26"/>
                <w:szCs w:val="26"/>
                <w:highlight w:val="none"/>
                <w:lang w:val="en-US" w:eastAsia="zh-CN"/>
              </w:rPr>
              <w:t>能力为1</w:t>
            </w:r>
            <w:r>
              <w:rPr>
                <w:rFonts w:hint="eastAsia" w:cs="Times New Roman"/>
                <w:color w:val="auto"/>
                <w:sz w:val="26"/>
                <w:szCs w:val="26"/>
                <w:highlight w:val="none"/>
                <w:lang w:val="en-US" w:eastAsia="zh-CN"/>
              </w:rPr>
              <w:t>4</w:t>
            </w:r>
            <w:r>
              <w:rPr>
                <w:rFonts w:hint="eastAsia" w:ascii="Times New Roman" w:hAnsi="Times New Roman" w:eastAsia="宋体" w:cs="Times New Roman"/>
                <w:color w:val="auto"/>
                <w:sz w:val="26"/>
                <w:szCs w:val="26"/>
                <w:highlight w:val="none"/>
                <w:lang w:val="en-US" w:eastAsia="zh-CN"/>
              </w:rPr>
              <w:t>万t/a</w:t>
            </w:r>
            <w:r>
              <w:rPr>
                <w:rFonts w:hint="eastAsia" w:ascii="Times New Roman" w:hAnsi="Times New Roman" w:eastAsia="宋体" w:cs="Times New Roman"/>
                <w:color w:val="auto"/>
                <w:sz w:val="26"/>
                <w:szCs w:val="26"/>
                <w:highlight w:val="none"/>
              </w:rPr>
              <w:t>。</w:t>
            </w:r>
          </w:p>
          <w:p w14:paraId="27690053">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eastAsia="宋体" w:cs="Times New Roman"/>
                <w:color w:val="auto"/>
                <w:sz w:val="26"/>
                <w:szCs w:val="26"/>
                <w:highlight w:val="none"/>
                <w:lang w:eastAsia="zh-CN"/>
              </w:rPr>
            </w:pPr>
            <w:r>
              <w:rPr>
                <w:rFonts w:hint="eastAsia" w:ascii="Times New Roman" w:hAnsi="Times New Roman" w:eastAsia="宋体" w:cs="Times New Roman"/>
                <w:color w:val="auto"/>
                <w:sz w:val="26"/>
                <w:szCs w:val="26"/>
                <w:highlight w:val="none"/>
                <w:lang w:val="en-US" w:eastAsia="zh-CN"/>
              </w:rPr>
              <w:t>本项目采用分级破碎方式，</w:t>
            </w:r>
            <w:r>
              <w:rPr>
                <w:rFonts w:hint="eastAsia" w:ascii="Times New Roman" w:hAnsi="Times New Roman" w:eastAsia="宋体" w:cs="Times New Roman"/>
                <w:color w:val="auto"/>
                <w:sz w:val="26"/>
                <w:szCs w:val="26"/>
                <w:highlight w:val="none"/>
              </w:rPr>
              <w:t>参考《逸散性工业粉尘控制技术》、《工业污染核算》等书，并类比同类型行业数据。</w:t>
            </w:r>
            <w:r>
              <w:rPr>
                <w:rFonts w:hint="eastAsia" w:ascii="Times New Roman" w:hAnsi="Times New Roman" w:eastAsia="宋体" w:cs="Times New Roman"/>
                <w:color w:val="auto"/>
                <w:sz w:val="26"/>
                <w:szCs w:val="26"/>
                <w:highlight w:val="none"/>
                <w:lang w:val="en-US" w:eastAsia="zh-CN"/>
              </w:rPr>
              <w:t>石灰岩矿</w:t>
            </w:r>
            <w:r>
              <w:rPr>
                <w:rFonts w:hint="eastAsia" w:ascii="Times New Roman" w:hAnsi="Times New Roman" w:eastAsia="宋体" w:cs="Times New Roman"/>
                <w:color w:val="auto"/>
                <w:sz w:val="26"/>
                <w:szCs w:val="26"/>
                <w:highlight w:val="none"/>
              </w:rPr>
              <w:t>处理过程中颗粒物排放</w:t>
            </w:r>
            <w:r>
              <w:rPr>
                <w:rFonts w:hint="eastAsia" w:ascii="Times New Roman" w:hAnsi="Times New Roman" w:eastAsia="宋体" w:cs="Times New Roman"/>
                <w:color w:val="auto"/>
                <w:sz w:val="26"/>
                <w:szCs w:val="26"/>
                <w:highlight w:val="none"/>
                <w:lang w:val="en-US" w:eastAsia="zh-CN"/>
              </w:rPr>
              <w:t>系数</w:t>
            </w:r>
            <w:r>
              <w:rPr>
                <w:rFonts w:hint="eastAsia" w:ascii="Times New Roman" w:hAnsi="Times New Roman" w:eastAsia="宋体" w:cs="Times New Roman"/>
                <w:color w:val="auto"/>
                <w:sz w:val="26"/>
                <w:szCs w:val="26"/>
                <w:highlight w:val="none"/>
              </w:rPr>
              <w:t>如下表</w:t>
            </w:r>
            <w:r>
              <w:rPr>
                <w:rFonts w:hint="eastAsia" w:ascii="Times New Roman" w:hAnsi="Times New Roman" w:eastAsia="宋体" w:cs="Times New Roman"/>
                <w:color w:val="auto"/>
                <w:sz w:val="26"/>
                <w:szCs w:val="26"/>
                <w:highlight w:val="none"/>
                <w:lang w:eastAsia="zh-CN"/>
              </w:rPr>
              <w:t>：</w:t>
            </w:r>
          </w:p>
          <w:p w14:paraId="1AE2E32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center"/>
              <w:textAlignment w:val="auto"/>
              <w:rPr>
                <w:rFonts w:hint="eastAsia" w:ascii="Times New Roman" w:hAnsi="Times New Roman" w:eastAsia="宋体"/>
                <w:color w:val="auto"/>
                <w:sz w:val="26"/>
                <w:szCs w:val="26"/>
                <w:highlight w:val="none"/>
                <w:lang w:eastAsia="zh-CN"/>
              </w:rPr>
            </w:pPr>
            <w:r>
              <w:rPr>
                <w:rFonts w:hint="eastAsia" w:ascii="Times New Roman" w:hAnsi="Times New Roman"/>
                <w:b/>
                <w:bCs/>
                <w:color w:val="auto"/>
                <w:sz w:val="21"/>
                <w:szCs w:val="21"/>
                <w:highlight w:val="none"/>
              </w:rPr>
              <w:t>表5-1</w:t>
            </w:r>
            <w:r>
              <w:rPr>
                <w:rFonts w:hint="eastAsia"/>
                <w:b/>
                <w:bCs/>
                <w:color w:val="auto"/>
                <w:sz w:val="21"/>
                <w:szCs w:val="21"/>
                <w:highlight w:val="none"/>
                <w:lang w:val="en-US" w:eastAsia="zh-CN"/>
              </w:rPr>
              <w:t xml:space="preserve"> </w:t>
            </w:r>
            <w:r>
              <w:rPr>
                <w:rFonts w:hint="eastAsia" w:ascii="Times New Roman" w:hAnsi="Times New Roman"/>
                <w:b/>
                <w:bCs/>
                <w:color w:val="auto"/>
                <w:sz w:val="21"/>
                <w:szCs w:val="21"/>
                <w:highlight w:val="none"/>
              </w:rPr>
              <w:t>矿石处理过程中颗粒物排放</w:t>
            </w:r>
            <w:r>
              <w:rPr>
                <w:rFonts w:hint="eastAsia" w:ascii="Times New Roman" w:hAnsi="Times New Roman"/>
                <w:b/>
                <w:bCs/>
                <w:color w:val="auto"/>
                <w:sz w:val="21"/>
                <w:szCs w:val="21"/>
                <w:highlight w:val="none"/>
                <w:lang w:val="en-US" w:eastAsia="zh-CN"/>
              </w:rPr>
              <w:t>系数</w:t>
            </w:r>
          </w:p>
          <w:tbl>
            <w:tblPr>
              <w:tblStyle w:val="23"/>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5FAC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6074ED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加工工序</w:t>
                  </w:r>
                </w:p>
              </w:tc>
              <w:tc>
                <w:tcPr>
                  <w:tcW w:w="4153" w:type="dxa"/>
                  <w:noWrap w:val="0"/>
                  <w:vAlign w:val="top"/>
                </w:tcPr>
                <w:p w14:paraId="044698C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颗粒物排放系数（kg/t）</w:t>
                  </w:r>
                </w:p>
              </w:tc>
            </w:tr>
            <w:tr w14:paraId="20B4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32100B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一段破碎、筛分</w:t>
                  </w:r>
                </w:p>
              </w:tc>
              <w:tc>
                <w:tcPr>
                  <w:tcW w:w="4153" w:type="dxa"/>
                  <w:noWrap w:val="0"/>
                  <w:vAlign w:val="top"/>
                </w:tcPr>
                <w:p w14:paraId="630409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0.2</w:t>
                  </w:r>
                  <w:r>
                    <w:rPr>
                      <w:rFonts w:hint="eastAsia"/>
                      <w:color w:val="auto"/>
                      <w:sz w:val="22"/>
                      <w:szCs w:val="22"/>
                      <w:highlight w:val="none"/>
                      <w:vertAlign w:val="baseline"/>
                      <w:lang w:val="en-US" w:eastAsia="zh-CN"/>
                    </w:rPr>
                    <w:t>0</w:t>
                  </w:r>
                </w:p>
              </w:tc>
            </w:tr>
            <w:tr w14:paraId="6275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val="0"/>
                  <w:vAlign w:val="top"/>
                </w:tcPr>
                <w:p w14:paraId="68B1CB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二段破碎、筛分</w:t>
                  </w:r>
                </w:p>
              </w:tc>
              <w:tc>
                <w:tcPr>
                  <w:tcW w:w="4153" w:type="dxa"/>
                  <w:noWrap w:val="0"/>
                  <w:vAlign w:val="top"/>
                </w:tcPr>
                <w:p w14:paraId="3838BD6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color w:val="auto"/>
                      <w:sz w:val="22"/>
                      <w:szCs w:val="22"/>
                      <w:highlight w:val="none"/>
                      <w:vertAlign w:val="baseline"/>
                      <w:lang w:val="en-US" w:eastAsia="zh-CN"/>
                    </w:rPr>
                    <w:t>0.45</w:t>
                  </w:r>
                </w:p>
              </w:tc>
            </w:tr>
          </w:tbl>
          <w:p w14:paraId="3AF7813A">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sz w:val="26"/>
                <w:szCs w:val="26"/>
                <w:highlight w:val="none"/>
              </w:rPr>
              <w:t>本采石场石料破碎加工工艺如下</w:t>
            </w:r>
            <w:r>
              <w:rPr>
                <w:rFonts w:hint="eastAsia" w:ascii="Times New Roman" w:hAnsi="Times New Roman" w:eastAsia="宋体" w:cs="Times New Roman"/>
                <w:color w:val="auto"/>
                <w:sz w:val="26"/>
                <w:szCs w:val="26"/>
                <w:highlight w:val="none"/>
                <w:lang w:eastAsia="zh-CN"/>
              </w:rPr>
              <w:t>：</w:t>
            </w:r>
            <w:r>
              <w:rPr>
                <w:rFonts w:hint="eastAsia" w:ascii="Times New Roman" w:hAnsi="Times New Roman" w:eastAsia="宋体" w:cs="Times New Roman"/>
                <w:color w:val="auto"/>
                <w:sz w:val="26"/>
                <w:szCs w:val="26"/>
                <w:highlight w:val="none"/>
              </w:rPr>
              <w:t>用挖机和装载机将毛石进行挑选，废料和成品料分选，部分选块石出售(本采石场块石年产量约</w:t>
            </w:r>
            <w:r>
              <w:rPr>
                <w:rFonts w:hint="eastAsia" w:ascii="Times New Roman" w:hAnsi="Times New Roman" w:eastAsia="宋体" w:cs="Times New Roman"/>
                <w:color w:val="auto"/>
                <w:sz w:val="26"/>
                <w:szCs w:val="26"/>
                <w:highlight w:val="none"/>
                <w:lang w:val="en-US" w:eastAsia="zh-CN"/>
              </w:rPr>
              <w:t>2</w:t>
            </w:r>
            <w:r>
              <w:rPr>
                <w:rFonts w:hint="eastAsia" w:ascii="Times New Roman" w:hAnsi="Times New Roman" w:eastAsia="宋体" w:cs="Times New Roman"/>
                <w:color w:val="auto"/>
                <w:sz w:val="26"/>
                <w:szCs w:val="26"/>
                <w:highlight w:val="none"/>
              </w:rPr>
              <w:t>万吨)，其余合格的成品毛石料装车运至生产线给料机，给料机把石头送至颚式破碎机进行</w:t>
            </w:r>
            <w:r>
              <w:rPr>
                <w:rFonts w:hint="eastAsia" w:ascii="Times New Roman" w:hAnsi="Times New Roman" w:eastAsia="宋体" w:cs="Times New Roman"/>
                <w:color w:val="auto"/>
                <w:sz w:val="26"/>
                <w:szCs w:val="26"/>
                <w:highlight w:val="none"/>
                <w:lang w:val="en-US" w:eastAsia="zh-CN"/>
              </w:rPr>
              <w:t>一段</w:t>
            </w:r>
            <w:r>
              <w:rPr>
                <w:rFonts w:hint="eastAsia" w:ascii="Times New Roman" w:hAnsi="Times New Roman" w:eastAsia="宋体" w:cs="Times New Roman"/>
                <w:color w:val="auto"/>
                <w:sz w:val="26"/>
                <w:szCs w:val="26"/>
                <w:highlight w:val="none"/>
              </w:rPr>
              <w:t>破碎，石头破碎后，通过分土筛进行土石分离，分离后部分合格石料作为中碎石成品(本采石场碎石年产量约</w:t>
            </w:r>
            <w:r>
              <w:rPr>
                <w:rFonts w:hint="eastAsia" w:ascii="Times New Roman" w:hAnsi="Times New Roman" w:eastAsia="宋体" w:cs="Times New Roman"/>
                <w:color w:val="auto"/>
                <w:sz w:val="26"/>
                <w:szCs w:val="26"/>
                <w:highlight w:val="none"/>
                <w:lang w:val="en-US" w:eastAsia="zh-CN"/>
              </w:rPr>
              <w:t>24</w:t>
            </w:r>
            <w:r>
              <w:rPr>
                <w:rFonts w:hint="eastAsia" w:ascii="Times New Roman" w:hAnsi="Times New Roman" w:eastAsia="宋体" w:cs="Times New Roman"/>
                <w:color w:val="auto"/>
                <w:sz w:val="26"/>
                <w:szCs w:val="26"/>
                <w:highlight w:val="none"/>
              </w:rPr>
              <w:t>万吨)，其余合格石料通过回料带进入二</w:t>
            </w:r>
            <w:r>
              <w:rPr>
                <w:rFonts w:hint="eastAsia" w:ascii="Times New Roman" w:hAnsi="Times New Roman" w:eastAsia="宋体" w:cs="Times New Roman"/>
                <w:color w:val="auto"/>
                <w:sz w:val="26"/>
                <w:szCs w:val="26"/>
                <w:highlight w:val="none"/>
                <w:lang w:val="en-US" w:eastAsia="zh-CN"/>
              </w:rPr>
              <w:t>段</w:t>
            </w:r>
            <w:r>
              <w:rPr>
                <w:rFonts w:hint="eastAsia" w:ascii="Times New Roman" w:hAnsi="Times New Roman" w:eastAsia="宋体" w:cs="Times New Roman"/>
                <w:color w:val="auto"/>
                <w:sz w:val="26"/>
                <w:szCs w:val="26"/>
                <w:highlight w:val="none"/>
              </w:rPr>
              <w:t>破碎，破碎后输送带传出。石头经过输送带被送至振动筛，筛子将大小不一的石头，经过不同的筛孔自然下落，把不同规格的石头筛选开来。振动筛筛选之后，各种规格的料经过下方的皮带送至各自料场，形成机砂等产品(本采石场机砂年产量约</w:t>
            </w:r>
            <w:r>
              <w:rPr>
                <w:rFonts w:hint="eastAsia" w:ascii="Times New Roman" w:hAnsi="Times New Roman" w:eastAsia="宋体" w:cs="Times New Roman"/>
                <w:color w:val="auto"/>
                <w:sz w:val="26"/>
                <w:szCs w:val="26"/>
                <w:highlight w:val="none"/>
                <w:lang w:val="en-US" w:eastAsia="zh-CN"/>
              </w:rPr>
              <w:t>4</w:t>
            </w:r>
            <w:r>
              <w:rPr>
                <w:rFonts w:hint="eastAsia" w:ascii="Times New Roman" w:hAnsi="Times New Roman" w:eastAsia="宋体" w:cs="Times New Roman"/>
                <w:color w:val="auto"/>
                <w:sz w:val="26"/>
                <w:szCs w:val="26"/>
                <w:highlight w:val="none"/>
              </w:rPr>
              <w:t>万吨)。</w:t>
            </w:r>
            <w:r>
              <w:rPr>
                <w:rFonts w:hint="eastAsia" w:ascii="Times New Roman" w:hAnsi="Times New Roman" w:eastAsia="宋体" w:cs="Times New Roman"/>
                <w:color w:val="auto"/>
                <w:sz w:val="26"/>
                <w:szCs w:val="26"/>
                <w:highlight w:val="none"/>
                <w:lang w:val="en-US" w:eastAsia="zh-CN"/>
              </w:rPr>
              <w:t>则本项目矿石破碎加工粉尘产生、排放情况如下表：</w:t>
            </w:r>
          </w:p>
          <w:p w14:paraId="6052292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b/>
                <w:bCs/>
                <w:color w:val="auto"/>
                <w:sz w:val="21"/>
                <w:szCs w:val="21"/>
                <w:highlight w:val="none"/>
              </w:rPr>
            </w:pPr>
            <w:r>
              <w:rPr>
                <w:rFonts w:hint="eastAsia" w:ascii="Times New Roman" w:hAnsi="Times New Roman"/>
                <w:b/>
                <w:bCs/>
                <w:color w:val="auto"/>
                <w:sz w:val="21"/>
                <w:szCs w:val="21"/>
                <w:highlight w:val="none"/>
              </w:rPr>
              <w:t>表5-2各工序产品量及产尘量</w:t>
            </w:r>
          </w:p>
          <w:tbl>
            <w:tblPr>
              <w:tblStyle w:val="23"/>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406"/>
              <w:gridCol w:w="907"/>
              <w:gridCol w:w="1151"/>
              <w:gridCol w:w="1151"/>
              <w:gridCol w:w="1151"/>
              <w:gridCol w:w="874"/>
            </w:tblGrid>
            <w:tr w14:paraId="4B1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noWrap w:val="0"/>
                  <w:vAlign w:val="center"/>
                </w:tcPr>
                <w:p w14:paraId="0BB3D7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加工工序</w:t>
                  </w:r>
                </w:p>
              </w:tc>
              <w:tc>
                <w:tcPr>
                  <w:tcW w:w="839" w:type="pct"/>
                  <w:noWrap w:val="0"/>
                  <w:vAlign w:val="center"/>
                </w:tcPr>
                <w:p w14:paraId="75A55D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产品数量（万t/a）</w:t>
                  </w:r>
                </w:p>
              </w:tc>
              <w:tc>
                <w:tcPr>
                  <w:tcW w:w="541" w:type="pct"/>
                  <w:noWrap w:val="0"/>
                  <w:vAlign w:val="center"/>
                </w:tcPr>
                <w:p w14:paraId="3A5C21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产尘量（t/a）</w:t>
                  </w:r>
                </w:p>
              </w:tc>
              <w:tc>
                <w:tcPr>
                  <w:tcW w:w="687" w:type="pct"/>
                  <w:noWrap w:val="0"/>
                  <w:vAlign w:val="center"/>
                </w:tcPr>
                <w:p w14:paraId="6AAB52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集气罩收尘率</w:t>
                  </w:r>
                </w:p>
              </w:tc>
              <w:tc>
                <w:tcPr>
                  <w:tcW w:w="687" w:type="pct"/>
                  <w:noWrap w:val="0"/>
                  <w:vAlign w:val="center"/>
                </w:tcPr>
                <w:p w14:paraId="1F83B8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收集粉尘量</w:t>
                  </w:r>
                  <w:r>
                    <w:rPr>
                      <w:rFonts w:hint="eastAsia" w:ascii="Times New Roman" w:hAnsi="Times New Roman" w:eastAsia="宋体"/>
                      <w:color w:val="auto"/>
                      <w:sz w:val="22"/>
                      <w:szCs w:val="22"/>
                      <w:highlight w:val="none"/>
                      <w:vertAlign w:val="baseline"/>
                      <w:lang w:val="en-US" w:eastAsia="zh-CN"/>
                    </w:rPr>
                    <w:t>t/a</w:t>
                  </w:r>
                </w:p>
              </w:tc>
              <w:tc>
                <w:tcPr>
                  <w:tcW w:w="687" w:type="pct"/>
                  <w:noWrap w:val="0"/>
                  <w:vAlign w:val="center"/>
                </w:tcPr>
                <w:p w14:paraId="292290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布袋除尘效率</w:t>
                  </w:r>
                </w:p>
              </w:tc>
              <w:tc>
                <w:tcPr>
                  <w:tcW w:w="521" w:type="pct"/>
                  <w:noWrap w:val="0"/>
                  <w:vAlign w:val="center"/>
                </w:tcPr>
                <w:p w14:paraId="57A319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排放量t/a</w:t>
                  </w:r>
                </w:p>
              </w:tc>
            </w:tr>
            <w:tr w14:paraId="590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noWrap w:val="0"/>
                  <w:vAlign w:val="center"/>
                </w:tcPr>
                <w:p w14:paraId="494F25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一段破碎</w:t>
                  </w:r>
                  <w:r>
                    <w:rPr>
                      <w:rFonts w:hint="eastAsia" w:ascii="Times New Roman" w:hAnsi="Times New Roman"/>
                      <w:color w:val="auto"/>
                      <w:sz w:val="22"/>
                      <w:szCs w:val="22"/>
                      <w:highlight w:val="none"/>
                      <w:vertAlign w:val="baseline"/>
                      <w:lang w:val="en-US" w:eastAsia="zh-CN"/>
                    </w:rPr>
                    <w:t>、筛分</w:t>
                  </w:r>
                </w:p>
              </w:tc>
              <w:tc>
                <w:tcPr>
                  <w:tcW w:w="839" w:type="pct"/>
                  <w:noWrap w:val="0"/>
                  <w:vAlign w:val="center"/>
                </w:tcPr>
                <w:p w14:paraId="2A6DE2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12</w:t>
                  </w:r>
                </w:p>
              </w:tc>
              <w:tc>
                <w:tcPr>
                  <w:tcW w:w="541" w:type="pct"/>
                  <w:noWrap w:val="0"/>
                  <w:vAlign w:val="center"/>
                </w:tcPr>
                <w:p w14:paraId="7E75BB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24</w:t>
                  </w:r>
                </w:p>
              </w:tc>
              <w:tc>
                <w:tcPr>
                  <w:tcW w:w="687" w:type="pct"/>
                  <w:vMerge w:val="restart"/>
                  <w:noWrap w:val="0"/>
                  <w:vAlign w:val="center"/>
                </w:tcPr>
                <w:p w14:paraId="7F16BA3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97%</w:t>
                  </w:r>
                </w:p>
              </w:tc>
              <w:tc>
                <w:tcPr>
                  <w:tcW w:w="687" w:type="pct"/>
                  <w:noWrap w:val="0"/>
                  <w:vAlign w:val="center"/>
                </w:tcPr>
                <w:p w14:paraId="54AB35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23.28</w:t>
                  </w:r>
                </w:p>
              </w:tc>
              <w:tc>
                <w:tcPr>
                  <w:tcW w:w="687" w:type="pct"/>
                  <w:vMerge w:val="restart"/>
                  <w:noWrap w:val="0"/>
                  <w:vAlign w:val="center"/>
                </w:tcPr>
                <w:p w14:paraId="6A741FA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9</w:t>
                  </w:r>
                  <w:r>
                    <w:rPr>
                      <w:rFonts w:hint="eastAsia"/>
                      <w:color w:val="auto"/>
                      <w:sz w:val="22"/>
                      <w:szCs w:val="22"/>
                      <w:highlight w:val="none"/>
                      <w:vertAlign w:val="baseline"/>
                      <w:lang w:val="en-US" w:eastAsia="zh-CN"/>
                    </w:rPr>
                    <w:t>9.9</w:t>
                  </w:r>
                  <w:r>
                    <w:rPr>
                      <w:rFonts w:hint="eastAsia" w:ascii="Times New Roman" w:hAnsi="Times New Roman" w:eastAsia="宋体"/>
                      <w:color w:val="auto"/>
                      <w:sz w:val="22"/>
                      <w:szCs w:val="22"/>
                      <w:highlight w:val="none"/>
                      <w:vertAlign w:val="baseline"/>
                      <w:lang w:val="en-US" w:eastAsia="zh-CN"/>
                    </w:rPr>
                    <w:t>%</w:t>
                  </w:r>
                </w:p>
              </w:tc>
              <w:tc>
                <w:tcPr>
                  <w:tcW w:w="521" w:type="pct"/>
                  <w:noWrap w:val="0"/>
                  <w:vAlign w:val="center"/>
                </w:tcPr>
                <w:p w14:paraId="1AAD67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0.023</w:t>
                  </w:r>
                </w:p>
              </w:tc>
            </w:tr>
            <w:tr w14:paraId="565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noWrap w:val="0"/>
                  <w:vAlign w:val="center"/>
                </w:tcPr>
                <w:p w14:paraId="167A60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二段破碎</w:t>
                  </w:r>
                  <w:r>
                    <w:rPr>
                      <w:rFonts w:hint="eastAsia" w:ascii="Times New Roman" w:hAnsi="Times New Roman"/>
                      <w:color w:val="auto"/>
                      <w:sz w:val="22"/>
                      <w:szCs w:val="22"/>
                      <w:highlight w:val="none"/>
                      <w:vertAlign w:val="baseline"/>
                      <w:lang w:val="en-US" w:eastAsia="zh-CN"/>
                    </w:rPr>
                    <w:t>、筛分</w:t>
                  </w:r>
                </w:p>
              </w:tc>
              <w:tc>
                <w:tcPr>
                  <w:tcW w:w="839" w:type="pct"/>
                  <w:noWrap w:val="0"/>
                  <w:vAlign w:val="center"/>
                </w:tcPr>
                <w:p w14:paraId="2212C7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2</w:t>
                  </w:r>
                </w:p>
              </w:tc>
              <w:tc>
                <w:tcPr>
                  <w:tcW w:w="541" w:type="pct"/>
                  <w:noWrap w:val="0"/>
                  <w:vAlign w:val="center"/>
                </w:tcPr>
                <w:p w14:paraId="4DA08E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9</w:t>
                  </w:r>
                </w:p>
              </w:tc>
              <w:tc>
                <w:tcPr>
                  <w:tcW w:w="687" w:type="pct"/>
                  <w:vMerge w:val="continue"/>
                  <w:noWrap w:val="0"/>
                  <w:vAlign w:val="center"/>
                </w:tcPr>
                <w:p w14:paraId="3383BB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p>
              </w:tc>
              <w:tc>
                <w:tcPr>
                  <w:tcW w:w="687" w:type="pct"/>
                  <w:noWrap w:val="0"/>
                  <w:vAlign w:val="center"/>
                </w:tcPr>
                <w:p w14:paraId="6AEC6C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8.73</w:t>
                  </w:r>
                </w:p>
              </w:tc>
              <w:tc>
                <w:tcPr>
                  <w:tcW w:w="687" w:type="pct"/>
                  <w:vMerge w:val="continue"/>
                  <w:noWrap w:val="0"/>
                  <w:vAlign w:val="center"/>
                </w:tcPr>
                <w:p w14:paraId="778969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p>
              </w:tc>
              <w:tc>
                <w:tcPr>
                  <w:tcW w:w="521" w:type="pct"/>
                  <w:noWrap w:val="0"/>
                  <w:vAlign w:val="center"/>
                </w:tcPr>
                <w:p w14:paraId="403B5F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0.009</w:t>
                  </w:r>
                </w:p>
              </w:tc>
            </w:tr>
            <w:tr w14:paraId="51AC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 w:type="pct"/>
                  <w:noWrap w:val="0"/>
                  <w:vAlign w:val="center"/>
                </w:tcPr>
                <w:p w14:paraId="0968B7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合计</w:t>
                  </w:r>
                </w:p>
              </w:tc>
              <w:tc>
                <w:tcPr>
                  <w:tcW w:w="839" w:type="pct"/>
                  <w:noWrap w:val="0"/>
                  <w:vAlign w:val="center"/>
                </w:tcPr>
                <w:p w14:paraId="753F93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14</w:t>
                  </w:r>
                </w:p>
              </w:tc>
              <w:tc>
                <w:tcPr>
                  <w:tcW w:w="541" w:type="pct"/>
                  <w:noWrap w:val="0"/>
                  <w:vAlign w:val="center"/>
                </w:tcPr>
                <w:p w14:paraId="0ED7CF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33</w:t>
                  </w:r>
                </w:p>
              </w:tc>
              <w:tc>
                <w:tcPr>
                  <w:tcW w:w="687" w:type="pct"/>
                  <w:vMerge w:val="continue"/>
                  <w:noWrap w:val="0"/>
                  <w:vAlign w:val="center"/>
                </w:tcPr>
                <w:p w14:paraId="4B5BAE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p>
              </w:tc>
              <w:tc>
                <w:tcPr>
                  <w:tcW w:w="687" w:type="pct"/>
                  <w:noWrap w:val="0"/>
                  <w:vAlign w:val="center"/>
                </w:tcPr>
                <w:p w14:paraId="351396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32.01</w:t>
                  </w:r>
                </w:p>
              </w:tc>
              <w:tc>
                <w:tcPr>
                  <w:tcW w:w="687" w:type="pct"/>
                  <w:vMerge w:val="continue"/>
                  <w:noWrap w:val="0"/>
                  <w:vAlign w:val="center"/>
                </w:tcPr>
                <w:p w14:paraId="449C7B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p>
              </w:tc>
              <w:tc>
                <w:tcPr>
                  <w:tcW w:w="521" w:type="pct"/>
                  <w:noWrap w:val="0"/>
                  <w:vAlign w:val="center"/>
                </w:tcPr>
                <w:p w14:paraId="6E786B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0.032</w:t>
                  </w:r>
                </w:p>
              </w:tc>
            </w:tr>
          </w:tbl>
          <w:p w14:paraId="568C4DCD">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default" w:ascii="Times New Roman" w:hAnsi="Times New Roman" w:eastAsia="宋体" w:cs="Times New Roman"/>
                <w:color w:val="auto"/>
                <w:sz w:val="26"/>
                <w:szCs w:val="26"/>
                <w:highlight w:val="none"/>
                <w:lang w:val="en-US" w:eastAsia="zh-CN"/>
              </w:rPr>
            </w:pPr>
            <w:r>
              <w:rPr>
                <w:rFonts w:hint="eastAsia" w:ascii="Times New Roman" w:hAnsi="Times New Roman" w:eastAsia="宋体" w:cs="Times New Roman"/>
                <w:color w:val="auto"/>
                <w:sz w:val="26"/>
                <w:szCs w:val="26"/>
                <w:highlight w:val="none"/>
                <w:lang w:val="en-US" w:eastAsia="zh-CN"/>
              </w:rPr>
              <w:t>1号</w:t>
            </w:r>
            <w:r>
              <w:rPr>
                <w:rFonts w:hint="eastAsia" w:ascii="Times New Roman" w:hAnsi="Times New Roman" w:eastAsia="宋体" w:cs="Times New Roman"/>
                <w:color w:val="auto"/>
                <w:sz w:val="26"/>
                <w:szCs w:val="26"/>
                <w:highlight w:val="none"/>
              </w:rPr>
              <w:t>破碎生产线</w:t>
            </w:r>
            <w:r>
              <w:rPr>
                <w:rFonts w:hint="eastAsia" w:ascii="Times New Roman" w:hAnsi="Times New Roman" w:eastAsia="宋体" w:cs="Times New Roman"/>
                <w:color w:val="auto"/>
                <w:sz w:val="26"/>
                <w:szCs w:val="26"/>
                <w:highlight w:val="none"/>
                <w:lang w:val="en-US" w:eastAsia="zh-CN"/>
              </w:rPr>
              <w:t>破碎能力为1</w:t>
            </w:r>
            <w:r>
              <w:rPr>
                <w:rFonts w:hint="eastAsia" w:cs="Times New Roman"/>
                <w:color w:val="auto"/>
                <w:sz w:val="26"/>
                <w:szCs w:val="26"/>
                <w:highlight w:val="none"/>
                <w:lang w:val="en-US" w:eastAsia="zh-CN"/>
              </w:rPr>
              <w:t>4</w:t>
            </w:r>
            <w:r>
              <w:rPr>
                <w:rFonts w:hint="eastAsia" w:ascii="Times New Roman" w:hAnsi="Times New Roman" w:eastAsia="宋体" w:cs="Times New Roman"/>
                <w:color w:val="auto"/>
                <w:sz w:val="26"/>
                <w:szCs w:val="26"/>
                <w:highlight w:val="none"/>
                <w:lang w:val="en-US" w:eastAsia="zh-CN"/>
              </w:rPr>
              <w:t>万t/a</w:t>
            </w:r>
            <w:r>
              <w:rPr>
                <w:rFonts w:hint="eastAsia" w:cs="Times New Roman"/>
                <w:color w:val="auto"/>
                <w:sz w:val="26"/>
                <w:szCs w:val="26"/>
                <w:highlight w:val="none"/>
                <w:lang w:val="en-US" w:eastAsia="zh-CN"/>
              </w:rPr>
              <w:t>，</w:t>
            </w:r>
            <w:r>
              <w:rPr>
                <w:rFonts w:hint="eastAsia" w:ascii="Times New Roman" w:hAnsi="Times New Roman" w:eastAsia="宋体" w:cs="Times New Roman"/>
                <w:color w:val="auto"/>
                <w:sz w:val="26"/>
                <w:szCs w:val="26"/>
                <w:highlight w:val="none"/>
                <w:lang w:val="en-US" w:eastAsia="zh-CN"/>
              </w:rPr>
              <w:t>据上表知，本项目1号</w:t>
            </w:r>
            <w:r>
              <w:rPr>
                <w:rFonts w:hint="eastAsia" w:ascii="Times New Roman" w:hAnsi="Times New Roman" w:eastAsia="宋体" w:cs="Times New Roman"/>
                <w:color w:val="auto"/>
                <w:sz w:val="26"/>
                <w:szCs w:val="26"/>
                <w:highlight w:val="none"/>
              </w:rPr>
              <w:t>破碎</w:t>
            </w:r>
            <w:r>
              <w:rPr>
                <w:rFonts w:hint="eastAsia" w:ascii="Times New Roman" w:hAnsi="Times New Roman" w:eastAsia="宋体" w:cs="Times New Roman"/>
                <w:color w:val="auto"/>
                <w:sz w:val="26"/>
                <w:szCs w:val="26"/>
                <w:highlight w:val="none"/>
                <w:lang w:val="en-US" w:eastAsia="zh-CN"/>
              </w:rPr>
              <w:t>加工场地产生粉尘量为33t/a，通过</w:t>
            </w:r>
            <w:r>
              <w:rPr>
                <w:rFonts w:hint="eastAsia" w:ascii="Times New Roman" w:hAnsi="Times New Roman" w:eastAsia="宋体" w:cs="Times New Roman"/>
                <w:color w:val="auto"/>
                <w:sz w:val="26"/>
                <w:szCs w:val="26"/>
                <w:highlight w:val="none"/>
              </w:rPr>
              <w:t>封闭式集气罩</w:t>
            </w:r>
            <w:r>
              <w:rPr>
                <w:rFonts w:hint="eastAsia" w:ascii="Times New Roman" w:hAnsi="Times New Roman" w:eastAsia="宋体" w:cs="Times New Roman"/>
                <w:color w:val="auto"/>
                <w:sz w:val="26"/>
                <w:szCs w:val="26"/>
                <w:highlight w:val="none"/>
                <w:lang w:val="en-US" w:eastAsia="zh-CN"/>
              </w:rPr>
              <w:t>收集</w:t>
            </w:r>
            <w:r>
              <w:rPr>
                <w:rFonts w:hint="eastAsia" w:cs="Times New Roman"/>
                <w:color w:val="auto"/>
                <w:sz w:val="26"/>
                <w:szCs w:val="26"/>
                <w:highlight w:val="none"/>
                <w:lang w:val="en-US" w:eastAsia="zh-CN"/>
              </w:rPr>
              <w:t>粉尘量为32.01t/a</w:t>
            </w:r>
            <w:r>
              <w:rPr>
                <w:rFonts w:hint="eastAsia" w:ascii="Times New Roman" w:hAnsi="Times New Roman" w:eastAsia="宋体" w:cs="Times New Roman"/>
                <w:color w:val="auto"/>
                <w:sz w:val="26"/>
                <w:szCs w:val="26"/>
                <w:highlight w:val="none"/>
                <w:lang w:val="en-US" w:eastAsia="zh-CN"/>
              </w:rPr>
              <w:t>，</w:t>
            </w:r>
            <w:r>
              <w:rPr>
                <w:rFonts w:hint="eastAsia" w:cs="Times New Roman"/>
                <w:color w:val="auto"/>
                <w:sz w:val="26"/>
                <w:szCs w:val="26"/>
                <w:highlight w:val="none"/>
                <w:lang w:val="en-US" w:eastAsia="zh-CN"/>
              </w:rPr>
              <w:t>则剩余0.99</w:t>
            </w:r>
            <w:r>
              <w:rPr>
                <w:rFonts w:hint="eastAsia" w:ascii="Times New Roman" w:hAnsi="Times New Roman" w:eastAsia="宋体" w:cs="Times New Roman"/>
                <w:color w:val="auto"/>
                <w:sz w:val="26"/>
                <w:szCs w:val="26"/>
                <w:highlight w:val="none"/>
                <w:lang w:val="en-US" w:eastAsia="zh-CN"/>
              </w:rPr>
              <w:t>t/a</w:t>
            </w:r>
            <w:r>
              <w:rPr>
                <w:rFonts w:hint="eastAsia" w:cs="Times New Roman"/>
                <w:color w:val="auto"/>
                <w:sz w:val="26"/>
                <w:szCs w:val="26"/>
                <w:highlight w:val="none"/>
                <w:lang w:val="en-US" w:eastAsia="zh-CN"/>
              </w:rPr>
              <w:t>的粉尘呈无组织排放，采取洒水降尘喷雾措施后可抑制85%的粉尘，则经采取措施后无组织排放量为0.15</w:t>
            </w:r>
            <w:r>
              <w:rPr>
                <w:rFonts w:hint="eastAsia" w:ascii="Times New Roman" w:hAnsi="Times New Roman" w:eastAsia="宋体" w:cs="Times New Roman"/>
                <w:color w:val="auto"/>
                <w:sz w:val="26"/>
                <w:szCs w:val="26"/>
                <w:highlight w:val="none"/>
                <w:lang w:val="en-US" w:eastAsia="zh-CN"/>
              </w:rPr>
              <w:t>t/a</w:t>
            </w:r>
            <w:r>
              <w:rPr>
                <w:rFonts w:hint="eastAsia" w:ascii="Times New Roman" w:hAnsi="Times New Roman" w:cs="Times New Roman"/>
                <w:color w:val="auto"/>
                <w:sz w:val="26"/>
                <w:szCs w:val="26"/>
                <w:highlight w:val="none"/>
                <w:lang w:val="en-US" w:eastAsia="zh-CN"/>
              </w:rPr>
              <w:t>（0.0619kg/h）。</w:t>
            </w:r>
            <w:r>
              <w:rPr>
                <w:rFonts w:hint="eastAsia" w:cs="Times New Roman"/>
                <w:color w:val="auto"/>
                <w:sz w:val="26"/>
                <w:szCs w:val="26"/>
                <w:highlight w:val="none"/>
                <w:lang w:val="en-US" w:eastAsia="zh-CN"/>
              </w:rPr>
              <w:t>布袋除尘器的除尘</w:t>
            </w:r>
            <w:r>
              <w:rPr>
                <w:rFonts w:hint="eastAsia" w:ascii="Times New Roman" w:hAnsi="Times New Roman" w:eastAsia="宋体" w:cs="Times New Roman"/>
                <w:color w:val="auto"/>
                <w:sz w:val="26"/>
                <w:szCs w:val="26"/>
                <w:highlight w:val="none"/>
                <w:lang w:val="en-US" w:eastAsia="zh-CN"/>
              </w:rPr>
              <w:t>效率为9</w:t>
            </w:r>
            <w:r>
              <w:rPr>
                <w:rFonts w:hint="eastAsia" w:cs="Times New Roman"/>
                <w:color w:val="auto"/>
                <w:sz w:val="26"/>
                <w:szCs w:val="26"/>
                <w:highlight w:val="none"/>
                <w:lang w:val="en-US" w:eastAsia="zh-CN"/>
              </w:rPr>
              <w:t>9.9</w:t>
            </w:r>
            <w:r>
              <w:rPr>
                <w:rFonts w:hint="eastAsia" w:ascii="Times New Roman" w:hAnsi="Times New Roman" w:eastAsia="宋体" w:cs="Times New Roman"/>
                <w:color w:val="auto"/>
                <w:sz w:val="26"/>
                <w:szCs w:val="26"/>
                <w:highlight w:val="none"/>
                <w:lang w:val="en-US" w:eastAsia="zh-CN"/>
              </w:rPr>
              <w:t>%，集气罩风机风量为5000m</w:t>
            </w:r>
            <w:r>
              <w:rPr>
                <w:rFonts w:hint="eastAsia" w:ascii="Times New Roman" w:hAnsi="Times New Roman" w:eastAsia="宋体" w:cs="Times New Roman"/>
                <w:color w:val="auto"/>
                <w:sz w:val="26"/>
                <w:szCs w:val="26"/>
                <w:highlight w:val="none"/>
                <w:vertAlign w:val="superscript"/>
              </w:rPr>
              <w:t>3</w:t>
            </w:r>
            <w:r>
              <w:rPr>
                <w:rFonts w:hint="eastAsia" w:ascii="Times New Roman" w:hAnsi="Times New Roman" w:eastAsia="宋体" w:cs="Times New Roman"/>
                <w:color w:val="auto"/>
                <w:sz w:val="26"/>
                <w:szCs w:val="26"/>
                <w:highlight w:val="none"/>
                <w:lang w:val="en-US" w:eastAsia="zh-CN"/>
              </w:rPr>
              <w:t>/h</w:t>
            </w:r>
            <w:r>
              <w:rPr>
                <w:rFonts w:hint="eastAsia" w:cs="Times New Roman"/>
                <w:color w:val="auto"/>
                <w:sz w:val="26"/>
                <w:szCs w:val="26"/>
                <w:highlight w:val="none"/>
                <w:lang w:val="en-US" w:eastAsia="zh-CN"/>
              </w:rPr>
              <w:t>，</w:t>
            </w:r>
            <w:r>
              <w:rPr>
                <w:rFonts w:hint="eastAsia" w:ascii="Times New Roman" w:hAnsi="Times New Roman" w:eastAsia="宋体" w:cs="Times New Roman"/>
                <w:color w:val="auto"/>
                <w:sz w:val="26"/>
                <w:szCs w:val="26"/>
                <w:highlight w:val="none"/>
                <w:lang w:val="en-US" w:eastAsia="zh-CN"/>
              </w:rPr>
              <w:t>则1号场地破碎筛分粉尘有组织排放量约为</w:t>
            </w:r>
            <w:r>
              <w:rPr>
                <w:rFonts w:hint="eastAsia" w:cs="Times New Roman"/>
                <w:color w:val="auto"/>
                <w:sz w:val="26"/>
                <w:szCs w:val="26"/>
                <w:highlight w:val="none"/>
                <w:lang w:val="en-US" w:eastAsia="zh-CN"/>
              </w:rPr>
              <w:t>0.032</w:t>
            </w:r>
            <w:r>
              <w:rPr>
                <w:rFonts w:hint="eastAsia" w:ascii="Times New Roman" w:hAnsi="Times New Roman" w:eastAsia="宋体" w:cs="Times New Roman"/>
                <w:color w:val="auto"/>
                <w:sz w:val="26"/>
                <w:szCs w:val="26"/>
                <w:highlight w:val="none"/>
                <w:lang w:val="en-US" w:eastAsia="zh-CN"/>
              </w:rPr>
              <w:t>t/a</w:t>
            </w:r>
            <w:r>
              <w:rPr>
                <w:rFonts w:hint="eastAsia" w:cs="Times New Roman"/>
                <w:color w:val="auto"/>
                <w:sz w:val="26"/>
                <w:szCs w:val="26"/>
                <w:highlight w:val="none"/>
                <w:lang w:val="en-US" w:eastAsia="zh-CN"/>
              </w:rPr>
              <w:t>（0.0133</w:t>
            </w:r>
            <w:r>
              <w:rPr>
                <w:rFonts w:hint="eastAsia" w:ascii="Times New Roman" w:hAnsi="Times New Roman" w:cs="Times New Roman"/>
                <w:color w:val="auto"/>
                <w:sz w:val="26"/>
                <w:szCs w:val="26"/>
                <w:highlight w:val="none"/>
                <w:lang w:val="en-US" w:eastAsia="zh-CN"/>
              </w:rPr>
              <w:t>kg/h</w:t>
            </w:r>
            <w:r>
              <w:rPr>
                <w:rFonts w:hint="eastAsia" w:cs="Times New Roman"/>
                <w:color w:val="auto"/>
                <w:sz w:val="26"/>
                <w:szCs w:val="26"/>
                <w:highlight w:val="none"/>
                <w:lang w:val="en-US" w:eastAsia="zh-CN"/>
              </w:rPr>
              <w:t>）。</w:t>
            </w:r>
          </w:p>
          <w:p w14:paraId="53B06154">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eastAsia="宋体" w:cs="Times New Roman"/>
                <w:color w:val="auto"/>
                <w:sz w:val="26"/>
                <w:szCs w:val="26"/>
                <w:highlight w:val="none"/>
                <w:lang w:val="en-US" w:eastAsia="zh-CN"/>
              </w:rPr>
            </w:pPr>
            <w:r>
              <w:rPr>
                <w:rFonts w:hint="eastAsia" w:ascii="Times New Roman" w:hAnsi="Times New Roman" w:eastAsia="宋体" w:cs="Times New Roman"/>
                <w:color w:val="auto"/>
                <w:sz w:val="26"/>
                <w:szCs w:val="26"/>
                <w:highlight w:val="none"/>
                <w:lang w:val="en-US" w:eastAsia="zh-CN"/>
              </w:rPr>
              <w:t>本项目布设有两处加工场地，</w:t>
            </w:r>
            <w:r>
              <w:rPr>
                <w:rFonts w:hint="eastAsia" w:cs="Times New Roman"/>
                <w:color w:val="auto"/>
                <w:sz w:val="26"/>
                <w:szCs w:val="26"/>
                <w:highlight w:val="none"/>
                <w:lang w:val="en-US" w:eastAsia="zh-CN"/>
              </w:rPr>
              <w:t>2号破碎</w:t>
            </w:r>
            <w:r>
              <w:rPr>
                <w:rFonts w:hint="eastAsia" w:ascii="Times New Roman" w:hAnsi="Times New Roman" w:eastAsia="宋体" w:cs="Times New Roman"/>
                <w:color w:val="auto"/>
                <w:sz w:val="26"/>
                <w:szCs w:val="26"/>
                <w:highlight w:val="none"/>
              </w:rPr>
              <w:t>生产线</w:t>
            </w:r>
            <w:r>
              <w:rPr>
                <w:rFonts w:hint="eastAsia" w:ascii="Times New Roman" w:hAnsi="Times New Roman" w:eastAsia="宋体" w:cs="Times New Roman"/>
                <w:color w:val="auto"/>
                <w:sz w:val="26"/>
                <w:szCs w:val="26"/>
                <w:highlight w:val="none"/>
                <w:lang w:val="en-US" w:eastAsia="zh-CN"/>
              </w:rPr>
              <w:t>破碎能力</w:t>
            </w:r>
            <w:r>
              <w:rPr>
                <w:rFonts w:hint="eastAsia" w:cs="Times New Roman"/>
                <w:color w:val="auto"/>
                <w:sz w:val="26"/>
                <w:szCs w:val="26"/>
                <w:highlight w:val="none"/>
                <w:lang w:val="en-US" w:eastAsia="zh-CN"/>
              </w:rPr>
              <w:t>也</w:t>
            </w:r>
            <w:r>
              <w:rPr>
                <w:rFonts w:hint="eastAsia" w:ascii="Times New Roman" w:hAnsi="Times New Roman" w:eastAsia="宋体" w:cs="Times New Roman"/>
                <w:color w:val="auto"/>
                <w:sz w:val="26"/>
                <w:szCs w:val="26"/>
                <w:highlight w:val="none"/>
                <w:lang w:val="en-US" w:eastAsia="zh-CN"/>
              </w:rPr>
              <w:t>为1</w:t>
            </w:r>
            <w:r>
              <w:rPr>
                <w:rFonts w:hint="eastAsia" w:cs="Times New Roman"/>
                <w:color w:val="auto"/>
                <w:sz w:val="26"/>
                <w:szCs w:val="26"/>
                <w:highlight w:val="none"/>
                <w:lang w:val="en-US" w:eastAsia="zh-CN"/>
              </w:rPr>
              <w:t>4</w:t>
            </w:r>
            <w:r>
              <w:rPr>
                <w:rFonts w:hint="eastAsia" w:ascii="Times New Roman" w:hAnsi="Times New Roman" w:eastAsia="宋体" w:cs="Times New Roman"/>
                <w:color w:val="auto"/>
                <w:sz w:val="26"/>
                <w:szCs w:val="26"/>
                <w:highlight w:val="none"/>
                <w:lang w:val="en-US" w:eastAsia="zh-CN"/>
              </w:rPr>
              <w:t>万t/a</w:t>
            </w:r>
            <w:r>
              <w:rPr>
                <w:rFonts w:hint="eastAsia" w:cs="Times New Roman"/>
                <w:color w:val="auto"/>
                <w:sz w:val="26"/>
                <w:szCs w:val="26"/>
                <w:highlight w:val="none"/>
                <w:lang w:val="en-US" w:eastAsia="zh-CN"/>
              </w:rPr>
              <w:t>，安装有1号</w:t>
            </w:r>
            <w:r>
              <w:rPr>
                <w:rFonts w:hint="eastAsia" w:ascii="Times New Roman" w:hAnsi="Times New Roman" w:eastAsia="宋体" w:cs="Times New Roman"/>
                <w:color w:val="auto"/>
                <w:sz w:val="26"/>
                <w:szCs w:val="26"/>
                <w:highlight w:val="none"/>
              </w:rPr>
              <w:t>破碎生产线</w:t>
            </w:r>
            <w:r>
              <w:rPr>
                <w:rFonts w:hint="eastAsia" w:cs="Times New Roman"/>
                <w:color w:val="auto"/>
                <w:sz w:val="26"/>
                <w:szCs w:val="26"/>
                <w:highlight w:val="none"/>
                <w:lang w:val="en-US" w:eastAsia="zh-CN"/>
              </w:rPr>
              <w:t>一样的</w:t>
            </w:r>
            <w:r>
              <w:rPr>
                <w:rFonts w:hint="eastAsia" w:ascii="Times New Roman" w:hAnsi="Times New Roman" w:eastAsia="宋体" w:cs="Times New Roman"/>
                <w:color w:val="auto"/>
                <w:sz w:val="26"/>
                <w:szCs w:val="26"/>
                <w:highlight w:val="none"/>
              </w:rPr>
              <w:t>封闭式集气罩</w:t>
            </w:r>
            <w:r>
              <w:rPr>
                <w:rFonts w:hint="eastAsia" w:cs="Times New Roman"/>
                <w:color w:val="auto"/>
                <w:sz w:val="26"/>
                <w:szCs w:val="26"/>
                <w:highlight w:val="none"/>
                <w:lang w:eastAsia="zh-CN"/>
              </w:rPr>
              <w:t>、</w:t>
            </w:r>
            <w:r>
              <w:rPr>
                <w:rFonts w:hint="eastAsia" w:cs="Times New Roman"/>
                <w:color w:val="auto"/>
                <w:sz w:val="26"/>
                <w:szCs w:val="26"/>
                <w:highlight w:val="none"/>
                <w:lang w:val="en-US" w:eastAsia="zh-CN"/>
              </w:rPr>
              <w:t>布袋除尘器及15m高的排气筒，2</w:t>
            </w:r>
            <w:r>
              <w:rPr>
                <w:rFonts w:hint="eastAsia" w:ascii="Times New Roman" w:hAnsi="Times New Roman" w:eastAsia="宋体" w:cs="Times New Roman"/>
                <w:color w:val="auto"/>
                <w:sz w:val="26"/>
                <w:szCs w:val="26"/>
                <w:highlight w:val="none"/>
                <w:lang w:val="en-US" w:eastAsia="zh-CN"/>
              </w:rPr>
              <w:t>号场地破碎筛分粉尘有组织排放量约为</w:t>
            </w:r>
            <w:r>
              <w:rPr>
                <w:rFonts w:hint="eastAsia" w:cs="Times New Roman"/>
                <w:color w:val="auto"/>
                <w:sz w:val="26"/>
                <w:szCs w:val="26"/>
                <w:highlight w:val="none"/>
                <w:lang w:val="en-US" w:eastAsia="zh-CN"/>
              </w:rPr>
              <w:t>0.032</w:t>
            </w:r>
            <w:r>
              <w:rPr>
                <w:rFonts w:hint="eastAsia" w:ascii="Times New Roman" w:hAnsi="Times New Roman" w:eastAsia="宋体" w:cs="Times New Roman"/>
                <w:color w:val="auto"/>
                <w:sz w:val="26"/>
                <w:szCs w:val="26"/>
                <w:highlight w:val="none"/>
                <w:lang w:val="en-US" w:eastAsia="zh-CN"/>
              </w:rPr>
              <w:t>t/a，</w:t>
            </w:r>
            <w:r>
              <w:rPr>
                <w:rFonts w:hint="eastAsia" w:cs="Times New Roman"/>
                <w:color w:val="auto"/>
                <w:sz w:val="26"/>
                <w:szCs w:val="26"/>
                <w:highlight w:val="none"/>
                <w:lang w:val="en-US" w:eastAsia="zh-CN"/>
              </w:rPr>
              <w:t>无</w:t>
            </w:r>
            <w:r>
              <w:rPr>
                <w:rFonts w:hint="eastAsia" w:ascii="Times New Roman" w:hAnsi="Times New Roman" w:eastAsia="宋体" w:cs="Times New Roman"/>
                <w:color w:val="auto"/>
                <w:sz w:val="26"/>
                <w:szCs w:val="26"/>
                <w:highlight w:val="none"/>
                <w:lang w:val="en-US" w:eastAsia="zh-CN"/>
              </w:rPr>
              <w:t>组织排放量约为</w:t>
            </w:r>
            <w:r>
              <w:rPr>
                <w:rFonts w:hint="eastAsia" w:cs="Times New Roman"/>
                <w:color w:val="auto"/>
                <w:sz w:val="26"/>
                <w:szCs w:val="26"/>
                <w:highlight w:val="none"/>
                <w:lang w:val="en-US" w:eastAsia="zh-CN"/>
              </w:rPr>
              <w:t>0.15</w:t>
            </w:r>
            <w:r>
              <w:rPr>
                <w:rFonts w:hint="eastAsia" w:ascii="Times New Roman" w:hAnsi="Times New Roman" w:eastAsia="宋体" w:cs="Times New Roman"/>
                <w:color w:val="auto"/>
                <w:sz w:val="26"/>
                <w:szCs w:val="26"/>
                <w:highlight w:val="none"/>
                <w:lang w:val="en-US" w:eastAsia="zh-CN"/>
              </w:rPr>
              <w:t>t/a</w:t>
            </w:r>
            <w:r>
              <w:rPr>
                <w:rFonts w:hint="eastAsia" w:cs="Times New Roman"/>
                <w:color w:val="auto"/>
                <w:sz w:val="26"/>
                <w:szCs w:val="26"/>
                <w:highlight w:val="none"/>
                <w:lang w:val="en-US" w:eastAsia="zh-CN"/>
              </w:rPr>
              <w:t>。</w:t>
            </w:r>
          </w:p>
          <w:p w14:paraId="5088C2EF">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default" w:ascii="Times New Roman" w:hAnsi="Times New Roman" w:eastAsia="宋体"/>
                <w:color w:val="auto"/>
                <w:sz w:val="26"/>
                <w:szCs w:val="26"/>
                <w:highlight w:val="none"/>
                <w:lang w:val="en-US" w:eastAsia="zh-CN"/>
              </w:rPr>
            </w:pPr>
            <w:r>
              <w:rPr>
                <w:rFonts w:hint="eastAsia" w:ascii="宋体" w:hAnsi="宋体" w:eastAsia="宋体" w:cs="宋体"/>
                <w:color w:val="auto"/>
                <w:sz w:val="26"/>
                <w:szCs w:val="26"/>
                <w:highlight w:val="none"/>
              </w:rPr>
              <w:t>⑥</w:t>
            </w:r>
            <w:r>
              <w:rPr>
                <w:rFonts w:hint="eastAsia" w:ascii="宋体" w:hAnsi="宋体" w:cs="宋体"/>
                <w:color w:val="auto"/>
                <w:sz w:val="26"/>
                <w:szCs w:val="26"/>
                <w:highlight w:val="none"/>
                <w:lang w:val="en-US" w:eastAsia="zh-CN"/>
              </w:rPr>
              <w:t>成品</w:t>
            </w:r>
            <w:r>
              <w:rPr>
                <w:rFonts w:hint="eastAsia" w:eastAsia="宋体"/>
                <w:color w:val="auto"/>
                <w:sz w:val="26"/>
                <w:szCs w:val="26"/>
                <w:highlight w:val="none"/>
                <w:lang w:val="en-US" w:eastAsia="zh-CN"/>
              </w:rPr>
              <w:t>堆场扬尘</w:t>
            </w:r>
          </w:p>
          <w:p w14:paraId="3312C807">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color w:val="auto"/>
                <w:sz w:val="26"/>
                <w:szCs w:val="26"/>
                <w:highlight w:val="none"/>
                <w:lang w:val="en-US" w:eastAsia="zh-CN"/>
              </w:rPr>
              <w:t>本项目原石料开采后直接运至破碎加工场地进行破碎，不设原料堆场。项目设有成品堆场，</w:t>
            </w:r>
            <w:r>
              <w:rPr>
                <w:rFonts w:hint="default"/>
                <w:color w:val="auto"/>
                <w:sz w:val="26"/>
                <w:szCs w:val="26"/>
                <w:highlight w:val="none"/>
              </w:rPr>
              <w:t>1号破碎场地</w:t>
            </w:r>
            <w:r>
              <w:rPr>
                <w:rFonts w:hint="eastAsia" w:ascii="Times New Roman" w:hAnsi="Times New Roman"/>
                <w:color w:val="auto"/>
                <w:sz w:val="26"/>
                <w:szCs w:val="26"/>
                <w:highlight w:val="none"/>
              </w:rPr>
              <w:t>矿石</w:t>
            </w:r>
            <w:r>
              <w:rPr>
                <w:rFonts w:hint="eastAsia" w:ascii="宋体" w:hAnsi="宋体" w:cs="宋体"/>
                <w:color w:val="auto"/>
                <w:sz w:val="26"/>
                <w:szCs w:val="26"/>
                <w:highlight w:val="none"/>
                <w:lang w:val="en-US" w:eastAsia="zh-CN"/>
              </w:rPr>
              <w:t>产成品</w:t>
            </w:r>
            <w:r>
              <w:rPr>
                <w:rFonts w:hint="eastAsia" w:ascii="Times New Roman" w:hAnsi="Times New Roman"/>
                <w:color w:val="auto"/>
                <w:sz w:val="26"/>
                <w:szCs w:val="26"/>
                <w:highlight w:val="none"/>
              </w:rPr>
              <w:t>堆场占地为</w:t>
            </w:r>
            <w:r>
              <w:rPr>
                <w:rFonts w:hint="eastAsia"/>
                <w:color w:val="auto"/>
                <w:sz w:val="26"/>
                <w:szCs w:val="26"/>
                <w:highlight w:val="none"/>
                <w:lang w:val="en-US" w:eastAsia="zh-CN"/>
              </w:rPr>
              <w:t>3</w:t>
            </w:r>
            <w:r>
              <w:rPr>
                <w:rFonts w:hint="eastAsia" w:ascii="Times New Roman" w:hAnsi="Times New Roman"/>
                <w:color w:val="auto"/>
                <w:sz w:val="26"/>
                <w:szCs w:val="26"/>
                <w:highlight w:val="none"/>
              </w:rPr>
              <w:t>00m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w:t>
            </w:r>
            <w:r>
              <w:rPr>
                <w:rFonts w:hint="default"/>
                <w:color w:val="auto"/>
                <w:sz w:val="26"/>
                <w:szCs w:val="26"/>
                <w:highlight w:val="none"/>
                <w:lang w:eastAsia="zh-CN"/>
              </w:rPr>
              <w:t>2</w:t>
            </w:r>
            <w:r>
              <w:rPr>
                <w:rFonts w:hint="eastAsia" w:ascii="Times New Roman" w:hAnsi="Times New Roman"/>
                <w:color w:val="auto"/>
                <w:sz w:val="26"/>
                <w:szCs w:val="26"/>
                <w:highlight w:val="none"/>
                <w:lang w:val="en-US" w:eastAsia="zh-CN"/>
              </w:rPr>
              <w:t>号破碎场地</w:t>
            </w:r>
            <w:r>
              <w:rPr>
                <w:rFonts w:hint="eastAsia" w:ascii="Times New Roman" w:hAnsi="Times New Roman"/>
                <w:color w:val="auto"/>
                <w:sz w:val="26"/>
                <w:szCs w:val="26"/>
                <w:highlight w:val="none"/>
              </w:rPr>
              <w:t>矿石</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堆场占地为</w:t>
            </w:r>
            <w:r>
              <w:rPr>
                <w:rFonts w:hint="eastAsia"/>
                <w:color w:val="auto"/>
                <w:sz w:val="26"/>
                <w:szCs w:val="26"/>
                <w:highlight w:val="none"/>
                <w:lang w:val="en-US" w:eastAsia="zh-CN"/>
              </w:rPr>
              <w:t>3</w:t>
            </w:r>
            <w:r>
              <w:rPr>
                <w:rFonts w:hint="eastAsia" w:ascii="Times New Roman" w:hAnsi="Times New Roman"/>
                <w:color w:val="auto"/>
                <w:sz w:val="26"/>
                <w:szCs w:val="26"/>
                <w:highlight w:val="none"/>
              </w:rPr>
              <w:t>00m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，按照西安冶金建筑学院起尘量推荐公式计算。</w:t>
            </w:r>
          </w:p>
          <w:p w14:paraId="158C2622">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center"/>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Qp=4.23</w:t>
            </w:r>
            <w:r>
              <w:rPr>
                <w:rFonts w:hint="default" w:ascii="Arial" w:hAnsi="Arial" w:cs="Arial"/>
                <w:color w:val="auto"/>
                <w:sz w:val="26"/>
                <w:szCs w:val="26"/>
                <w:highlight w:val="none"/>
              </w:rPr>
              <w:t>×</w:t>
            </w:r>
            <w:r>
              <w:rPr>
                <w:rFonts w:hint="eastAsia" w:ascii="Times New Roman" w:hAnsi="Times New Roman"/>
                <w:color w:val="auto"/>
                <w:sz w:val="26"/>
                <w:szCs w:val="26"/>
                <w:highlight w:val="none"/>
              </w:rPr>
              <w:t>10</w:t>
            </w:r>
            <w:r>
              <w:rPr>
                <w:rFonts w:hint="default"/>
                <w:color w:val="auto"/>
                <w:sz w:val="26"/>
                <w:szCs w:val="26"/>
                <w:highlight w:val="none"/>
                <w:vertAlign w:val="superscript"/>
              </w:rPr>
              <w:t>-4</w:t>
            </w:r>
            <w:r>
              <w:rPr>
                <w:rFonts w:hint="default" w:ascii="Arial" w:hAnsi="Arial" w:cs="Arial"/>
                <w:color w:val="auto"/>
                <w:sz w:val="26"/>
                <w:szCs w:val="26"/>
                <w:highlight w:val="none"/>
              </w:rPr>
              <w:t>×</w:t>
            </w:r>
            <w:r>
              <w:rPr>
                <w:rFonts w:hint="eastAsia" w:ascii="Times New Roman" w:hAnsi="Times New Roman"/>
                <w:color w:val="auto"/>
                <w:sz w:val="26"/>
                <w:szCs w:val="26"/>
                <w:highlight w:val="none"/>
              </w:rPr>
              <w:t>U</w:t>
            </w:r>
            <w:r>
              <w:rPr>
                <w:rFonts w:hint="eastAsia" w:ascii="Times New Roman" w:hAnsi="Times New Roman"/>
                <w:color w:val="auto"/>
                <w:sz w:val="26"/>
                <w:szCs w:val="26"/>
                <w:highlight w:val="none"/>
                <w:vertAlign w:val="superscript"/>
              </w:rPr>
              <w:t>4</w:t>
            </w:r>
            <w:r>
              <w:rPr>
                <w:rFonts w:hint="default"/>
                <w:color w:val="auto"/>
                <w:sz w:val="26"/>
                <w:szCs w:val="26"/>
                <w:highlight w:val="none"/>
                <w:vertAlign w:val="superscript"/>
              </w:rPr>
              <w:t>.</w:t>
            </w:r>
            <w:r>
              <w:rPr>
                <w:rFonts w:hint="eastAsia" w:ascii="Times New Roman" w:hAnsi="Times New Roman"/>
                <w:color w:val="auto"/>
                <w:sz w:val="26"/>
                <w:szCs w:val="26"/>
                <w:highlight w:val="none"/>
                <w:vertAlign w:val="superscript"/>
              </w:rPr>
              <w:t>9</w:t>
            </w:r>
            <w:r>
              <w:rPr>
                <w:rFonts w:hint="default" w:ascii="Arial" w:hAnsi="Arial" w:cs="Arial"/>
                <w:color w:val="auto"/>
                <w:sz w:val="26"/>
                <w:szCs w:val="26"/>
                <w:highlight w:val="none"/>
              </w:rPr>
              <w:t>×</w:t>
            </w:r>
            <w:r>
              <w:rPr>
                <w:rFonts w:hint="eastAsia" w:ascii="Times New Roman" w:hAnsi="Times New Roman"/>
                <w:color w:val="auto"/>
                <w:sz w:val="26"/>
                <w:szCs w:val="26"/>
                <w:highlight w:val="none"/>
              </w:rPr>
              <w:t xml:space="preserve"> Ap</w:t>
            </w:r>
          </w:p>
          <w:p w14:paraId="2D3973B3">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eastAsia="宋体"/>
                <w:color w:val="auto"/>
                <w:sz w:val="26"/>
                <w:szCs w:val="26"/>
                <w:highlight w:val="none"/>
                <w:lang w:eastAsia="zh-CN"/>
              </w:rPr>
            </w:pPr>
            <w:r>
              <w:rPr>
                <w:rFonts w:hint="eastAsia" w:ascii="Times New Roman" w:hAnsi="Times New Roman"/>
                <w:color w:val="auto"/>
                <w:sz w:val="26"/>
                <w:szCs w:val="26"/>
                <w:highlight w:val="none"/>
              </w:rPr>
              <w:t>式中: Qp</w:t>
            </w:r>
            <w:r>
              <w:rPr>
                <w:rFonts w:hint="default"/>
                <w:color w:val="auto"/>
                <w:sz w:val="26"/>
                <w:szCs w:val="26"/>
                <w:highlight w:val="none"/>
              </w:rPr>
              <w:t>——</w:t>
            </w:r>
            <w:r>
              <w:rPr>
                <w:rFonts w:hint="eastAsia" w:ascii="Times New Roman" w:hAnsi="Times New Roman"/>
                <w:color w:val="auto"/>
                <w:sz w:val="26"/>
                <w:szCs w:val="26"/>
                <w:highlight w:val="none"/>
              </w:rPr>
              <w:t>起尘量， mg/s</w:t>
            </w:r>
            <w:r>
              <w:rPr>
                <w:rFonts w:hint="eastAsia"/>
                <w:color w:val="auto"/>
                <w:sz w:val="26"/>
                <w:szCs w:val="26"/>
                <w:highlight w:val="none"/>
                <w:lang w:eastAsia="zh-CN"/>
              </w:rPr>
              <w:t>；</w:t>
            </w:r>
          </w:p>
          <w:p w14:paraId="46EC3929">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U</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平均风速，m/s</w:t>
            </w:r>
            <w:r>
              <w:rPr>
                <w:rFonts w:hint="eastAsia"/>
                <w:color w:val="auto"/>
                <w:sz w:val="26"/>
                <w:szCs w:val="26"/>
                <w:highlight w:val="none"/>
                <w:lang w:eastAsia="zh-CN"/>
              </w:rPr>
              <w:t>，</w:t>
            </w:r>
            <w:r>
              <w:rPr>
                <w:rFonts w:hint="eastAsia"/>
                <w:color w:val="auto"/>
                <w:sz w:val="26"/>
                <w:szCs w:val="26"/>
                <w:highlight w:val="none"/>
                <w:lang w:val="en-US" w:eastAsia="zh-CN"/>
              </w:rPr>
              <w:t>本项目取2.4</w:t>
            </w:r>
            <w:r>
              <w:rPr>
                <w:rFonts w:hint="eastAsia" w:ascii="Times New Roman" w:hAnsi="Times New Roman"/>
                <w:color w:val="auto"/>
                <w:sz w:val="26"/>
                <w:szCs w:val="26"/>
                <w:highlight w:val="none"/>
              </w:rPr>
              <w:t>m/s</w:t>
            </w:r>
            <w:r>
              <w:rPr>
                <w:rFonts w:hint="eastAsia"/>
                <w:color w:val="auto"/>
                <w:sz w:val="26"/>
                <w:szCs w:val="26"/>
                <w:highlight w:val="none"/>
                <w:lang w:eastAsia="zh-CN"/>
              </w:rPr>
              <w:t>；</w:t>
            </w:r>
          </w:p>
          <w:p w14:paraId="7210AB59">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Ap</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起尘面积，m</w:t>
            </w:r>
            <w:r>
              <w:rPr>
                <w:rFonts w:hint="eastAsia" w:ascii="Times New Roman" w:hAnsi="Times New Roman"/>
                <w:color w:val="auto"/>
                <w:sz w:val="26"/>
                <w:szCs w:val="26"/>
                <w:highlight w:val="none"/>
                <w:vertAlign w:val="superscript"/>
              </w:rPr>
              <w:t>2</w:t>
            </w:r>
          </w:p>
          <w:p w14:paraId="05DC85B0">
            <w:pPr>
              <w:keepNext w:val="0"/>
              <w:keepLines w:val="0"/>
              <w:pageBreakBefore w:val="0"/>
              <w:widowControl w:val="0"/>
              <w:kinsoku/>
              <w:wordWrap/>
              <w:overflowPunct/>
              <w:topLinePunct w:val="0"/>
              <w:autoSpaceDE/>
              <w:autoSpaceDN/>
              <w:bidi w:val="0"/>
              <w:adjustRightInd/>
              <w:snapToGrid/>
              <w:spacing w:line="480" w:lineRule="exact"/>
              <w:ind w:firstLine="520" w:firstLineChars="200"/>
              <w:jc w:val="both"/>
              <w:textAlignment w:val="auto"/>
              <w:rPr>
                <w:rFonts w:hint="default"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lang w:val="en-US" w:eastAsia="zh-CN"/>
              </w:rPr>
              <w:t>1号破碎场地</w:t>
            </w:r>
            <w:r>
              <w:rPr>
                <w:rFonts w:hint="eastAsia" w:ascii="Times New Roman" w:hAnsi="Times New Roman"/>
                <w:color w:val="auto"/>
                <w:sz w:val="26"/>
                <w:szCs w:val="26"/>
                <w:highlight w:val="none"/>
              </w:rPr>
              <w:t>矿石</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堆场无组织排放源粉尘</w:t>
            </w:r>
            <w:r>
              <w:rPr>
                <w:rFonts w:hint="eastAsia"/>
                <w:color w:val="auto"/>
                <w:sz w:val="26"/>
                <w:szCs w:val="26"/>
                <w:highlight w:val="none"/>
                <w:lang w:val="en-US" w:eastAsia="zh-CN"/>
              </w:rPr>
              <w:t>产生</w:t>
            </w:r>
            <w:r>
              <w:rPr>
                <w:rFonts w:hint="eastAsia" w:ascii="Times New Roman" w:hAnsi="Times New Roman"/>
                <w:color w:val="auto"/>
                <w:sz w:val="26"/>
                <w:szCs w:val="26"/>
                <w:highlight w:val="none"/>
              </w:rPr>
              <w:t>量为</w:t>
            </w:r>
            <w:r>
              <w:rPr>
                <w:rFonts w:hint="eastAsia"/>
                <w:color w:val="auto"/>
                <w:sz w:val="26"/>
                <w:szCs w:val="26"/>
                <w:highlight w:val="none"/>
                <w:lang w:val="en-US" w:eastAsia="zh-CN"/>
              </w:rPr>
              <w:t>9.26</w:t>
            </w:r>
            <w:r>
              <w:rPr>
                <w:rFonts w:hint="eastAsia" w:ascii="Times New Roman" w:hAnsi="Times New Roman"/>
                <w:color w:val="auto"/>
                <w:sz w:val="26"/>
                <w:szCs w:val="26"/>
                <w:highlight w:val="none"/>
              </w:rPr>
              <w:t>mg/s</w:t>
            </w:r>
            <w:r>
              <w:rPr>
                <w:rFonts w:hint="default"/>
                <w:color w:val="auto"/>
                <w:sz w:val="26"/>
                <w:szCs w:val="26"/>
                <w:highlight w:val="none"/>
              </w:rPr>
              <w:t>，</w:t>
            </w:r>
            <w:r>
              <w:rPr>
                <w:rFonts w:hint="eastAsia" w:ascii="Times New Roman" w:hAnsi="Times New Roman"/>
                <w:color w:val="auto"/>
                <w:sz w:val="26"/>
                <w:szCs w:val="26"/>
                <w:highlight w:val="none"/>
              </w:rPr>
              <w:t>0.</w:t>
            </w:r>
            <w:r>
              <w:rPr>
                <w:rFonts w:hint="eastAsia"/>
                <w:color w:val="auto"/>
                <w:sz w:val="26"/>
                <w:szCs w:val="26"/>
                <w:highlight w:val="none"/>
                <w:lang w:val="en-US" w:eastAsia="zh-CN"/>
              </w:rPr>
              <w:t>29</w:t>
            </w:r>
            <w:r>
              <w:rPr>
                <w:rFonts w:hint="default"/>
                <w:color w:val="auto"/>
                <w:sz w:val="26"/>
                <w:szCs w:val="26"/>
                <w:highlight w:val="none"/>
              </w:rPr>
              <w:t>t</w:t>
            </w:r>
            <w:r>
              <w:rPr>
                <w:rFonts w:hint="eastAsia" w:ascii="Times New Roman" w:hAnsi="Times New Roman"/>
                <w:color w:val="auto"/>
                <w:sz w:val="26"/>
                <w:szCs w:val="26"/>
                <w:highlight w:val="none"/>
              </w:rPr>
              <w:t>/a</w:t>
            </w:r>
            <w:r>
              <w:rPr>
                <w:rFonts w:hint="default"/>
                <w:color w:val="auto"/>
                <w:sz w:val="26"/>
                <w:szCs w:val="26"/>
                <w:highlight w:val="none"/>
              </w:rPr>
              <w:t>；</w:t>
            </w:r>
            <w:r>
              <w:rPr>
                <w:rFonts w:hint="default"/>
                <w:color w:val="auto"/>
                <w:sz w:val="26"/>
                <w:szCs w:val="26"/>
                <w:highlight w:val="none"/>
                <w:lang w:eastAsia="zh-CN"/>
              </w:rPr>
              <w:t>2</w:t>
            </w:r>
            <w:r>
              <w:rPr>
                <w:rFonts w:hint="eastAsia" w:ascii="Times New Roman" w:hAnsi="Times New Roman"/>
                <w:color w:val="auto"/>
                <w:sz w:val="26"/>
                <w:szCs w:val="26"/>
                <w:highlight w:val="none"/>
                <w:lang w:val="en-US" w:eastAsia="zh-CN"/>
              </w:rPr>
              <w:t>号破碎场地</w:t>
            </w:r>
            <w:r>
              <w:rPr>
                <w:rFonts w:hint="eastAsia" w:ascii="Times New Roman" w:hAnsi="Times New Roman"/>
                <w:color w:val="auto"/>
                <w:sz w:val="26"/>
                <w:szCs w:val="26"/>
                <w:highlight w:val="none"/>
              </w:rPr>
              <w:t>矿石</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堆场无组织排放源粉尘</w:t>
            </w:r>
            <w:r>
              <w:rPr>
                <w:rFonts w:hint="eastAsia"/>
                <w:color w:val="auto"/>
                <w:sz w:val="26"/>
                <w:szCs w:val="26"/>
                <w:highlight w:val="none"/>
                <w:lang w:val="en-US" w:eastAsia="zh-CN"/>
              </w:rPr>
              <w:t>产生</w:t>
            </w:r>
            <w:r>
              <w:rPr>
                <w:rFonts w:hint="eastAsia" w:ascii="Times New Roman" w:hAnsi="Times New Roman"/>
                <w:color w:val="auto"/>
                <w:sz w:val="26"/>
                <w:szCs w:val="26"/>
                <w:highlight w:val="none"/>
              </w:rPr>
              <w:t>量为</w:t>
            </w:r>
            <w:r>
              <w:rPr>
                <w:rFonts w:hint="eastAsia"/>
                <w:color w:val="auto"/>
                <w:sz w:val="26"/>
                <w:szCs w:val="26"/>
                <w:highlight w:val="none"/>
                <w:lang w:val="en-US" w:eastAsia="zh-CN"/>
              </w:rPr>
              <w:t>9.26</w:t>
            </w:r>
            <w:r>
              <w:rPr>
                <w:rFonts w:hint="eastAsia" w:ascii="Times New Roman" w:hAnsi="Times New Roman"/>
                <w:color w:val="auto"/>
                <w:sz w:val="26"/>
                <w:szCs w:val="26"/>
                <w:highlight w:val="none"/>
              </w:rPr>
              <w:t>mg/s</w:t>
            </w:r>
            <w:r>
              <w:rPr>
                <w:rFonts w:hint="default"/>
                <w:color w:val="auto"/>
                <w:sz w:val="26"/>
                <w:szCs w:val="26"/>
                <w:highlight w:val="none"/>
              </w:rPr>
              <w:t>，</w:t>
            </w:r>
            <w:r>
              <w:rPr>
                <w:rFonts w:hint="eastAsia" w:ascii="Times New Roman" w:hAnsi="Times New Roman"/>
                <w:color w:val="auto"/>
                <w:sz w:val="26"/>
                <w:szCs w:val="26"/>
                <w:highlight w:val="none"/>
              </w:rPr>
              <w:t>0.</w:t>
            </w:r>
            <w:r>
              <w:rPr>
                <w:rFonts w:hint="eastAsia"/>
                <w:color w:val="auto"/>
                <w:sz w:val="26"/>
                <w:szCs w:val="26"/>
                <w:highlight w:val="none"/>
                <w:lang w:val="en-US" w:eastAsia="zh-CN"/>
              </w:rPr>
              <w:t>29</w:t>
            </w:r>
            <w:r>
              <w:rPr>
                <w:rFonts w:hint="default"/>
                <w:color w:val="auto"/>
                <w:sz w:val="26"/>
                <w:szCs w:val="26"/>
                <w:highlight w:val="none"/>
              </w:rPr>
              <w:t>t</w:t>
            </w:r>
            <w:r>
              <w:rPr>
                <w:rFonts w:hint="eastAsia" w:ascii="Times New Roman" w:hAnsi="Times New Roman"/>
                <w:color w:val="auto"/>
                <w:sz w:val="26"/>
                <w:szCs w:val="26"/>
                <w:highlight w:val="none"/>
              </w:rPr>
              <w:t>/a。矿石</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堆场采用酒水的方式进行降尘，采取上述措施后降尘效率约为70%，</w:t>
            </w:r>
            <w:r>
              <w:rPr>
                <w:rFonts w:hint="default"/>
                <w:color w:val="auto"/>
                <w:sz w:val="26"/>
                <w:szCs w:val="26"/>
                <w:highlight w:val="none"/>
              </w:rPr>
              <w:t>因</w:t>
            </w:r>
            <w:r>
              <w:rPr>
                <w:rFonts w:hint="eastAsia" w:ascii="Times New Roman" w:hAnsi="Times New Roman"/>
                <w:color w:val="auto"/>
                <w:sz w:val="26"/>
                <w:szCs w:val="26"/>
                <w:highlight w:val="none"/>
              </w:rPr>
              <w:t>此，</w:t>
            </w:r>
            <w:r>
              <w:rPr>
                <w:rFonts w:hint="eastAsia"/>
                <w:color w:val="auto"/>
                <w:sz w:val="26"/>
                <w:szCs w:val="26"/>
                <w:highlight w:val="none"/>
                <w:lang w:val="en-US" w:eastAsia="zh-CN"/>
              </w:rPr>
              <w:t>本项目</w:t>
            </w:r>
            <w:r>
              <w:rPr>
                <w:rFonts w:hint="eastAsia" w:ascii="Times New Roman" w:hAnsi="Times New Roman"/>
                <w:color w:val="auto"/>
                <w:sz w:val="26"/>
                <w:szCs w:val="26"/>
                <w:highlight w:val="none"/>
                <w:lang w:val="en-US" w:eastAsia="zh-CN"/>
              </w:rPr>
              <w:t>1号破碎场地</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堆场粉尘排放量</w:t>
            </w:r>
            <w:r>
              <w:rPr>
                <w:rFonts w:hint="eastAsia"/>
                <w:color w:val="auto"/>
                <w:sz w:val="26"/>
                <w:szCs w:val="26"/>
                <w:highlight w:val="none"/>
                <w:lang w:val="en-US" w:eastAsia="zh-CN"/>
              </w:rPr>
              <w:t>均</w:t>
            </w:r>
            <w:r>
              <w:rPr>
                <w:rFonts w:hint="eastAsia" w:ascii="Times New Roman" w:hAnsi="Times New Roman"/>
                <w:color w:val="auto"/>
                <w:sz w:val="26"/>
                <w:szCs w:val="26"/>
                <w:highlight w:val="none"/>
              </w:rPr>
              <w:t>为0.0</w:t>
            </w:r>
            <w:r>
              <w:rPr>
                <w:rFonts w:hint="eastAsia"/>
                <w:color w:val="auto"/>
                <w:sz w:val="26"/>
                <w:szCs w:val="26"/>
                <w:highlight w:val="none"/>
                <w:lang w:val="en-US" w:eastAsia="zh-CN"/>
              </w:rPr>
              <w:t>87</w:t>
            </w:r>
            <w:r>
              <w:rPr>
                <w:rFonts w:hint="eastAsia" w:ascii="Times New Roman" w:hAnsi="Times New Roman"/>
                <w:color w:val="auto"/>
                <w:sz w:val="26"/>
                <w:szCs w:val="26"/>
                <w:highlight w:val="none"/>
              </w:rPr>
              <w:t>t/a</w:t>
            </w:r>
            <w:r>
              <w:rPr>
                <w:rFonts w:hint="eastAsia"/>
                <w:color w:val="auto"/>
                <w:sz w:val="26"/>
                <w:szCs w:val="26"/>
                <w:highlight w:val="none"/>
                <w:lang w:eastAsia="zh-CN"/>
              </w:rPr>
              <w:t>，</w:t>
            </w:r>
            <w:r>
              <w:rPr>
                <w:rFonts w:hint="eastAsia"/>
                <w:color w:val="auto"/>
                <w:sz w:val="26"/>
                <w:szCs w:val="26"/>
                <w:highlight w:val="none"/>
                <w:lang w:val="en-US" w:eastAsia="zh-CN"/>
              </w:rPr>
              <w:t>2</w:t>
            </w:r>
            <w:r>
              <w:rPr>
                <w:rFonts w:hint="eastAsia" w:ascii="Times New Roman" w:hAnsi="Times New Roman"/>
                <w:color w:val="auto"/>
                <w:sz w:val="26"/>
                <w:szCs w:val="26"/>
                <w:highlight w:val="none"/>
                <w:lang w:val="en-US" w:eastAsia="zh-CN"/>
              </w:rPr>
              <w:t>号破碎场地</w:t>
            </w:r>
            <w:r>
              <w:rPr>
                <w:rFonts w:hint="eastAsia" w:ascii="宋体" w:hAnsi="宋体" w:cs="宋体"/>
                <w:color w:val="auto"/>
                <w:sz w:val="26"/>
                <w:szCs w:val="26"/>
                <w:highlight w:val="none"/>
                <w:lang w:val="en-US" w:eastAsia="zh-CN"/>
              </w:rPr>
              <w:t>成品</w:t>
            </w:r>
            <w:r>
              <w:rPr>
                <w:rFonts w:hint="eastAsia" w:ascii="Times New Roman" w:hAnsi="Times New Roman"/>
                <w:color w:val="auto"/>
                <w:sz w:val="26"/>
                <w:szCs w:val="26"/>
                <w:highlight w:val="none"/>
              </w:rPr>
              <w:t>堆场粉尘排放量</w:t>
            </w:r>
            <w:r>
              <w:rPr>
                <w:rFonts w:hint="eastAsia"/>
                <w:color w:val="auto"/>
                <w:sz w:val="26"/>
                <w:szCs w:val="26"/>
                <w:highlight w:val="none"/>
                <w:lang w:val="en-US" w:eastAsia="zh-CN"/>
              </w:rPr>
              <w:t>均</w:t>
            </w:r>
            <w:r>
              <w:rPr>
                <w:rFonts w:hint="eastAsia" w:ascii="Times New Roman" w:hAnsi="Times New Roman"/>
                <w:color w:val="auto"/>
                <w:sz w:val="26"/>
                <w:szCs w:val="26"/>
                <w:highlight w:val="none"/>
              </w:rPr>
              <w:t>为0.0</w:t>
            </w:r>
            <w:r>
              <w:rPr>
                <w:rFonts w:hint="eastAsia"/>
                <w:color w:val="auto"/>
                <w:sz w:val="26"/>
                <w:szCs w:val="26"/>
                <w:highlight w:val="none"/>
                <w:lang w:val="en-US" w:eastAsia="zh-CN"/>
              </w:rPr>
              <w:t>87</w:t>
            </w:r>
            <w:r>
              <w:rPr>
                <w:rFonts w:hint="eastAsia" w:ascii="Times New Roman" w:hAnsi="Times New Roman"/>
                <w:color w:val="auto"/>
                <w:sz w:val="26"/>
                <w:szCs w:val="26"/>
                <w:highlight w:val="none"/>
              </w:rPr>
              <w:t>t/a。</w:t>
            </w:r>
          </w:p>
          <w:p w14:paraId="3E33D8D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⑦汽车尾气</w:t>
            </w:r>
          </w:p>
          <w:p w14:paraId="00ACDA7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生产设备的运行和车辆运输产生的尾气，也是影响空气环境的污染物之一。开采机械和运输车辆使用汽油、柴油作能源，尾气中主要污染物为NOx、CO、HC，设备和运输汽车少，尾气量小，且作业范围相对较大，周围扩散条件较好。</w:t>
            </w:r>
          </w:p>
          <w:p w14:paraId="42F5B1CD">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⑧</w:t>
            </w:r>
            <w:r>
              <w:rPr>
                <w:rFonts w:hint="eastAsia" w:ascii="Times New Roman" w:hAnsi="Times New Roman"/>
                <w:color w:val="auto"/>
                <w:sz w:val="26"/>
                <w:szCs w:val="26"/>
                <w:highlight w:val="none"/>
              </w:rPr>
              <w:t>厨房油烟废气</w:t>
            </w:r>
          </w:p>
          <w:p w14:paraId="6B0D961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设有食堂，生活能源用电。在厨房炊事过程会产生油烟，其产生时间集中，为间断性排放，食堂油烟产生量较少，用集气罩收集后经油烟净化装置处理达标后由专门的排气筒引至屋顶排放。根据同行业厨房油烟排放情况类比，按照每人每天食用油使用量0.03kg</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厨房只供职工人员用餐，按就餐人数1</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人次计，每天使用食用油共计0.</w:t>
            </w:r>
            <w:r>
              <w:rPr>
                <w:rFonts w:hint="eastAsia" w:cs="Times New Roman"/>
                <w:color w:val="auto"/>
                <w:highlight w:val="none"/>
                <w:lang w:val="en-US" w:eastAsia="zh-CN"/>
              </w:rPr>
              <w:t>45</w:t>
            </w:r>
            <w:r>
              <w:rPr>
                <w:rFonts w:hint="default" w:ascii="Times New Roman" w:hAnsi="Times New Roman" w:cs="Times New Roman"/>
                <w:color w:val="auto"/>
                <w:highlight w:val="none"/>
                <w:lang w:val="en-US" w:eastAsia="zh-CN"/>
              </w:rPr>
              <w:t>kg/d</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油烟挥发量按照用油量的3%计算，产生的油烟量为0.01</w:t>
            </w:r>
            <w:r>
              <w:rPr>
                <w:rFonts w:hint="eastAsia" w:cs="Times New Roman"/>
                <w:color w:val="auto"/>
                <w:highlight w:val="none"/>
                <w:lang w:val="en-US" w:eastAsia="zh-CN"/>
              </w:rPr>
              <w:t>35</w:t>
            </w:r>
            <w:r>
              <w:rPr>
                <w:rFonts w:hint="default" w:ascii="Times New Roman" w:hAnsi="Times New Roman" w:cs="Times New Roman"/>
                <w:color w:val="auto"/>
                <w:highlight w:val="none"/>
                <w:lang w:val="en-US" w:eastAsia="zh-CN"/>
              </w:rPr>
              <w:t>kg/d (4.</w:t>
            </w:r>
            <w:r>
              <w:rPr>
                <w:rFonts w:hint="eastAsia" w:cs="Times New Roman"/>
                <w:color w:val="auto"/>
                <w:highlight w:val="none"/>
                <w:lang w:val="en-US" w:eastAsia="zh-CN"/>
              </w:rPr>
              <w:t>05</w:t>
            </w:r>
            <w:r>
              <w:rPr>
                <w:rFonts w:hint="default" w:ascii="Times New Roman" w:hAnsi="Times New Roman" w:cs="Times New Roman"/>
                <w:color w:val="auto"/>
                <w:highlight w:val="none"/>
                <w:lang w:val="en-US" w:eastAsia="zh-CN"/>
              </w:rPr>
              <w:t>kg/a) ，每天厨房工作约4小时，则每小时产生的油烟量0.003</w:t>
            </w:r>
            <w:r>
              <w:rPr>
                <w:rFonts w:hint="eastAsia" w:cs="Times New Roman"/>
                <w:color w:val="auto"/>
                <w:highlight w:val="none"/>
                <w:lang w:val="en-US" w:eastAsia="zh-CN"/>
              </w:rPr>
              <w:t>375</w:t>
            </w:r>
            <w:r>
              <w:rPr>
                <w:rFonts w:hint="default" w:ascii="Times New Roman" w:hAnsi="Times New Roman" w:cs="Times New Roman"/>
                <w:color w:val="auto"/>
                <w:highlight w:val="none"/>
                <w:lang w:val="en-US" w:eastAsia="zh-CN"/>
              </w:rPr>
              <w:t>kg/h。</w:t>
            </w:r>
          </w:p>
          <w:p w14:paraId="11D3D197">
            <w:pPr>
              <w:pStyle w:val="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eastAsia="宋体"/>
                <w:color w:val="auto"/>
                <w:sz w:val="26"/>
                <w:szCs w:val="26"/>
                <w:highlight w:val="none"/>
                <w:lang w:eastAsia="zh-CN"/>
              </w:rPr>
            </w:pPr>
            <w:r>
              <w:rPr>
                <w:rFonts w:hint="eastAsia"/>
                <w:b/>
                <w:bCs/>
                <w:color w:val="auto"/>
                <w:sz w:val="26"/>
                <w:szCs w:val="26"/>
                <w:highlight w:val="none"/>
                <w:lang w:eastAsia="zh-CN"/>
              </w:rPr>
              <w:t>（</w:t>
            </w:r>
            <w:r>
              <w:rPr>
                <w:rFonts w:hint="eastAsia"/>
                <w:b/>
                <w:bCs/>
                <w:color w:val="auto"/>
                <w:sz w:val="26"/>
                <w:szCs w:val="26"/>
                <w:highlight w:val="none"/>
                <w:lang w:val="en-US" w:eastAsia="zh-CN"/>
              </w:rPr>
              <w:t>2</w:t>
            </w:r>
            <w:r>
              <w:rPr>
                <w:rFonts w:hint="eastAsia"/>
                <w:b/>
                <w:bCs/>
                <w:color w:val="auto"/>
                <w:sz w:val="26"/>
                <w:szCs w:val="26"/>
                <w:highlight w:val="none"/>
                <w:lang w:eastAsia="zh-CN"/>
              </w:rPr>
              <w:t>）</w:t>
            </w:r>
            <w:r>
              <w:rPr>
                <w:rFonts w:hint="eastAsia"/>
                <w:b/>
                <w:bCs/>
                <w:color w:val="auto"/>
                <w:sz w:val="26"/>
                <w:szCs w:val="26"/>
                <w:highlight w:val="none"/>
                <w:lang w:val="en-US" w:eastAsia="zh-CN"/>
              </w:rPr>
              <w:t>废水</w:t>
            </w:r>
          </w:p>
          <w:p w14:paraId="15C72A30">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①</w:t>
            </w:r>
            <w:r>
              <w:rPr>
                <w:rFonts w:hint="eastAsia" w:ascii="Times New Roman" w:hAnsi="Times New Roman"/>
                <w:color w:val="auto"/>
                <w:sz w:val="26"/>
                <w:szCs w:val="26"/>
                <w:highlight w:val="none"/>
              </w:rPr>
              <w:t>钻孔冷却水</w:t>
            </w:r>
          </w:p>
          <w:p w14:paraId="04237893">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一般钻机在工作时钻头与岩石摩擦会产生大量热量，需进行水冷，否则钻头会因为温度升高而损坏，因此在钻孔过程中会产生钻孔冷却水，该部分冷却水</w:t>
            </w:r>
            <w:r>
              <w:rPr>
                <w:rFonts w:hint="eastAsia"/>
                <w:color w:val="auto"/>
                <w:sz w:val="26"/>
                <w:szCs w:val="26"/>
                <w:highlight w:val="none"/>
                <w:lang w:val="en-US" w:eastAsia="zh-CN"/>
              </w:rPr>
              <w:t>约1m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w:t>
            </w:r>
            <w:r>
              <w:rPr>
                <w:rFonts w:hint="eastAsia" w:ascii="Times New Roman" w:hAnsi="Times New Roman"/>
                <w:color w:val="auto"/>
                <w:sz w:val="26"/>
                <w:szCs w:val="26"/>
                <w:highlight w:val="none"/>
              </w:rPr>
              <w:t>冷却水</w:t>
            </w:r>
            <w:r>
              <w:rPr>
                <w:rFonts w:hint="eastAsia"/>
                <w:color w:val="auto"/>
                <w:sz w:val="26"/>
                <w:szCs w:val="26"/>
                <w:highlight w:val="none"/>
                <w:lang w:val="en-US" w:eastAsia="zh-CN"/>
              </w:rPr>
              <w:t>以</w:t>
            </w:r>
            <w:r>
              <w:rPr>
                <w:rFonts w:hint="eastAsia" w:ascii="Times New Roman" w:hAnsi="Times New Roman"/>
                <w:color w:val="auto"/>
                <w:sz w:val="26"/>
                <w:szCs w:val="26"/>
                <w:highlight w:val="none"/>
              </w:rPr>
              <w:t>蒸发</w:t>
            </w:r>
            <w:r>
              <w:rPr>
                <w:rFonts w:hint="eastAsia"/>
                <w:color w:val="auto"/>
                <w:sz w:val="26"/>
                <w:szCs w:val="26"/>
                <w:highlight w:val="none"/>
                <w:lang w:val="en-US" w:eastAsia="zh-CN"/>
              </w:rPr>
              <w:t>形式全部损耗</w:t>
            </w:r>
            <w:r>
              <w:rPr>
                <w:rFonts w:hint="eastAsia" w:ascii="Times New Roman" w:hAnsi="Times New Roman"/>
                <w:color w:val="auto"/>
                <w:sz w:val="26"/>
                <w:szCs w:val="26"/>
                <w:highlight w:val="none"/>
              </w:rPr>
              <w:t>，</w:t>
            </w:r>
            <w:r>
              <w:rPr>
                <w:rFonts w:hint="eastAsia"/>
                <w:color w:val="auto"/>
                <w:sz w:val="26"/>
                <w:szCs w:val="26"/>
                <w:highlight w:val="none"/>
                <w:lang w:val="en-US" w:eastAsia="zh-CN"/>
              </w:rPr>
              <w:t>无外排</w:t>
            </w:r>
            <w:r>
              <w:rPr>
                <w:rFonts w:hint="eastAsia" w:ascii="Times New Roman" w:hAnsi="Times New Roman"/>
                <w:color w:val="auto"/>
                <w:sz w:val="26"/>
                <w:szCs w:val="26"/>
                <w:highlight w:val="none"/>
              </w:rPr>
              <w:t>钻孔冷却水。</w:t>
            </w:r>
          </w:p>
          <w:p w14:paraId="55C8458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lang w:eastAsia="zh-CN"/>
              </w:rPr>
              <w:t>②</w:t>
            </w:r>
            <w:r>
              <w:rPr>
                <w:rFonts w:hint="eastAsia" w:ascii="Times New Roman" w:hAnsi="Times New Roman"/>
                <w:color w:val="auto"/>
                <w:sz w:val="26"/>
                <w:szCs w:val="26"/>
                <w:highlight w:val="none"/>
              </w:rPr>
              <w:t>爆破抑尘用水</w:t>
            </w:r>
          </w:p>
          <w:p w14:paraId="350AE6BA">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为防止爆破扬尘，事先在现场洒水，增大区域湿度。这部分水量约3m</w:t>
            </w:r>
            <w:r>
              <w:rPr>
                <w:rFonts w:hint="eastAsia"/>
                <w:color w:val="auto"/>
                <w:sz w:val="26"/>
                <w:szCs w:val="26"/>
                <w:highlight w:val="none"/>
                <w:vertAlign w:val="superscript"/>
                <w:lang w:val="en-US" w:eastAsia="zh-CN"/>
              </w:rPr>
              <w:t>3</w:t>
            </w:r>
            <w:r>
              <w:rPr>
                <w:rFonts w:hint="eastAsia" w:ascii="Times New Roman" w:hAnsi="Times New Roman"/>
                <w:color w:val="auto"/>
                <w:sz w:val="26"/>
                <w:szCs w:val="26"/>
                <w:highlight w:val="none"/>
              </w:rPr>
              <w:t>/次</w:t>
            </w:r>
            <w:r>
              <w:rPr>
                <w:rFonts w:hint="eastAsia"/>
                <w:color w:val="auto"/>
                <w:sz w:val="26"/>
                <w:szCs w:val="26"/>
                <w:highlight w:val="none"/>
                <w:lang w:eastAsia="zh-CN"/>
              </w:rPr>
              <w:t>，</w:t>
            </w:r>
            <w:r>
              <w:rPr>
                <w:rFonts w:hint="eastAsia" w:ascii="Times New Roman" w:hAnsi="Times New Roman"/>
                <w:color w:val="auto"/>
                <w:sz w:val="26"/>
                <w:szCs w:val="26"/>
                <w:highlight w:val="none"/>
              </w:rPr>
              <w:t>该部分水</w:t>
            </w:r>
            <w:r>
              <w:rPr>
                <w:rFonts w:hint="eastAsia"/>
                <w:color w:val="auto"/>
                <w:sz w:val="26"/>
                <w:szCs w:val="26"/>
                <w:highlight w:val="none"/>
                <w:lang w:val="en-US" w:eastAsia="zh-CN"/>
              </w:rPr>
              <w:t>以</w:t>
            </w:r>
            <w:r>
              <w:rPr>
                <w:rFonts w:hint="eastAsia" w:ascii="Times New Roman" w:hAnsi="Times New Roman"/>
                <w:color w:val="auto"/>
                <w:sz w:val="26"/>
                <w:szCs w:val="26"/>
                <w:highlight w:val="none"/>
              </w:rPr>
              <w:t>蒸发</w:t>
            </w:r>
            <w:r>
              <w:rPr>
                <w:rFonts w:hint="eastAsia"/>
                <w:color w:val="auto"/>
                <w:sz w:val="26"/>
                <w:szCs w:val="26"/>
                <w:highlight w:val="none"/>
                <w:lang w:val="en-US" w:eastAsia="zh-CN"/>
              </w:rPr>
              <w:t>形式全部损耗</w:t>
            </w:r>
            <w:r>
              <w:rPr>
                <w:rFonts w:hint="eastAsia" w:ascii="Times New Roman" w:hAnsi="Times New Roman"/>
                <w:color w:val="auto"/>
                <w:sz w:val="26"/>
                <w:szCs w:val="26"/>
                <w:highlight w:val="none"/>
              </w:rPr>
              <w:t>，不产生废水。</w:t>
            </w:r>
          </w:p>
          <w:p w14:paraId="33DE9CC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③</w:t>
            </w:r>
            <w:r>
              <w:rPr>
                <w:rFonts w:hint="eastAsia" w:ascii="Times New Roman" w:hAnsi="Times New Roman"/>
                <w:color w:val="auto"/>
                <w:sz w:val="26"/>
                <w:szCs w:val="26"/>
                <w:highlight w:val="none"/>
              </w:rPr>
              <w:t>道路、工业场地及采区</w:t>
            </w:r>
            <w:r>
              <w:rPr>
                <w:rFonts w:hint="eastAsia"/>
                <w:color w:val="auto"/>
                <w:sz w:val="26"/>
                <w:szCs w:val="26"/>
                <w:highlight w:val="none"/>
                <w:lang w:val="en-US" w:eastAsia="zh-CN"/>
              </w:rPr>
              <w:t>防尘</w:t>
            </w:r>
            <w:r>
              <w:rPr>
                <w:rFonts w:hint="eastAsia" w:ascii="Times New Roman" w:hAnsi="Times New Roman"/>
                <w:color w:val="auto"/>
                <w:sz w:val="26"/>
                <w:szCs w:val="26"/>
                <w:highlight w:val="none"/>
              </w:rPr>
              <w:t>用水</w:t>
            </w:r>
          </w:p>
          <w:p w14:paraId="5A676AB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为保护周围大气环境，项目矿石、产品运输道路，工业场地及采区均需要洒水车对其进行酒水抑尘。</w:t>
            </w:r>
            <w:r>
              <w:rPr>
                <w:rFonts w:hint="eastAsia"/>
                <w:color w:val="auto"/>
                <w:sz w:val="26"/>
                <w:szCs w:val="26"/>
                <w:highlight w:val="none"/>
                <w:lang w:val="en-US" w:eastAsia="zh-CN"/>
              </w:rPr>
              <w:t>据开发利用方案可知，</w:t>
            </w:r>
            <w:r>
              <w:rPr>
                <w:rFonts w:hint="eastAsia" w:ascii="Times New Roman" w:hAnsi="Times New Roman"/>
                <w:color w:val="auto"/>
                <w:sz w:val="26"/>
                <w:szCs w:val="26"/>
                <w:highlight w:val="none"/>
              </w:rPr>
              <w:t>项目采区到破碎场的道路洒水总面积为</w:t>
            </w:r>
            <w:r>
              <w:rPr>
                <w:rFonts w:hint="eastAsia"/>
                <w:color w:val="auto"/>
                <w:sz w:val="26"/>
                <w:szCs w:val="26"/>
                <w:highlight w:val="none"/>
                <w:lang w:val="en-US" w:eastAsia="zh-CN"/>
              </w:rPr>
              <w:t>35</w:t>
            </w:r>
            <w:r>
              <w:rPr>
                <w:rFonts w:hint="eastAsia" w:ascii="Times New Roman" w:hAnsi="Times New Roman"/>
                <w:color w:val="auto"/>
                <w:sz w:val="26"/>
                <w:szCs w:val="26"/>
                <w:highlight w:val="none"/>
              </w:rPr>
              <w:t>00m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，工业场地酒水面积为</w:t>
            </w:r>
            <w:r>
              <w:rPr>
                <w:rFonts w:hint="eastAsia"/>
                <w:color w:val="auto"/>
                <w:sz w:val="26"/>
                <w:szCs w:val="26"/>
                <w:highlight w:val="none"/>
                <w:lang w:val="en-US" w:eastAsia="zh-CN"/>
              </w:rPr>
              <w:t>6701</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，采区</w:t>
            </w:r>
            <w:r>
              <w:rPr>
                <w:rFonts w:hint="eastAsia"/>
                <w:color w:val="auto"/>
                <w:sz w:val="26"/>
                <w:szCs w:val="26"/>
                <w:highlight w:val="none"/>
                <w:lang w:val="en-US" w:eastAsia="zh-CN"/>
              </w:rPr>
              <w:t>洒</w:t>
            </w:r>
            <w:r>
              <w:rPr>
                <w:rFonts w:hint="eastAsia" w:ascii="Times New Roman" w:hAnsi="Times New Roman"/>
                <w:color w:val="auto"/>
                <w:sz w:val="26"/>
                <w:szCs w:val="26"/>
                <w:highlight w:val="none"/>
              </w:rPr>
              <w:t>水面积为</w:t>
            </w:r>
            <w:r>
              <w:rPr>
                <w:rFonts w:hint="eastAsia"/>
                <w:color w:val="auto"/>
                <w:sz w:val="26"/>
                <w:szCs w:val="26"/>
                <w:highlight w:val="none"/>
                <w:lang w:val="en-US" w:eastAsia="zh-CN"/>
              </w:rPr>
              <w:t>5000</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。项目总</w:t>
            </w:r>
            <w:r>
              <w:rPr>
                <w:rFonts w:hint="eastAsia"/>
                <w:color w:val="auto"/>
                <w:sz w:val="26"/>
                <w:szCs w:val="26"/>
                <w:highlight w:val="none"/>
                <w:lang w:val="en-US" w:eastAsia="zh-CN"/>
              </w:rPr>
              <w:t>洒</w:t>
            </w:r>
            <w:r>
              <w:rPr>
                <w:rFonts w:hint="eastAsia" w:ascii="Times New Roman" w:hAnsi="Times New Roman"/>
                <w:color w:val="auto"/>
                <w:sz w:val="26"/>
                <w:szCs w:val="26"/>
                <w:highlight w:val="none"/>
              </w:rPr>
              <w:t>水面积为</w:t>
            </w:r>
            <w:r>
              <w:rPr>
                <w:rFonts w:hint="eastAsia"/>
                <w:color w:val="auto"/>
                <w:sz w:val="26"/>
                <w:szCs w:val="26"/>
                <w:highlight w:val="none"/>
                <w:lang w:val="en-US" w:eastAsia="zh-CN"/>
              </w:rPr>
              <w:t>15201</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2</w:t>
            </w:r>
            <w:r>
              <w:rPr>
                <w:rFonts w:hint="eastAsia"/>
                <w:color w:val="auto"/>
                <w:sz w:val="26"/>
                <w:szCs w:val="26"/>
                <w:highlight w:val="none"/>
                <w:lang w:eastAsia="zh-CN"/>
              </w:rPr>
              <w:t>，</w:t>
            </w:r>
            <w:r>
              <w:rPr>
                <w:rFonts w:hint="eastAsia" w:ascii="Times New Roman" w:hAnsi="Times New Roman"/>
                <w:color w:val="auto"/>
                <w:sz w:val="26"/>
                <w:szCs w:val="26"/>
                <w:highlight w:val="none"/>
              </w:rPr>
              <w:t>洒水定额为1.5L/( m</w:t>
            </w:r>
            <w:r>
              <w:rPr>
                <w:rFonts w:hint="eastAsia" w:ascii="Times New Roman" w:hAnsi="Times New Roman"/>
                <w:color w:val="auto"/>
                <w:sz w:val="26"/>
                <w:szCs w:val="26"/>
                <w:highlight w:val="none"/>
                <w:vertAlign w:val="superscript"/>
              </w:rPr>
              <w:t>2</w:t>
            </w:r>
            <w:r>
              <w:rPr>
                <w:rFonts w:hint="eastAsia" w:ascii="宋体" w:hAnsi="宋体" w:eastAsia="宋体" w:cs="宋体"/>
                <w:color w:val="auto"/>
                <w:sz w:val="26"/>
                <w:szCs w:val="26"/>
                <w:highlight w:val="none"/>
                <w:lang w:val="en-US" w:eastAsia="zh-CN"/>
              </w:rPr>
              <w:t>·</w:t>
            </w:r>
            <w:r>
              <w:rPr>
                <w:rFonts w:hint="eastAsia" w:ascii="Times New Roman" w:hAnsi="Times New Roman"/>
                <w:color w:val="auto"/>
                <w:sz w:val="26"/>
                <w:szCs w:val="26"/>
                <w:highlight w:val="none"/>
              </w:rPr>
              <w:t>d)</w:t>
            </w:r>
            <w:r>
              <w:rPr>
                <w:rFonts w:hint="eastAsia"/>
                <w:color w:val="auto"/>
                <w:sz w:val="26"/>
                <w:szCs w:val="26"/>
                <w:highlight w:val="none"/>
                <w:lang w:eastAsia="zh-CN"/>
              </w:rPr>
              <w:t>，</w:t>
            </w:r>
            <w:r>
              <w:rPr>
                <w:rFonts w:hint="eastAsia" w:ascii="Times New Roman" w:hAnsi="Times New Roman"/>
                <w:color w:val="auto"/>
                <w:sz w:val="26"/>
                <w:szCs w:val="26"/>
                <w:highlight w:val="none"/>
              </w:rPr>
              <w:t>则洒水抑尘用水量为</w:t>
            </w:r>
            <w:r>
              <w:rPr>
                <w:rFonts w:hint="eastAsia"/>
                <w:color w:val="auto"/>
                <w:sz w:val="26"/>
                <w:szCs w:val="26"/>
                <w:highlight w:val="none"/>
                <w:lang w:val="en-US" w:eastAsia="zh-CN"/>
              </w:rPr>
              <w:t>22.8</w:t>
            </w:r>
            <w:r>
              <w:rPr>
                <w:rFonts w:hint="eastAsia" w:ascii="Times New Roman" w:hAnsi="Times New Roman"/>
                <w:color w:val="auto"/>
                <w:sz w:val="26"/>
                <w:szCs w:val="26"/>
                <w:highlight w:val="none"/>
              </w:rPr>
              <w:t>m</w:t>
            </w:r>
            <w:r>
              <w:rPr>
                <w:rFonts w:hint="eastAsia"/>
                <w:color w:val="auto"/>
                <w:sz w:val="26"/>
                <w:szCs w:val="26"/>
                <w:highlight w:val="none"/>
                <w:vertAlign w:val="superscript"/>
                <w:lang w:val="en-US" w:eastAsia="zh-CN"/>
              </w:rPr>
              <w:t>3</w:t>
            </w:r>
            <w:r>
              <w:rPr>
                <w:rFonts w:hint="eastAsia" w:ascii="Times New Roman" w:hAnsi="Times New Roman"/>
                <w:color w:val="auto"/>
                <w:sz w:val="26"/>
                <w:szCs w:val="26"/>
                <w:highlight w:val="none"/>
              </w:rPr>
              <w:t xml:space="preserve">/d( </w:t>
            </w:r>
            <w:r>
              <w:rPr>
                <w:rFonts w:hint="eastAsia"/>
                <w:color w:val="auto"/>
                <w:sz w:val="26"/>
                <w:szCs w:val="26"/>
                <w:highlight w:val="none"/>
                <w:lang w:val="en-US" w:eastAsia="zh-CN"/>
              </w:rPr>
              <w:t>7524</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/a)，这部分用水自然蒸发</w:t>
            </w:r>
            <w:r>
              <w:rPr>
                <w:rFonts w:hint="eastAsia"/>
                <w:color w:val="auto"/>
                <w:sz w:val="26"/>
                <w:szCs w:val="26"/>
                <w:highlight w:val="none"/>
                <w:lang w:val="en-US" w:eastAsia="zh-CN"/>
              </w:rPr>
              <w:t>损耗，</w:t>
            </w:r>
            <w:r>
              <w:rPr>
                <w:rFonts w:hint="eastAsia" w:ascii="Times New Roman" w:hAnsi="Times New Roman"/>
                <w:color w:val="auto"/>
                <w:sz w:val="26"/>
                <w:szCs w:val="26"/>
                <w:highlight w:val="none"/>
              </w:rPr>
              <w:t>不外排。</w:t>
            </w:r>
          </w:p>
          <w:p w14:paraId="734CD397">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④</w:t>
            </w:r>
            <w:r>
              <w:rPr>
                <w:rFonts w:hint="eastAsia" w:ascii="Times New Roman" w:hAnsi="Times New Roman"/>
                <w:color w:val="auto"/>
                <w:sz w:val="26"/>
                <w:szCs w:val="26"/>
                <w:highlight w:val="none"/>
              </w:rPr>
              <w:t>碎石场物料加工过程</w:t>
            </w:r>
            <w:r>
              <w:rPr>
                <w:rFonts w:hint="eastAsia"/>
                <w:color w:val="auto"/>
                <w:sz w:val="26"/>
                <w:szCs w:val="26"/>
                <w:highlight w:val="none"/>
                <w:lang w:val="en-US" w:eastAsia="zh-CN"/>
              </w:rPr>
              <w:t>防尘</w:t>
            </w:r>
            <w:r>
              <w:rPr>
                <w:rFonts w:hint="eastAsia" w:ascii="Times New Roman" w:hAnsi="Times New Roman"/>
                <w:color w:val="auto"/>
                <w:sz w:val="26"/>
                <w:szCs w:val="26"/>
                <w:highlight w:val="none"/>
              </w:rPr>
              <w:t>用水</w:t>
            </w:r>
          </w:p>
          <w:p w14:paraId="24910508">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在自卸汽车卸料过程，破碎机和筛分机出料口位置均设置有喷淋管对表面物料进行洒水保湿，从而减少粉尘的产生。本项目破碎场破碎矿石量为</w:t>
            </w:r>
            <w:r>
              <w:rPr>
                <w:rFonts w:hint="eastAsia"/>
                <w:color w:val="auto"/>
                <w:sz w:val="26"/>
                <w:szCs w:val="26"/>
                <w:highlight w:val="none"/>
                <w:lang w:val="en-US" w:eastAsia="zh-CN"/>
              </w:rPr>
              <w:t>1000</w:t>
            </w:r>
            <w:r>
              <w:rPr>
                <w:rFonts w:hint="eastAsia" w:ascii="Times New Roman" w:hAnsi="Times New Roman"/>
                <w:color w:val="auto"/>
                <w:sz w:val="26"/>
                <w:szCs w:val="26"/>
                <w:highlight w:val="none"/>
              </w:rPr>
              <w:t>t/d (</w:t>
            </w:r>
            <w:r>
              <w:rPr>
                <w:rFonts w:hint="eastAsia"/>
                <w:color w:val="auto"/>
                <w:sz w:val="26"/>
                <w:szCs w:val="26"/>
                <w:highlight w:val="none"/>
                <w:lang w:val="en-US" w:eastAsia="zh-CN"/>
              </w:rPr>
              <w:t>3</w:t>
            </w:r>
            <w:r>
              <w:rPr>
                <w:rFonts w:hint="eastAsia" w:ascii="Times New Roman" w:hAnsi="Times New Roman"/>
                <w:color w:val="auto"/>
                <w:sz w:val="26"/>
                <w:szCs w:val="26"/>
                <w:highlight w:val="none"/>
              </w:rPr>
              <w:t>0万t/a)，矿石含水率为1%，洒水保湿后的含水率为2.5%，则表面物料</w:t>
            </w:r>
            <w:r>
              <w:rPr>
                <w:rFonts w:hint="eastAsia"/>
                <w:color w:val="auto"/>
                <w:sz w:val="26"/>
                <w:szCs w:val="26"/>
                <w:highlight w:val="none"/>
                <w:lang w:val="en-US" w:eastAsia="zh-CN"/>
              </w:rPr>
              <w:t>洒</w:t>
            </w:r>
            <w:r>
              <w:rPr>
                <w:rFonts w:hint="eastAsia" w:ascii="Times New Roman" w:hAnsi="Times New Roman"/>
                <w:color w:val="auto"/>
                <w:sz w:val="26"/>
                <w:szCs w:val="26"/>
                <w:highlight w:val="none"/>
              </w:rPr>
              <w:t>水保湿用水量为</w:t>
            </w:r>
            <w:r>
              <w:rPr>
                <w:rFonts w:hint="eastAsia"/>
                <w:color w:val="auto"/>
                <w:sz w:val="26"/>
                <w:szCs w:val="26"/>
                <w:highlight w:val="none"/>
                <w:lang w:val="en-US" w:eastAsia="zh-CN"/>
              </w:rPr>
              <w:t>15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/d(</w:t>
            </w:r>
            <w:r>
              <w:rPr>
                <w:rFonts w:hint="eastAsia"/>
                <w:color w:val="auto"/>
                <w:sz w:val="26"/>
                <w:szCs w:val="26"/>
                <w:highlight w:val="none"/>
                <w:lang w:val="en-US" w:eastAsia="zh-CN"/>
              </w:rPr>
              <w:t>45</w:t>
            </w:r>
            <w:r>
              <w:rPr>
                <w:rFonts w:hint="eastAsia" w:ascii="Times New Roman" w:hAnsi="Times New Roman"/>
                <w:color w:val="auto"/>
                <w:sz w:val="26"/>
                <w:szCs w:val="26"/>
                <w:highlight w:val="none"/>
              </w:rPr>
              <w:t>00m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/a)，这部分用水均被物料吸收</w:t>
            </w:r>
            <w:r>
              <w:rPr>
                <w:rFonts w:hint="eastAsia"/>
                <w:color w:val="auto"/>
                <w:sz w:val="26"/>
                <w:szCs w:val="26"/>
                <w:highlight w:val="none"/>
                <w:lang w:val="en-US" w:eastAsia="zh-CN"/>
              </w:rPr>
              <w:t>及</w:t>
            </w:r>
            <w:r>
              <w:rPr>
                <w:rFonts w:hint="eastAsia" w:ascii="Times New Roman" w:hAnsi="Times New Roman"/>
                <w:color w:val="auto"/>
                <w:sz w:val="26"/>
                <w:szCs w:val="26"/>
                <w:highlight w:val="none"/>
              </w:rPr>
              <w:t>自然蒸发</w:t>
            </w:r>
            <w:r>
              <w:rPr>
                <w:rFonts w:hint="eastAsia"/>
                <w:color w:val="auto"/>
                <w:sz w:val="26"/>
                <w:szCs w:val="26"/>
                <w:highlight w:val="none"/>
                <w:lang w:val="en-US" w:eastAsia="zh-CN"/>
              </w:rPr>
              <w:t>损耗完</w:t>
            </w:r>
            <w:r>
              <w:rPr>
                <w:rFonts w:hint="eastAsia" w:ascii="Times New Roman" w:hAnsi="Times New Roman"/>
                <w:color w:val="auto"/>
                <w:sz w:val="26"/>
                <w:szCs w:val="26"/>
                <w:highlight w:val="none"/>
              </w:rPr>
              <w:t>，不会产生外排废水。这部分用水由</w:t>
            </w:r>
            <w:r>
              <w:rPr>
                <w:rFonts w:hint="eastAsia"/>
                <w:color w:val="auto"/>
                <w:sz w:val="26"/>
                <w:szCs w:val="26"/>
                <w:highlight w:val="none"/>
                <w:lang w:val="en-US" w:eastAsia="zh-CN"/>
              </w:rPr>
              <w:t>矿区南侧</w:t>
            </w:r>
            <w:r>
              <w:rPr>
                <w:rFonts w:hint="eastAsia" w:ascii="Times New Roman" w:hAnsi="Times New Roman"/>
                <w:color w:val="auto"/>
                <w:sz w:val="26"/>
                <w:szCs w:val="26"/>
                <w:highlight w:val="none"/>
              </w:rPr>
              <w:t>的高位水</w:t>
            </w:r>
            <w:r>
              <w:rPr>
                <w:rFonts w:hint="eastAsia"/>
                <w:color w:val="auto"/>
                <w:sz w:val="26"/>
                <w:szCs w:val="26"/>
                <w:highlight w:val="none"/>
                <w:lang w:val="en-US" w:eastAsia="zh-CN"/>
              </w:rPr>
              <w:t>池</w:t>
            </w:r>
            <w:r>
              <w:rPr>
                <w:rFonts w:hint="eastAsia" w:ascii="Times New Roman" w:hAnsi="Times New Roman"/>
                <w:color w:val="auto"/>
                <w:sz w:val="26"/>
                <w:szCs w:val="26"/>
                <w:highlight w:val="none"/>
              </w:rPr>
              <w:t>通过水管供应到各个用水位置，确保物料加工过程中项目正常运行。</w:t>
            </w:r>
          </w:p>
          <w:p w14:paraId="7FD70D1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⑤</w:t>
            </w:r>
            <w:r>
              <w:rPr>
                <w:rFonts w:hint="eastAsia" w:ascii="Times New Roman" w:hAnsi="Times New Roman"/>
                <w:color w:val="auto"/>
                <w:sz w:val="26"/>
                <w:szCs w:val="26"/>
                <w:highlight w:val="none"/>
              </w:rPr>
              <w:t>初期雨水</w:t>
            </w:r>
          </w:p>
          <w:p w14:paraId="796DFFD1">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宋体" w:cs="Times New Roman"/>
                <w:color w:val="auto"/>
                <w:highlight w:val="none"/>
              </w:rPr>
            </w:pPr>
            <w:r>
              <w:rPr>
                <w:rFonts w:hint="eastAsia" w:ascii="Times New Roman" w:hAnsi="Times New Roman"/>
                <w:color w:val="auto"/>
                <w:sz w:val="26"/>
                <w:szCs w:val="26"/>
                <w:highlight w:val="none"/>
              </w:rPr>
              <w:t>初期雨水是在降雨形成地面径流后10～15min的污染较大的雨水量。初期雨水与气象条件密切相关，具有间歇性、时间间隔变化大等特点。初期雨水会将遗漏在厂区地面的粉尘汇集，有一定的污染，若不进行处理，将对水环境造成影响。</w:t>
            </w:r>
            <w:r>
              <w:rPr>
                <w:rFonts w:hint="eastAsia"/>
                <w:color w:val="auto"/>
                <w:sz w:val="26"/>
                <w:szCs w:val="26"/>
                <w:highlight w:val="none"/>
                <w:lang w:val="en-US" w:eastAsia="zh-CN"/>
              </w:rPr>
              <w:t>项目采场为土渣石地面，采场形成的洼坑在雨天蓄积的雨水部分顺坡流入截排水沟，部分下渗，剩余蒸发损耗。</w:t>
            </w:r>
            <w:r>
              <w:rPr>
                <w:rFonts w:hint="eastAsia" w:ascii="Times New Roman" w:hAnsi="Times New Roman"/>
                <w:color w:val="auto"/>
                <w:sz w:val="26"/>
                <w:szCs w:val="26"/>
                <w:highlight w:val="none"/>
              </w:rPr>
              <w:t>本环评要求企业对初期雨水进行收集，厂区排水体制为雨污分流制，初期雨水进入</w:t>
            </w:r>
            <w:r>
              <w:rPr>
                <w:rFonts w:hint="eastAsia"/>
                <w:color w:val="auto"/>
                <w:sz w:val="26"/>
                <w:szCs w:val="26"/>
                <w:highlight w:val="none"/>
                <w:lang w:val="en-US" w:eastAsia="zh-CN"/>
              </w:rPr>
              <w:t>收集池沉淀后泵回高位水池储存</w:t>
            </w:r>
            <w:r>
              <w:rPr>
                <w:rFonts w:hint="eastAsia" w:ascii="Times New Roman" w:hAnsi="Times New Roman"/>
                <w:color w:val="auto"/>
                <w:sz w:val="26"/>
                <w:szCs w:val="26"/>
                <w:highlight w:val="none"/>
              </w:rPr>
              <w:t>用于</w:t>
            </w:r>
            <w:r>
              <w:rPr>
                <w:rFonts w:hint="eastAsia"/>
                <w:color w:val="auto"/>
                <w:sz w:val="26"/>
                <w:szCs w:val="26"/>
                <w:highlight w:val="none"/>
                <w:lang w:val="en-US" w:eastAsia="zh-CN"/>
              </w:rPr>
              <w:t>场区非雨天洒水降尘</w:t>
            </w:r>
            <w:r>
              <w:rPr>
                <w:rFonts w:hint="eastAsia" w:ascii="Times New Roman" w:hAnsi="Times New Roman"/>
                <w:color w:val="auto"/>
                <w:sz w:val="26"/>
                <w:szCs w:val="26"/>
                <w:highlight w:val="none"/>
              </w:rPr>
              <w:t>，按照初期雨水的计算方式：</w:t>
            </w:r>
          </w:p>
          <w:p w14:paraId="1D06351F">
            <w:pPr>
              <w:pStyle w:val="5"/>
              <w:spacing w:before="164"/>
              <w:ind w:left="1430" w:right="1067"/>
              <w:jc w:val="center"/>
              <w:rPr>
                <w:rFonts w:ascii="Times New Roman" w:hAnsi="Times New Roman"/>
                <w:color w:val="auto"/>
                <w:highlight w:val="none"/>
              </w:rPr>
            </w:pPr>
            <w:r>
              <w:rPr>
                <w:rFonts w:ascii="Times New Roman" w:hAnsi="Times New Roman"/>
                <w:color w:val="auto"/>
                <w:highlight w:val="none"/>
              </w:rPr>
              <w:t>V = H×Ψ×F×15/60</w:t>
            </w:r>
          </w:p>
          <w:p w14:paraId="04B1D0B7">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eastAsia="宋体"/>
                <w:color w:val="auto"/>
                <w:sz w:val="26"/>
                <w:highlight w:val="none"/>
              </w:rPr>
            </w:pPr>
            <w:r>
              <w:rPr>
                <w:rFonts w:eastAsia="宋体"/>
                <w:color w:val="auto"/>
                <w:sz w:val="26"/>
                <w:highlight w:val="none"/>
              </w:rPr>
              <w:t>其中：</w:t>
            </w:r>
            <w:r>
              <w:rPr>
                <w:rFonts w:ascii="Times New Roman" w:hAnsi="Times New Roman" w:eastAsia="宋体"/>
                <w:color w:val="auto"/>
                <w:sz w:val="26"/>
                <w:highlight w:val="none"/>
              </w:rPr>
              <w:t>V——</w:t>
            </w:r>
            <w:r>
              <w:rPr>
                <w:rFonts w:eastAsia="宋体"/>
                <w:color w:val="auto"/>
                <w:sz w:val="26"/>
                <w:highlight w:val="none"/>
              </w:rPr>
              <w:t>径流雨水量；</w:t>
            </w:r>
          </w:p>
          <w:p w14:paraId="3E4E78DF">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eastAsia="宋体"/>
                <w:color w:val="auto"/>
                <w:sz w:val="26"/>
                <w:highlight w:val="none"/>
              </w:rPr>
            </w:pPr>
            <w:r>
              <w:rPr>
                <w:rFonts w:ascii="Times New Roman" w:hAnsi="Times New Roman" w:eastAsia="宋体"/>
                <w:color w:val="auto"/>
                <w:sz w:val="26"/>
                <w:highlight w:val="none"/>
              </w:rPr>
              <w:t>Ψ——</w:t>
            </w:r>
            <w:r>
              <w:rPr>
                <w:rFonts w:eastAsia="宋体"/>
                <w:color w:val="auto"/>
                <w:sz w:val="26"/>
                <w:highlight w:val="none"/>
              </w:rPr>
              <w:t>径流系数，取</w:t>
            </w:r>
            <w:r>
              <w:rPr>
                <w:rFonts w:ascii="Times New Roman" w:hAnsi="Times New Roman" w:eastAsia="宋体"/>
                <w:color w:val="auto"/>
                <w:sz w:val="26"/>
                <w:highlight w:val="none"/>
              </w:rPr>
              <w:t>0.8</w:t>
            </w:r>
            <w:r>
              <w:rPr>
                <w:rFonts w:eastAsia="宋体"/>
                <w:color w:val="auto"/>
                <w:sz w:val="26"/>
                <w:highlight w:val="none"/>
              </w:rPr>
              <w:t>；</w:t>
            </w:r>
          </w:p>
          <w:p w14:paraId="0F3D888E">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eastAsia="宋体"/>
                <w:color w:val="auto"/>
                <w:sz w:val="26"/>
                <w:highlight w:val="none"/>
              </w:rPr>
            </w:pPr>
            <w:r>
              <w:rPr>
                <w:rFonts w:ascii="Times New Roman" w:hAnsi="Times New Roman" w:eastAsia="宋体"/>
                <w:color w:val="auto"/>
                <w:sz w:val="26"/>
                <w:highlight w:val="none"/>
              </w:rPr>
              <w:t>H——</w:t>
            </w:r>
            <w:r>
              <w:rPr>
                <w:rFonts w:eastAsia="宋体"/>
                <w:color w:val="auto"/>
                <w:sz w:val="26"/>
                <w:highlight w:val="none"/>
              </w:rPr>
              <w:t>降雨强度，采用小时暴雨降雨量</w:t>
            </w:r>
            <w:r>
              <w:rPr>
                <w:rFonts w:ascii="Times New Roman" w:hAnsi="Times New Roman" w:eastAsia="宋体"/>
                <w:color w:val="auto"/>
                <w:sz w:val="26"/>
                <w:highlight w:val="none"/>
              </w:rPr>
              <w:t>30mm</w:t>
            </w:r>
            <w:r>
              <w:rPr>
                <w:rFonts w:eastAsia="宋体"/>
                <w:color w:val="auto"/>
                <w:sz w:val="26"/>
                <w:highlight w:val="none"/>
              </w:rPr>
              <w:t>；</w:t>
            </w:r>
          </w:p>
          <w:p w14:paraId="3DB570E2">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eastAsia="宋体"/>
                <w:color w:val="auto"/>
                <w:sz w:val="26"/>
                <w:highlight w:val="none"/>
              </w:rPr>
            </w:pPr>
            <w:r>
              <w:rPr>
                <w:rFonts w:ascii="Times New Roman" w:hAnsi="Times New Roman" w:eastAsia="宋体"/>
                <w:color w:val="auto"/>
                <w:sz w:val="26"/>
                <w:highlight w:val="none"/>
              </w:rPr>
              <w:t>F——</w:t>
            </w:r>
            <w:r>
              <w:rPr>
                <w:rFonts w:eastAsia="宋体"/>
                <w:color w:val="auto"/>
                <w:sz w:val="26"/>
                <w:highlight w:val="none"/>
              </w:rPr>
              <w:t>区域面积。项目集雨面积为</w:t>
            </w:r>
            <w:r>
              <w:rPr>
                <w:rFonts w:hint="eastAsia"/>
                <w:color w:val="auto"/>
                <w:sz w:val="26"/>
                <w:highlight w:val="none"/>
                <w:lang w:val="en-US" w:eastAsia="zh-CN"/>
              </w:rPr>
              <w:t>7</w:t>
            </w:r>
            <w:r>
              <w:rPr>
                <w:rFonts w:hint="eastAsia" w:eastAsia="宋体"/>
                <w:color w:val="auto"/>
                <w:sz w:val="26"/>
                <w:highlight w:val="none"/>
                <w:lang w:val="en-US" w:eastAsia="zh-CN"/>
              </w:rPr>
              <w:t>000</w:t>
            </w:r>
            <w:r>
              <w:rPr>
                <w:rFonts w:ascii="Times New Roman" w:hAnsi="Times New Roman" w:eastAsia="宋体"/>
                <w:color w:val="auto"/>
                <w:sz w:val="26"/>
                <w:highlight w:val="none"/>
              </w:rPr>
              <w:t>m</w:t>
            </w:r>
            <w:r>
              <w:rPr>
                <w:rFonts w:hint="eastAsia" w:eastAsia="宋体"/>
                <w:color w:val="auto"/>
                <w:sz w:val="26"/>
                <w:highlight w:val="none"/>
                <w:vertAlign w:val="superscript"/>
                <w:lang w:val="en-US" w:eastAsia="zh-CN"/>
              </w:rPr>
              <w:t>2</w:t>
            </w:r>
            <w:r>
              <w:rPr>
                <w:rFonts w:eastAsia="宋体"/>
                <w:color w:val="auto"/>
                <w:sz w:val="26"/>
                <w:highlight w:val="none"/>
              </w:rPr>
              <w:t>。</w:t>
            </w:r>
          </w:p>
          <w:p w14:paraId="290F6DDB">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default" w:ascii="Times New Roman" w:hAnsi="Times New Roman" w:eastAsia="宋体"/>
                <w:color w:val="auto"/>
                <w:sz w:val="26"/>
                <w:szCs w:val="26"/>
                <w:highlight w:val="none"/>
                <w:lang w:val="en-US" w:eastAsia="zh-CN"/>
              </w:rPr>
            </w:pPr>
            <w:r>
              <w:rPr>
                <w:rFonts w:eastAsia="宋体"/>
                <w:color w:val="auto"/>
                <w:sz w:val="26"/>
                <w:highlight w:val="none"/>
              </w:rPr>
              <w:t>初期雨水</w:t>
            </w:r>
            <w:r>
              <w:rPr>
                <w:rFonts w:hint="eastAsia"/>
                <w:color w:val="auto"/>
                <w:sz w:val="26"/>
                <w:highlight w:val="none"/>
                <w:lang w:val="en-US" w:eastAsia="zh-CN"/>
              </w:rPr>
              <w:t>根据公式</w:t>
            </w:r>
            <w:r>
              <w:rPr>
                <w:rFonts w:eastAsia="宋体"/>
                <w:color w:val="auto"/>
                <w:sz w:val="26"/>
                <w:highlight w:val="none"/>
              </w:rPr>
              <w:t xml:space="preserve">计算得到，项目初期雨水产生量为 </w:t>
            </w:r>
            <w:r>
              <w:rPr>
                <w:rFonts w:hint="eastAsia" w:eastAsia="宋体"/>
                <w:color w:val="auto"/>
                <w:sz w:val="26"/>
                <w:highlight w:val="none"/>
                <w:lang w:val="en-US" w:eastAsia="zh-CN"/>
              </w:rPr>
              <w:t>4</w:t>
            </w:r>
            <w:r>
              <w:rPr>
                <w:rFonts w:hint="eastAsia"/>
                <w:color w:val="auto"/>
                <w:sz w:val="26"/>
                <w:highlight w:val="none"/>
                <w:lang w:val="en-US" w:eastAsia="zh-CN"/>
              </w:rPr>
              <w:t>2</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ascii="Times New Roman" w:eastAsia="宋体"/>
                <w:color w:val="auto"/>
                <w:sz w:val="26"/>
                <w:highlight w:val="none"/>
              </w:rPr>
              <w:t>/</w:t>
            </w:r>
            <w:r>
              <w:rPr>
                <w:rFonts w:eastAsia="宋体"/>
                <w:color w:val="auto"/>
                <w:sz w:val="26"/>
                <w:highlight w:val="none"/>
              </w:rPr>
              <w:t>次。</w:t>
            </w:r>
            <w:r>
              <w:rPr>
                <w:rFonts w:hint="eastAsia"/>
                <w:color w:val="auto"/>
                <w:sz w:val="26"/>
                <w:highlight w:val="none"/>
                <w:lang w:val="en-US" w:eastAsia="zh-CN"/>
              </w:rPr>
              <w:t>则需建设初期雨水收集池容积为50</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eastAsia="宋体"/>
                <w:color w:val="auto"/>
                <w:sz w:val="26"/>
                <w:highlight w:val="none"/>
              </w:rPr>
              <w:t>。</w:t>
            </w:r>
          </w:p>
          <w:p w14:paraId="19748E86">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6"/>
                <w:szCs w:val="26"/>
                <w:highlight w:val="none"/>
              </w:rPr>
            </w:pPr>
            <w:r>
              <w:rPr>
                <w:rFonts w:hint="eastAsia" w:ascii="Times New Roman" w:hAnsi="Times New Roman" w:eastAsiaTheme="minorEastAsia"/>
                <w:color w:val="auto"/>
                <w:kern w:val="0"/>
                <w:sz w:val="26"/>
                <w:szCs w:val="26"/>
                <w:highlight w:val="none"/>
              </w:rPr>
              <w:t>根据当地气象条件，整个雨季矸石转运场雨水总量按雨季降雨量</w:t>
            </w:r>
            <w:r>
              <w:rPr>
                <w:rFonts w:hint="eastAsia" w:eastAsiaTheme="minorEastAsia"/>
                <w:color w:val="auto"/>
                <w:kern w:val="0"/>
                <w:sz w:val="26"/>
                <w:szCs w:val="26"/>
                <w:highlight w:val="none"/>
                <w:lang w:val="en-US" w:eastAsia="zh-CN"/>
              </w:rPr>
              <w:t>800.4</w:t>
            </w:r>
            <w:r>
              <w:rPr>
                <w:rFonts w:hint="eastAsia" w:ascii="Times New Roman" w:hAnsi="Times New Roman" w:eastAsiaTheme="minorEastAsia"/>
                <w:color w:val="auto"/>
                <w:kern w:val="0"/>
                <w:sz w:val="26"/>
                <w:szCs w:val="26"/>
                <w:highlight w:val="none"/>
              </w:rPr>
              <w:t>mm（按雨季降雨占年</w:t>
            </w:r>
            <w:r>
              <w:rPr>
                <w:rFonts w:hint="eastAsia" w:eastAsiaTheme="minorEastAsia"/>
                <w:color w:val="auto"/>
                <w:kern w:val="0"/>
                <w:sz w:val="26"/>
                <w:szCs w:val="26"/>
                <w:highlight w:val="none"/>
                <w:lang w:val="en-US" w:eastAsia="zh-CN"/>
              </w:rPr>
              <w:t>平均</w:t>
            </w:r>
            <w:r>
              <w:rPr>
                <w:rFonts w:hint="eastAsia" w:ascii="Times New Roman" w:hAnsi="Times New Roman" w:eastAsiaTheme="minorEastAsia"/>
                <w:color w:val="auto"/>
                <w:kern w:val="0"/>
                <w:sz w:val="26"/>
                <w:szCs w:val="26"/>
                <w:highlight w:val="none"/>
              </w:rPr>
              <w:t>降雨量</w:t>
            </w:r>
            <w:r>
              <w:rPr>
                <w:rFonts w:hint="eastAsia" w:eastAsiaTheme="minorEastAsia"/>
                <w:color w:val="auto"/>
                <w:kern w:val="0"/>
                <w:sz w:val="26"/>
                <w:szCs w:val="26"/>
                <w:highlight w:val="none"/>
                <w:lang w:val="en-US" w:eastAsia="zh-CN"/>
              </w:rPr>
              <w:t>1000.5</w:t>
            </w:r>
            <w:r>
              <w:rPr>
                <w:rFonts w:hint="eastAsia" w:ascii="Times New Roman" w:hAnsi="Times New Roman" w:eastAsiaTheme="minorEastAsia"/>
                <w:color w:val="auto"/>
                <w:kern w:val="0"/>
                <w:sz w:val="26"/>
                <w:szCs w:val="26"/>
                <w:highlight w:val="none"/>
              </w:rPr>
              <w:t>mm的8</w:t>
            </w:r>
            <w:r>
              <w:rPr>
                <w:rFonts w:hint="eastAsia" w:eastAsiaTheme="minorEastAsia"/>
                <w:color w:val="auto"/>
                <w:kern w:val="0"/>
                <w:sz w:val="26"/>
                <w:szCs w:val="26"/>
                <w:highlight w:val="none"/>
                <w:lang w:val="en-US" w:eastAsia="zh-CN"/>
              </w:rPr>
              <w:t>0</w:t>
            </w:r>
            <w:r>
              <w:rPr>
                <w:rFonts w:hint="eastAsia" w:ascii="Times New Roman" w:hAnsi="Times New Roman" w:eastAsiaTheme="minorEastAsia"/>
                <w:color w:val="auto"/>
                <w:kern w:val="0"/>
                <w:sz w:val="26"/>
                <w:szCs w:val="26"/>
                <w:highlight w:val="none"/>
              </w:rPr>
              <w:t>%计）进行估算，则工业场地共产生雨水量</w:t>
            </w:r>
            <w:r>
              <w:rPr>
                <w:rFonts w:hint="eastAsia" w:eastAsiaTheme="minorEastAsia"/>
                <w:color w:val="auto"/>
                <w:kern w:val="0"/>
                <w:sz w:val="26"/>
                <w:szCs w:val="26"/>
                <w:highlight w:val="none"/>
                <w:lang w:val="en-US" w:eastAsia="zh-CN"/>
              </w:rPr>
              <w:t>5602.8</w:t>
            </w:r>
            <w:r>
              <w:rPr>
                <w:rFonts w:hint="eastAsia" w:ascii="Times New Roman" w:hAnsi="Times New Roman" w:eastAsiaTheme="minorEastAsia"/>
                <w:color w:val="auto"/>
                <w:kern w:val="0"/>
                <w:sz w:val="26"/>
                <w:szCs w:val="26"/>
                <w:highlight w:val="none"/>
              </w:rPr>
              <w:t>m</w:t>
            </w:r>
            <w:r>
              <w:rPr>
                <w:rFonts w:hint="eastAsia" w:ascii="Times New Roman" w:hAnsi="Times New Roman" w:eastAsiaTheme="minorEastAsia"/>
                <w:color w:val="auto"/>
                <w:kern w:val="0"/>
                <w:sz w:val="26"/>
                <w:szCs w:val="26"/>
                <w:highlight w:val="none"/>
                <w:vertAlign w:val="superscript"/>
              </w:rPr>
              <w:t>3</w:t>
            </w:r>
            <w:r>
              <w:rPr>
                <w:rFonts w:hint="eastAsia" w:ascii="Times New Roman" w:hAnsi="Times New Roman" w:eastAsiaTheme="minorEastAsia"/>
                <w:color w:val="auto"/>
                <w:kern w:val="0"/>
                <w:sz w:val="26"/>
                <w:szCs w:val="26"/>
                <w:highlight w:val="none"/>
              </w:rPr>
              <w:t>/a。按雨季150d计算，则折合</w:t>
            </w:r>
            <w:r>
              <w:rPr>
                <w:rFonts w:hint="eastAsia" w:eastAsiaTheme="minorEastAsia"/>
                <w:color w:val="auto"/>
                <w:kern w:val="0"/>
                <w:sz w:val="26"/>
                <w:szCs w:val="26"/>
                <w:highlight w:val="none"/>
                <w:lang w:val="en-US" w:eastAsia="zh-CN"/>
              </w:rPr>
              <w:t>37</w:t>
            </w:r>
            <w:r>
              <w:rPr>
                <w:rFonts w:hint="eastAsia" w:ascii="Times New Roman" w:hAnsi="Times New Roman" w:eastAsiaTheme="minorEastAsia"/>
                <w:color w:val="auto"/>
                <w:kern w:val="0"/>
                <w:sz w:val="26"/>
                <w:szCs w:val="26"/>
                <w:highlight w:val="none"/>
              </w:rPr>
              <w:t>m</w:t>
            </w:r>
            <w:r>
              <w:rPr>
                <w:rFonts w:hint="eastAsia" w:ascii="Times New Roman" w:hAnsi="Times New Roman" w:eastAsiaTheme="minorEastAsia"/>
                <w:color w:val="auto"/>
                <w:kern w:val="0"/>
                <w:sz w:val="26"/>
                <w:szCs w:val="26"/>
                <w:highlight w:val="none"/>
                <w:vertAlign w:val="superscript"/>
              </w:rPr>
              <w:t>3</w:t>
            </w:r>
            <w:r>
              <w:rPr>
                <w:rFonts w:hint="eastAsia" w:ascii="Times New Roman" w:hAnsi="Times New Roman" w:eastAsiaTheme="minorEastAsia"/>
                <w:color w:val="auto"/>
                <w:kern w:val="0"/>
                <w:sz w:val="26"/>
                <w:szCs w:val="26"/>
                <w:highlight w:val="none"/>
              </w:rPr>
              <w:t>/d。</w:t>
            </w:r>
          </w:p>
          <w:p w14:paraId="416AD18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⑥</w:t>
            </w:r>
            <w:r>
              <w:rPr>
                <w:rFonts w:hint="eastAsia" w:ascii="Times New Roman" w:hAnsi="Times New Roman"/>
                <w:color w:val="auto"/>
                <w:sz w:val="26"/>
                <w:szCs w:val="26"/>
                <w:highlight w:val="none"/>
              </w:rPr>
              <w:t>车辆冲洗水</w:t>
            </w:r>
          </w:p>
          <w:p w14:paraId="2D14558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color w:val="auto"/>
                <w:sz w:val="26"/>
                <w:szCs w:val="26"/>
                <w:highlight w:val="none"/>
                <w:lang w:val="en-US" w:eastAsia="zh-CN"/>
              </w:rPr>
              <w:t>本</w:t>
            </w:r>
            <w:r>
              <w:rPr>
                <w:rFonts w:hint="eastAsia" w:ascii="Times New Roman" w:hAnsi="Times New Roman"/>
                <w:color w:val="auto"/>
                <w:sz w:val="26"/>
                <w:szCs w:val="26"/>
                <w:highlight w:val="none"/>
              </w:rPr>
              <w:t>项目在矿区出口处设置洗车平台，本项目年产量为30万吨，根据建设方提供的资料，原料由车辆运输，其车辆年运输量为30万吨，单车一次运输量最大为</w:t>
            </w:r>
            <w:r>
              <w:rPr>
                <w:rFonts w:hint="eastAsia"/>
                <w:color w:val="auto"/>
                <w:sz w:val="26"/>
                <w:szCs w:val="26"/>
                <w:highlight w:val="none"/>
                <w:lang w:val="en-US" w:eastAsia="zh-CN"/>
              </w:rPr>
              <w:t>20</w:t>
            </w:r>
            <w:r>
              <w:rPr>
                <w:rFonts w:hint="eastAsia" w:ascii="Times New Roman" w:hAnsi="Times New Roman"/>
                <w:color w:val="auto"/>
                <w:sz w:val="26"/>
                <w:szCs w:val="26"/>
                <w:highlight w:val="none"/>
              </w:rPr>
              <w:t>吨，约需运输</w:t>
            </w:r>
            <w:r>
              <w:rPr>
                <w:rFonts w:hint="eastAsia"/>
                <w:color w:val="auto"/>
                <w:sz w:val="26"/>
                <w:szCs w:val="26"/>
                <w:highlight w:val="none"/>
                <w:lang w:val="en-US" w:eastAsia="zh-CN"/>
              </w:rPr>
              <w:t>15000</w:t>
            </w:r>
            <w:r>
              <w:rPr>
                <w:rFonts w:hint="eastAsia" w:ascii="Times New Roman" w:hAnsi="Times New Roman"/>
                <w:color w:val="auto"/>
                <w:sz w:val="26"/>
                <w:szCs w:val="26"/>
                <w:highlight w:val="none"/>
              </w:rPr>
              <w:t>次，每两次需清洗一次。车辆冲洗水量大致为0.05m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/辆·次，</w:t>
            </w:r>
            <w:r>
              <w:rPr>
                <w:rFonts w:hint="eastAsia"/>
                <w:color w:val="auto"/>
                <w:sz w:val="26"/>
                <w:szCs w:val="26"/>
                <w:highlight w:val="none"/>
                <w:lang w:val="en-US" w:eastAsia="zh-CN"/>
              </w:rPr>
              <w:t>故本项目车辆冲洗产生废水量为1.25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w:t>
            </w:r>
            <w:r>
              <w:rPr>
                <w:rFonts w:hint="eastAsia"/>
                <w:color w:val="auto"/>
                <w:sz w:val="26"/>
                <w:szCs w:val="26"/>
                <w:highlight w:val="none"/>
                <w:lang w:val="en-US" w:eastAsia="zh-CN"/>
              </w:rPr>
              <w:t>d（375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w:t>
            </w:r>
            <w:r>
              <w:rPr>
                <w:rFonts w:hint="eastAsia"/>
                <w:color w:val="auto"/>
                <w:sz w:val="26"/>
                <w:szCs w:val="26"/>
                <w:highlight w:val="none"/>
                <w:lang w:val="en-US" w:eastAsia="zh-CN"/>
              </w:rPr>
              <w:t>）</w:t>
            </w:r>
            <w:r>
              <w:rPr>
                <w:rFonts w:hint="eastAsia" w:ascii="Times New Roman" w:hAnsi="Times New Roman"/>
                <w:color w:val="auto"/>
                <w:sz w:val="26"/>
                <w:szCs w:val="26"/>
                <w:highlight w:val="none"/>
              </w:rPr>
              <w:t>，冲洗废水排放量按用水量的80%考虑，则排放量为</w:t>
            </w:r>
            <w:r>
              <w:rPr>
                <w:rFonts w:hint="eastAsia"/>
                <w:color w:val="auto"/>
                <w:sz w:val="26"/>
                <w:szCs w:val="26"/>
                <w:highlight w:val="none"/>
                <w:lang w:val="en-US" w:eastAsia="zh-CN"/>
              </w:rPr>
              <w:t>1</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w:t>
            </w:r>
            <w:r>
              <w:rPr>
                <w:rFonts w:hint="eastAsia"/>
                <w:color w:val="auto"/>
                <w:sz w:val="26"/>
                <w:szCs w:val="26"/>
                <w:highlight w:val="none"/>
                <w:lang w:val="en-US" w:eastAsia="zh-CN"/>
              </w:rPr>
              <w:t>d、300</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/a，该废水收集后进入沉淀池中，经沉淀后循环使用，不外排。</w:t>
            </w:r>
          </w:p>
          <w:p w14:paraId="4621893F">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olor w:val="auto"/>
                <w:sz w:val="26"/>
                <w:szCs w:val="26"/>
                <w:highlight w:val="none"/>
                <w:lang w:val="en-US" w:eastAsia="zh-CN"/>
              </w:rPr>
            </w:pPr>
            <w:r>
              <w:rPr>
                <w:rFonts w:hint="eastAsia" w:ascii="宋体" w:hAnsi="宋体" w:eastAsia="宋体" w:cs="宋体"/>
                <w:color w:val="auto"/>
                <w:sz w:val="26"/>
                <w:szCs w:val="26"/>
                <w:highlight w:val="none"/>
                <w:lang w:eastAsia="zh-CN"/>
              </w:rPr>
              <w:t>⑦</w:t>
            </w:r>
            <w:r>
              <w:rPr>
                <w:rFonts w:hint="eastAsia"/>
                <w:color w:val="auto"/>
                <w:sz w:val="26"/>
                <w:szCs w:val="26"/>
                <w:highlight w:val="none"/>
                <w:lang w:val="en-US" w:eastAsia="zh-CN"/>
              </w:rPr>
              <w:t>生活污水</w:t>
            </w:r>
          </w:p>
          <w:p w14:paraId="4227BE8C">
            <w:pPr>
              <w:pStyle w:val="4"/>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color w:val="auto"/>
                <w:sz w:val="26"/>
                <w:szCs w:val="26"/>
                <w:highlight w:val="none"/>
                <w:lang w:val="en-US" w:eastAsia="zh-CN"/>
              </w:rPr>
            </w:pPr>
            <w:r>
              <w:rPr>
                <w:rFonts w:hint="eastAsia"/>
                <w:color w:val="auto"/>
                <w:sz w:val="26"/>
                <w:szCs w:val="26"/>
                <w:highlight w:val="none"/>
                <w:lang w:val="en-US" w:eastAsia="zh-CN"/>
              </w:rPr>
              <w:t>据建设单位提供，本项目运营期工作人员约33位，厂区员工生活用水按100L/人·天计算，年工作300天，则生活用水量3.3m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/d，年用水量为990m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/a。本项目生活污水按照用水量的80%计算，则污水水量为2.64m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/d，792m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/a，生活污水收集排入化粪池，食堂废水先进入隔油池处理后在排入化粪池，生活污水经化粪池处理后，委托周边农户定期清掏做农肥。</w:t>
            </w:r>
          </w:p>
          <w:p w14:paraId="062E6A8A">
            <w:pPr>
              <w:rPr>
                <w:rFonts w:hint="eastAsia"/>
                <w:color w:val="auto"/>
                <w:sz w:val="26"/>
                <w:szCs w:val="26"/>
                <w:highlight w:val="none"/>
                <w:lang w:val="en-US" w:eastAsia="zh-CN"/>
              </w:rPr>
            </w:pPr>
            <w:r>
              <w:rPr>
                <w:rFonts w:hint="eastAsia" w:ascii="Times New Roman" w:hAnsi="Times New Roman" w:cs="Times New Roman"/>
                <w:color w:val="auto"/>
                <w:sz w:val="26"/>
                <w:szCs w:val="26"/>
                <w:highlight w:val="none"/>
                <w:lang w:val="en-US"/>
              </w:rPr>
              <w:t>本项目的水平衡图如下：</w:t>
            </w:r>
          </w:p>
          <w:p w14:paraId="0D024451">
            <w:pPr>
              <w:pStyle w:val="17"/>
              <w:spacing w:line="240" w:lineRule="auto"/>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64150" cy="2306320"/>
                  <wp:effectExtent l="0" t="0" r="12700" b="17780"/>
                  <wp:docPr id="5" name="图片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
                          <pic:cNvPicPr>
                            <a:picLocks noChangeAspect="1"/>
                          </pic:cNvPicPr>
                        </pic:nvPicPr>
                        <pic:blipFill>
                          <a:blip r:embed="rId20"/>
                          <a:stretch>
                            <a:fillRect/>
                          </a:stretch>
                        </pic:blipFill>
                        <pic:spPr>
                          <a:xfrm>
                            <a:off x="0" y="0"/>
                            <a:ext cx="5264150" cy="2306320"/>
                          </a:xfrm>
                          <a:prstGeom prst="rect">
                            <a:avLst/>
                          </a:prstGeom>
                        </pic:spPr>
                      </pic:pic>
                    </a:graphicData>
                  </a:graphic>
                </wp:inline>
              </w:drawing>
            </w:r>
          </w:p>
          <w:p w14:paraId="49BF1FC5">
            <w:pPr>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图5-4 项目区非雨天水平衡图</w:t>
            </w:r>
          </w:p>
          <w:p w14:paraId="22ADB6D6">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71135" cy="735965"/>
                  <wp:effectExtent l="0" t="0" r="5715" b="6985"/>
                  <wp:docPr id="4" name="图片 4" descr="QQ截图2021022216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210222161153"/>
                          <pic:cNvPicPr>
                            <a:picLocks noChangeAspect="1"/>
                          </pic:cNvPicPr>
                        </pic:nvPicPr>
                        <pic:blipFill>
                          <a:blip r:embed="rId21"/>
                          <a:stretch>
                            <a:fillRect/>
                          </a:stretch>
                        </pic:blipFill>
                        <pic:spPr>
                          <a:xfrm>
                            <a:off x="0" y="0"/>
                            <a:ext cx="5271135" cy="735965"/>
                          </a:xfrm>
                          <a:prstGeom prst="rect">
                            <a:avLst/>
                          </a:prstGeom>
                        </pic:spPr>
                      </pic:pic>
                    </a:graphicData>
                  </a:graphic>
                </wp:inline>
              </w:drawing>
            </w:r>
          </w:p>
          <w:p w14:paraId="05E6367F">
            <w:pPr>
              <w:jc w:val="cente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图5-5 项目区雨天水平衡图</w:t>
            </w:r>
          </w:p>
          <w:p w14:paraId="557895B1">
            <w:pPr>
              <w:pStyle w:val="17"/>
              <w:keepNext w:val="0"/>
              <w:keepLines w:val="0"/>
              <w:pageBreakBefore w:val="0"/>
              <w:widowControl w:val="0"/>
              <w:kinsoku/>
              <w:wordWrap/>
              <w:overflowPunct/>
              <w:topLinePunct w:val="0"/>
              <w:autoSpaceDE/>
              <w:autoSpaceDN/>
              <w:bidi w:val="0"/>
              <w:adjustRightInd/>
              <w:spacing w:line="480" w:lineRule="exact"/>
              <w:ind w:firstLine="522" w:firstLineChars="200"/>
              <w:jc w:val="both"/>
              <w:textAlignment w:val="auto"/>
              <w:rPr>
                <w:rFonts w:hint="eastAsia" w:ascii="Times New Roman" w:hAnsi="Times New Roman"/>
                <w:b/>
                <w:bCs/>
                <w:color w:val="auto"/>
                <w:sz w:val="26"/>
                <w:szCs w:val="26"/>
                <w:highlight w:val="none"/>
              </w:rPr>
            </w:pPr>
            <w:r>
              <w:rPr>
                <w:rFonts w:hint="eastAsia" w:ascii="Times New Roman" w:hAnsi="Times New Roman"/>
                <w:b/>
                <w:bCs/>
                <w:color w:val="auto"/>
                <w:sz w:val="26"/>
                <w:szCs w:val="26"/>
                <w:highlight w:val="none"/>
              </w:rPr>
              <w:t>(3)噪声</w:t>
            </w:r>
          </w:p>
          <w:p w14:paraId="3E82E98F">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本项目在运营时将产生一定的噪声污染，噪声主要来自工艺过程产生的噪声、车辆运输噪声及设备噪声。</w:t>
            </w:r>
          </w:p>
          <w:p w14:paraId="09ED83D8">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default" w:ascii="Times New Roman" w:hAnsi="Times New Roman" w:eastAsia="宋体"/>
                <w:color w:val="auto"/>
                <w:sz w:val="26"/>
                <w:szCs w:val="26"/>
                <w:highlight w:val="none"/>
                <w:lang w:val="en-US" w:eastAsia="zh-CN"/>
              </w:rPr>
            </w:pPr>
            <w:r>
              <w:rPr>
                <w:rFonts w:hint="eastAsia" w:ascii="Times New Roman" w:hAnsi="Times New Roman"/>
                <w:color w:val="auto"/>
                <w:sz w:val="26"/>
                <w:szCs w:val="26"/>
                <w:highlight w:val="none"/>
              </w:rPr>
              <w:t>①爆破噪声</w:t>
            </w:r>
            <w:r>
              <w:rPr>
                <w:rFonts w:hint="eastAsia"/>
                <w:color w:val="auto"/>
                <w:sz w:val="26"/>
                <w:szCs w:val="26"/>
                <w:highlight w:val="none"/>
                <w:lang w:val="en-US" w:eastAsia="zh-CN"/>
              </w:rPr>
              <w:t>及振动</w:t>
            </w:r>
          </w:p>
          <w:p w14:paraId="567E78F4">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爆破噪声为瞬间噪声，持续时间短，爆破频率低，但强度大，声压级</w:t>
            </w:r>
            <w:r>
              <w:rPr>
                <w:rFonts w:hint="eastAsia"/>
                <w:color w:val="auto"/>
                <w:sz w:val="26"/>
                <w:szCs w:val="26"/>
                <w:highlight w:val="none"/>
                <w:lang w:val="en-US" w:eastAsia="zh-CN"/>
              </w:rPr>
              <w:t>一</w:t>
            </w:r>
            <w:r>
              <w:rPr>
                <w:rFonts w:hint="eastAsia" w:ascii="Times New Roman" w:hAnsi="Times New Roman"/>
                <w:color w:val="auto"/>
                <w:sz w:val="26"/>
                <w:szCs w:val="26"/>
                <w:highlight w:val="none"/>
              </w:rPr>
              <w:t>般为130-140dB (A)，爆破噪声的声频高，传播距离远。但是由于矿山选用中深孔爆破方案，爆破器材选用毫秒延时电雷管延时爆破起爆工艺，同时由于爆破噪声具有瞬时性的特点，通过地层的阻隔作用，</w:t>
            </w:r>
            <w:r>
              <w:rPr>
                <w:rFonts w:hint="eastAsia"/>
                <w:color w:val="auto"/>
                <w:sz w:val="26"/>
                <w:szCs w:val="26"/>
                <w:highlight w:val="none"/>
                <w:lang w:val="en-US" w:eastAsia="zh-CN"/>
              </w:rPr>
              <w:t>且周边村民距离较远，故</w:t>
            </w:r>
            <w:r>
              <w:rPr>
                <w:rFonts w:hint="eastAsia" w:ascii="Times New Roman" w:hAnsi="Times New Roman"/>
                <w:color w:val="auto"/>
                <w:sz w:val="26"/>
                <w:szCs w:val="26"/>
                <w:highlight w:val="none"/>
              </w:rPr>
              <w:t>对周边民众生活影响</w:t>
            </w:r>
            <w:r>
              <w:rPr>
                <w:rFonts w:hint="eastAsia"/>
                <w:color w:val="auto"/>
                <w:sz w:val="26"/>
                <w:szCs w:val="26"/>
                <w:highlight w:val="none"/>
                <w:lang w:val="en-US" w:eastAsia="zh-CN"/>
              </w:rPr>
              <w:t>较小</w:t>
            </w:r>
            <w:r>
              <w:rPr>
                <w:rFonts w:hint="eastAsia" w:ascii="Times New Roman" w:hAnsi="Times New Roman"/>
                <w:color w:val="auto"/>
                <w:sz w:val="26"/>
                <w:szCs w:val="26"/>
                <w:highlight w:val="none"/>
              </w:rPr>
              <w:t>。</w:t>
            </w:r>
          </w:p>
          <w:p w14:paraId="50830693">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color w:val="auto"/>
                <w:sz w:val="26"/>
                <w:szCs w:val="26"/>
                <w:highlight w:val="none"/>
                <w:lang w:val="en-US" w:eastAsia="zh-CN"/>
              </w:rPr>
              <w:t>据</w:t>
            </w:r>
            <w:r>
              <w:rPr>
                <w:rFonts w:hint="eastAsia" w:ascii="Times New Roman" w:hAnsi="Times New Roman"/>
                <w:color w:val="auto"/>
                <w:sz w:val="26"/>
                <w:szCs w:val="26"/>
                <w:highlight w:val="none"/>
                <w:lang w:val="en-US" w:eastAsia="zh-CN"/>
              </w:rPr>
              <w:t>《云南省昆明市东川区排子田普通建筑材料用石灰岩矿矿产资源开发利用方案》</w:t>
            </w:r>
            <w:r>
              <w:rPr>
                <w:rFonts w:hint="eastAsia"/>
                <w:color w:val="auto"/>
                <w:sz w:val="26"/>
                <w:szCs w:val="26"/>
                <w:highlight w:val="none"/>
                <w:lang w:val="en-US" w:eastAsia="zh-CN"/>
              </w:rPr>
              <w:t>，本项目爆破</w:t>
            </w:r>
            <w:r>
              <w:rPr>
                <w:rFonts w:hint="eastAsia" w:ascii="Times New Roman" w:hAnsi="Times New Roman"/>
                <w:color w:val="auto"/>
                <w:sz w:val="26"/>
                <w:szCs w:val="26"/>
                <w:highlight w:val="none"/>
              </w:rPr>
              <w:t>空气冲击波对建筑物安全距离为107.3m；空气冲击波对避炮人员的安全距离121.6m；碎石飞散对人员的安全距离为87.5m；爆破震动安全影响距离66m</w:t>
            </w:r>
            <w:r>
              <w:rPr>
                <w:rFonts w:hint="eastAsia"/>
                <w:color w:val="auto"/>
                <w:sz w:val="26"/>
                <w:szCs w:val="26"/>
                <w:highlight w:val="none"/>
                <w:lang w:eastAsia="zh-CN"/>
              </w:rPr>
              <w:t>。</w:t>
            </w:r>
            <w:r>
              <w:rPr>
                <w:rFonts w:hint="eastAsia" w:ascii="Times New Roman" w:hAnsi="Times New Roman"/>
                <w:color w:val="auto"/>
                <w:sz w:val="26"/>
                <w:szCs w:val="26"/>
                <w:highlight w:val="none"/>
              </w:rPr>
              <w:t>矿体爆破点到最近的居民点地面建(构)筑物直线距离超过项目确定的爆破振动安全距离。因此，爆破作业而产生的爆破振动不会对地表房屋造成破坏。但有可能受到爆破产生的振动影响，会有</w:t>
            </w:r>
            <w:r>
              <w:rPr>
                <w:rFonts w:hint="eastAsia"/>
                <w:color w:val="auto"/>
                <w:sz w:val="26"/>
                <w:szCs w:val="26"/>
                <w:highlight w:val="none"/>
                <w:lang w:val="en-US" w:eastAsia="zh-CN"/>
              </w:rPr>
              <w:t>一</w:t>
            </w:r>
            <w:r>
              <w:rPr>
                <w:rFonts w:hint="eastAsia" w:ascii="Times New Roman" w:hAnsi="Times New Roman"/>
                <w:color w:val="auto"/>
                <w:sz w:val="26"/>
                <w:szCs w:val="26"/>
                <w:highlight w:val="none"/>
              </w:rPr>
              <w:t>定的振动感。因此，禁止晚间爆破，并且合理布置爆孔，尽量减少</w:t>
            </w:r>
            <w:r>
              <w:rPr>
                <w:rFonts w:hint="eastAsia"/>
                <w:color w:val="auto"/>
                <w:sz w:val="26"/>
                <w:szCs w:val="26"/>
                <w:highlight w:val="none"/>
                <w:lang w:val="en-US" w:eastAsia="zh-CN"/>
              </w:rPr>
              <w:t>一</w:t>
            </w:r>
            <w:r>
              <w:rPr>
                <w:rFonts w:hint="eastAsia" w:ascii="Times New Roman" w:hAnsi="Times New Roman"/>
                <w:color w:val="auto"/>
                <w:sz w:val="26"/>
                <w:szCs w:val="26"/>
                <w:highlight w:val="none"/>
              </w:rPr>
              <w:t>次使用炸药量，爆破前告知附近可能影响到居民，尽最大努力减轻对地面民宅的不利影响。</w:t>
            </w:r>
          </w:p>
          <w:p w14:paraId="40AC7D61">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②</w:t>
            </w:r>
            <w:r>
              <w:rPr>
                <w:rFonts w:hint="eastAsia" w:ascii="Times New Roman" w:hAnsi="Times New Roman"/>
                <w:color w:val="auto"/>
                <w:sz w:val="26"/>
                <w:szCs w:val="26"/>
                <w:highlight w:val="none"/>
              </w:rPr>
              <w:t>设备噪声</w:t>
            </w:r>
          </w:p>
          <w:p w14:paraId="035DFDC3">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采场噪声污染源主要有钻孔、凿岩等噪声</w:t>
            </w:r>
            <w:r>
              <w:rPr>
                <w:rFonts w:hint="eastAsia"/>
                <w:color w:val="auto"/>
                <w:sz w:val="26"/>
                <w:szCs w:val="26"/>
                <w:highlight w:val="none"/>
                <w:lang w:eastAsia="zh-CN"/>
              </w:rPr>
              <w:t>，</w:t>
            </w:r>
            <w:r>
              <w:rPr>
                <w:rFonts w:hint="eastAsia" w:ascii="Times New Roman" w:hAnsi="Times New Roman"/>
                <w:color w:val="auto"/>
                <w:sz w:val="26"/>
                <w:szCs w:val="26"/>
                <w:highlight w:val="none"/>
              </w:rPr>
              <w:t>全部为流动声源</w:t>
            </w:r>
            <w:r>
              <w:rPr>
                <w:rFonts w:hint="eastAsia"/>
                <w:color w:val="auto"/>
                <w:sz w:val="26"/>
                <w:szCs w:val="26"/>
                <w:highlight w:val="none"/>
                <w:lang w:eastAsia="zh-CN"/>
              </w:rPr>
              <w:t>：</w:t>
            </w:r>
            <w:r>
              <w:rPr>
                <w:rFonts w:hint="eastAsia" w:ascii="Times New Roman" w:hAnsi="Times New Roman"/>
                <w:color w:val="auto"/>
                <w:sz w:val="26"/>
                <w:szCs w:val="26"/>
                <w:highlight w:val="none"/>
              </w:rPr>
              <w:t>破碎加工场地主要为固定声源，本项目设备噪声源强情况见表</w:t>
            </w:r>
            <w:r>
              <w:rPr>
                <w:rFonts w:hint="eastAsia"/>
                <w:color w:val="auto"/>
                <w:sz w:val="26"/>
                <w:szCs w:val="26"/>
                <w:highlight w:val="none"/>
                <w:lang w:val="en-US" w:eastAsia="zh-CN"/>
              </w:rPr>
              <w:t>5-3</w:t>
            </w:r>
            <w:r>
              <w:rPr>
                <w:rFonts w:hint="eastAsia" w:ascii="Times New Roman" w:hAnsi="Times New Roman"/>
                <w:color w:val="auto"/>
                <w:sz w:val="26"/>
                <w:szCs w:val="26"/>
                <w:highlight w:val="none"/>
              </w:rPr>
              <w:t>。</w:t>
            </w:r>
          </w:p>
          <w:p w14:paraId="122C25FA">
            <w:pPr>
              <w:pStyle w:val="17"/>
              <w:keepNext w:val="0"/>
              <w:keepLines w:val="0"/>
              <w:pageBreakBefore w:val="0"/>
              <w:widowControl w:val="0"/>
              <w:kinsoku/>
              <w:wordWrap/>
              <w:overflowPunct/>
              <w:topLinePunct w:val="0"/>
              <w:autoSpaceDE/>
              <w:autoSpaceDN/>
              <w:bidi w:val="0"/>
              <w:adjustRightInd/>
              <w:spacing w:line="480" w:lineRule="exact"/>
              <w:ind w:firstLine="422" w:firstLineChars="200"/>
              <w:jc w:val="center"/>
              <w:textAlignment w:val="auto"/>
              <w:rPr>
                <w:rFonts w:hint="eastAsia" w:ascii="Times New Roman" w:hAnsi="Times New Roman"/>
                <w:b/>
                <w:bCs/>
                <w:color w:val="auto"/>
                <w:sz w:val="21"/>
                <w:szCs w:val="21"/>
                <w:highlight w:val="none"/>
              </w:rPr>
            </w:pPr>
            <w:r>
              <w:rPr>
                <w:rFonts w:hint="eastAsia" w:ascii="Times New Roman" w:hAnsi="Times New Roman"/>
                <w:b/>
                <w:bCs/>
                <w:color w:val="auto"/>
                <w:sz w:val="21"/>
                <w:szCs w:val="21"/>
                <w:highlight w:val="none"/>
              </w:rPr>
              <w:t>表</w:t>
            </w:r>
            <w:r>
              <w:rPr>
                <w:rFonts w:hint="eastAsia"/>
                <w:b/>
                <w:bCs/>
                <w:color w:val="auto"/>
                <w:sz w:val="21"/>
                <w:szCs w:val="21"/>
                <w:highlight w:val="none"/>
                <w:lang w:val="en-US" w:eastAsia="zh-CN"/>
              </w:rPr>
              <w:t xml:space="preserve">5-3 </w:t>
            </w:r>
            <w:r>
              <w:rPr>
                <w:rFonts w:hint="eastAsia" w:ascii="Times New Roman" w:hAnsi="Times New Roman"/>
                <w:b/>
                <w:bCs/>
                <w:color w:val="auto"/>
                <w:sz w:val="21"/>
                <w:szCs w:val="21"/>
                <w:highlight w:val="none"/>
              </w:rPr>
              <w:t>主要设备噪声强</w:t>
            </w:r>
            <w:r>
              <w:rPr>
                <w:rFonts w:hint="eastAsia"/>
                <w:b/>
                <w:bCs/>
                <w:color w:val="auto"/>
                <w:sz w:val="21"/>
                <w:szCs w:val="21"/>
                <w:highlight w:val="none"/>
                <w:lang w:val="en-US" w:eastAsia="zh-CN"/>
              </w:rPr>
              <w:t>一</w:t>
            </w:r>
            <w:r>
              <w:rPr>
                <w:rFonts w:hint="eastAsia" w:ascii="Times New Roman" w:hAnsi="Times New Roman"/>
                <w:b/>
                <w:bCs/>
                <w:color w:val="auto"/>
                <w:sz w:val="21"/>
                <w:szCs w:val="21"/>
                <w:highlight w:val="none"/>
              </w:rPr>
              <w:t>览表</w:t>
            </w:r>
          </w:p>
          <w:tbl>
            <w:tblPr>
              <w:tblStyle w:val="23"/>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73"/>
              <w:gridCol w:w="1091"/>
              <w:gridCol w:w="1473"/>
              <w:gridCol w:w="2141"/>
              <w:gridCol w:w="1248"/>
            </w:tblGrid>
            <w:tr w14:paraId="0C4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CAD0A3A">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序号</w:t>
                  </w:r>
                </w:p>
              </w:tc>
              <w:tc>
                <w:tcPr>
                  <w:tcW w:w="1473" w:type="dxa"/>
                  <w:vAlign w:val="center"/>
                </w:tcPr>
                <w:p w14:paraId="60F5DEA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设备名称</w:t>
                  </w:r>
                </w:p>
              </w:tc>
              <w:tc>
                <w:tcPr>
                  <w:tcW w:w="1091" w:type="dxa"/>
                  <w:vAlign w:val="center"/>
                </w:tcPr>
                <w:p w14:paraId="52058A0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数量</w:t>
                  </w:r>
                </w:p>
              </w:tc>
              <w:tc>
                <w:tcPr>
                  <w:tcW w:w="1473" w:type="dxa"/>
                  <w:vAlign w:val="center"/>
                </w:tcPr>
                <w:p w14:paraId="153151B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噪声级（dB）</w:t>
                  </w:r>
                </w:p>
              </w:tc>
              <w:tc>
                <w:tcPr>
                  <w:tcW w:w="2141" w:type="dxa"/>
                  <w:vAlign w:val="center"/>
                </w:tcPr>
                <w:p w14:paraId="41137C8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降噪措施</w:t>
                  </w:r>
                </w:p>
              </w:tc>
              <w:tc>
                <w:tcPr>
                  <w:tcW w:w="1248" w:type="dxa"/>
                  <w:vAlign w:val="center"/>
                </w:tcPr>
                <w:p w14:paraId="65592CD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排放特征</w:t>
                  </w:r>
                </w:p>
              </w:tc>
            </w:tr>
            <w:tr w14:paraId="0C88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7CBC11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46153CD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潜孔钻机</w:t>
                  </w:r>
                </w:p>
              </w:tc>
              <w:tc>
                <w:tcPr>
                  <w:tcW w:w="1091" w:type="dxa"/>
                  <w:vAlign w:val="center"/>
                </w:tcPr>
                <w:p w14:paraId="0E15ADA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7AA4754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2141" w:type="dxa"/>
                  <w:vAlign w:val="center"/>
                </w:tcPr>
                <w:p w14:paraId="47AFC72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坑壁阻隔</w:t>
                  </w:r>
                </w:p>
              </w:tc>
              <w:tc>
                <w:tcPr>
                  <w:tcW w:w="1248" w:type="dxa"/>
                  <w:vAlign w:val="center"/>
                </w:tcPr>
                <w:p w14:paraId="0C722DE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间断</w:t>
                  </w:r>
                </w:p>
              </w:tc>
            </w:tr>
            <w:tr w14:paraId="73B7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68E72B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2C806E9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破碎锤</w:t>
                  </w:r>
                </w:p>
              </w:tc>
              <w:tc>
                <w:tcPr>
                  <w:tcW w:w="1091" w:type="dxa"/>
                  <w:vAlign w:val="center"/>
                </w:tcPr>
                <w:p w14:paraId="2702CD2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571B3A0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2141" w:type="dxa"/>
                  <w:vAlign w:val="center"/>
                </w:tcPr>
                <w:p w14:paraId="6AF40164">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248" w:type="dxa"/>
                  <w:vAlign w:val="center"/>
                </w:tcPr>
                <w:p w14:paraId="1FBDC5F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2568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669320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w:t>
                  </w:r>
                </w:p>
              </w:tc>
              <w:tc>
                <w:tcPr>
                  <w:tcW w:w="1473" w:type="dxa"/>
                  <w:vAlign w:val="center"/>
                </w:tcPr>
                <w:p w14:paraId="402ECC4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自卸汽车</w:t>
                  </w:r>
                </w:p>
              </w:tc>
              <w:tc>
                <w:tcPr>
                  <w:tcW w:w="1091" w:type="dxa"/>
                  <w:vAlign w:val="center"/>
                </w:tcPr>
                <w:p w14:paraId="05D9941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w:t>
                  </w:r>
                </w:p>
              </w:tc>
              <w:tc>
                <w:tcPr>
                  <w:tcW w:w="1473" w:type="dxa"/>
                  <w:vAlign w:val="center"/>
                </w:tcPr>
                <w:p w14:paraId="393CD9E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85</w:t>
                  </w:r>
                </w:p>
              </w:tc>
              <w:tc>
                <w:tcPr>
                  <w:tcW w:w="2141" w:type="dxa"/>
                  <w:vAlign w:val="center"/>
                </w:tcPr>
                <w:p w14:paraId="38671A5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248" w:type="dxa"/>
                  <w:vAlign w:val="center"/>
                </w:tcPr>
                <w:p w14:paraId="7FBEB1E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5B2D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CF8DE5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4</w:t>
                  </w:r>
                </w:p>
              </w:tc>
              <w:tc>
                <w:tcPr>
                  <w:tcW w:w="1473" w:type="dxa"/>
                  <w:vAlign w:val="center"/>
                </w:tcPr>
                <w:p w14:paraId="3DBA751A">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挖掘机</w:t>
                  </w:r>
                </w:p>
              </w:tc>
              <w:tc>
                <w:tcPr>
                  <w:tcW w:w="1091" w:type="dxa"/>
                  <w:vAlign w:val="center"/>
                </w:tcPr>
                <w:p w14:paraId="42B71918">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0AE2E4D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2141" w:type="dxa"/>
                  <w:vAlign w:val="center"/>
                </w:tcPr>
                <w:p w14:paraId="7390E59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248" w:type="dxa"/>
                  <w:vAlign w:val="center"/>
                </w:tcPr>
                <w:p w14:paraId="1937698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7BE4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AB471D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5</w:t>
                  </w:r>
                </w:p>
              </w:tc>
              <w:tc>
                <w:tcPr>
                  <w:tcW w:w="1473" w:type="dxa"/>
                  <w:vAlign w:val="center"/>
                </w:tcPr>
                <w:p w14:paraId="6D4823A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装载机</w:t>
                  </w:r>
                </w:p>
              </w:tc>
              <w:tc>
                <w:tcPr>
                  <w:tcW w:w="1091" w:type="dxa"/>
                  <w:vAlign w:val="center"/>
                </w:tcPr>
                <w:p w14:paraId="2B9B913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3545EED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85</w:t>
                  </w:r>
                </w:p>
              </w:tc>
              <w:tc>
                <w:tcPr>
                  <w:tcW w:w="2141" w:type="dxa"/>
                  <w:vAlign w:val="center"/>
                </w:tcPr>
                <w:p w14:paraId="1224113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248" w:type="dxa"/>
                  <w:vAlign w:val="center"/>
                </w:tcPr>
                <w:p w14:paraId="7212466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4FC4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FE0FDE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6</w:t>
                  </w:r>
                </w:p>
              </w:tc>
              <w:tc>
                <w:tcPr>
                  <w:tcW w:w="1473" w:type="dxa"/>
                  <w:vAlign w:val="center"/>
                </w:tcPr>
                <w:p w14:paraId="57D447A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取水泵</w:t>
                  </w:r>
                </w:p>
              </w:tc>
              <w:tc>
                <w:tcPr>
                  <w:tcW w:w="1091" w:type="dxa"/>
                  <w:vAlign w:val="center"/>
                </w:tcPr>
                <w:p w14:paraId="59B28A96">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4112DB5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80</w:t>
                  </w:r>
                </w:p>
              </w:tc>
              <w:tc>
                <w:tcPr>
                  <w:tcW w:w="2141" w:type="dxa"/>
                  <w:vAlign w:val="center"/>
                </w:tcPr>
                <w:p w14:paraId="0218BA0A">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olor w:val="auto"/>
                      <w:sz w:val="22"/>
                      <w:szCs w:val="22"/>
                      <w:highlight w:val="none"/>
                      <w:vertAlign w:val="baseline"/>
                      <w:lang w:val="en-US"/>
                    </w:rPr>
                  </w:pPr>
                  <w:r>
                    <w:rPr>
                      <w:rFonts w:hint="eastAsia"/>
                      <w:color w:val="auto"/>
                      <w:sz w:val="22"/>
                      <w:szCs w:val="22"/>
                      <w:highlight w:val="none"/>
                      <w:vertAlign w:val="baseline"/>
                      <w:lang w:val="en-US" w:eastAsia="zh-CN"/>
                    </w:rPr>
                    <w:t>水体阻隔</w:t>
                  </w:r>
                </w:p>
              </w:tc>
              <w:tc>
                <w:tcPr>
                  <w:tcW w:w="1248" w:type="dxa"/>
                  <w:vAlign w:val="center"/>
                </w:tcPr>
                <w:p w14:paraId="4141ACA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24C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C9CBC8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7</w:t>
                  </w:r>
                </w:p>
              </w:tc>
              <w:tc>
                <w:tcPr>
                  <w:tcW w:w="1473" w:type="dxa"/>
                  <w:vAlign w:val="center"/>
                </w:tcPr>
                <w:p w14:paraId="19A30BE0">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破碎机</w:t>
                  </w:r>
                </w:p>
              </w:tc>
              <w:tc>
                <w:tcPr>
                  <w:tcW w:w="1091" w:type="dxa"/>
                  <w:vAlign w:val="center"/>
                </w:tcPr>
                <w:p w14:paraId="2768B46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4B5D0A7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2141" w:type="dxa"/>
                  <w:vAlign w:val="center"/>
                </w:tcPr>
                <w:p w14:paraId="55E5FB9F">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248" w:type="dxa"/>
                  <w:vAlign w:val="center"/>
                </w:tcPr>
                <w:p w14:paraId="666BB24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r w14:paraId="5244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E07F50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w:t>
                  </w:r>
                </w:p>
              </w:tc>
              <w:tc>
                <w:tcPr>
                  <w:tcW w:w="1473" w:type="dxa"/>
                  <w:vAlign w:val="center"/>
                </w:tcPr>
                <w:p w14:paraId="39F3F864">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振动给料机</w:t>
                  </w:r>
                </w:p>
              </w:tc>
              <w:tc>
                <w:tcPr>
                  <w:tcW w:w="1091" w:type="dxa"/>
                  <w:vAlign w:val="center"/>
                </w:tcPr>
                <w:p w14:paraId="1110D3E2">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25186DB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90</w:t>
                  </w:r>
                </w:p>
              </w:tc>
              <w:tc>
                <w:tcPr>
                  <w:tcW w:w="2141" w:type="dxa"/>
                  <w:vAlign w:val="center"/>
                </w:tcPr>
                <w:p w14:paraId="6D9798C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248" w:type="dxa"/>
                  <w:vAlign w:val="center"/>
                </w:tcPr>
                <w:p w14:paraId="4477D4F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r w14:paraId="735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BF6B5F4">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w:t>
                  </w:r>
                </w:p>
              </w:tc>
              <w:tc>
                <w:tcPr>
                  <w:tcW w:w="1473" w:type="dxa"/>
                  <w:vAlign w:val="center"/>
                </w:tcPr>
                <w:p w14:paraId="70EE809B">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振动筛</w:t>
                  </w:r>
                </w:p>
              </w:tc>
              <w:tc>
                <w:tcPr>
                  <w:tcW w:w="1091" w:type="dxa"/>
                  <w:vAlign w:val="center"/>
                </w:tcPr>
                <w:p w14:paraId="2B3CB4C2">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193788C5">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90</w:t>
                  </w:r>
                </w:p>
              </w:tc>
              <w:tc>
                <w:tcPr>
                  <w:tcW w:w="2141" w:type="dxa"/>
                  <w:vAlign w:val="center"/>
                </w:tcPr>
                <w:p w14:paraId="7C1FC46F">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减震、消声隔声</w:t>
                  </w:r>
                </w:p>
              </w:tc>
              <w:tc>
                <w:tcPr>
                  <w:tcW w:w="1248" w:type="dxa"/>
                  <w:vAlign w:val="center"/>
                </w:tcPr>
                <w:p w14:paraId="6ACB081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连续</w:t>
                  </w:r>
                </w:p>
              </w:tc>
            </w:tr>
            <w:tr w14:paraId="3557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43D1E6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10</w:t>
                  </w:r>
                </w:p>
              </w:tc>
              <w:tc>
                <w:tcPr>
                  <w:tcW w:w="1473" w:type="dxa"/>
                  <w:vAlign w:val="center"/>
                </w:tcPr>
                <w:p w14:paraId="789F435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空压机</w:t>
                  </w:r>
                </w:p>
              </w:tc>
              <w:tc>
                <w:tcPr>
                  <w:tcW w:w="1091" w:type="dxa"/>
                  <w:vAlign w:val="center"/>
                </w:tcPr>
                <w:p w14:paraId="7602A09D">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52F4566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85</w:t>
                  </w:r>
                </w:p>
              </w:tc>
              <w:tc>
                <w:tcPr>
                  <w:tcW w:w="2141" w:type="dxa"/>
                  <w:vAlign w:val="center"/>
                </w:tcPr>
                <w:p w14:paraId="3E90FE7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248" w:type="dxa"/>
                  <w:vAlign w:val="center"/>
                </w:tcPr>
                <w:p w14:paraId="507A8FF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bl>
          <w:p w14:paraId="7A475177">
            <w:pPr>
              <w:pStyle w:val="17"/>
              <w:keepNext w:val="0"/>
              <w:keepLines w:val="0"/>
              <w:pageBreakBefore w:val="0"/>
              <w:widowControl w:val="0"/>
              <w:kinsoku/>
              <w:wordWrap/>
              <w:overflowPunct/>
              <w:topLinePunct w:val="0"/>
              <w:autoSpaceDE/>
              <w:autoSpaceDN/>
              <w:bidi w:val="0"/>
              <w:adjustRightInd/>
              <w:spacing w:line="480" w:lineRule="exact"/>
              <w:ind w:firstLine="522" w:firstLineChars="200"/>
              <w:jc w:val="both"/>
              <w:textAlignment w:val="auto"/>
              <w:rPr>
                <w:rFonts w:hint="eastAsia" w:ascii="Times New Roman" w:hAnsi="Times New Roman" w:eastAsia="宋体"/>
                <w:b/>
                <w:bCs/>
                <w:color w:val="auto"/>
                <w:sz w:val="26"/>
                <w:szCs w:val="26"/>
                <w:highlight w:val="none"/>
                <w:lang w:eastAsia="zh-CN"/>
              </w:rPr>
            </w:pPr>
            <w:r>
              <w:rPr>
                <w:rFonts w:hint="eastAsia" w:ascii="Times New Roman" w:hAnsi="Times New Roman"/>
                <w:b/>
                <w:bCs/>
                <w:color w:val="auto"/>
                <w:sz w:val="26"/>
                <w:szCs w:val="26"/>
                <w:highlight w:val="none"/>
              </w:rPr>
              <w:t>(</w:t>
            </w:r>
            <w:r>
              <w:rPr>
                <w:rFonts w:hint="eastAsia"/>
                <w:b/>
                <w:bCs/>
                <w:color w:val="auto"/>
                <w:sz w:val="26"/>
                <w:szCs w:val="26"/>
                <w:highlight w:val="none"/>
                <w:lang w:val="en-US" w:eastAsia="zh-CN"/>
              </w:rPr>
              <w:t>4</w:t>
            </w:r>
            <w:r>
              <w:rPr>
                <w:rFonts w:hint="eastAsia" w:ascii="Times New Roman" w:hAnsi="Times New Roman"/>
                <w:b/>
                <w:bCs/>
                <w:color w:val="auto"/>
                <w:sz w:val="26"/>
                <w:szCs w:val="26"/>
                <w:highlight w:val="none"/>
              </w:rPr>
              <w:t>)</w:t>
            </w:r>
            <w:r>
              <w:rPr>
                <w:rFonts w:hint="eastAsia"/>
                <w:b/>
                <w:bCs/>
                <w:color w:val="auto"/>
                <w:sz w:val="26"/>
                <w:szCs w:val="26"/>
                <w:highlight w:val="none"/>
                <w:lang w:val="en-US" w:eastAsia="zh-CN"/>
              </w:rPr>
              <w:t>固废</w:t>
            </w:r>
          </w:p>
          <w:p w14:paraId="5542F872">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项目营运期产生的固体废物主要为生活垃圾、废雷管</w:t>
            </w:r>
            <w:r>
              <w:rPr>
                <w:rFonts w:hint="eastAsia"/>
                <w:color w:val="auto"/>
                <w:sz w:val="26"/>
                <w:szCs w:val="26"/>
                <w:highlight w:val="none"/>
                <w:lang w:eastAsia="zh-CN"/>
              </w:rPr>
              <w:t>、</w:t>
            </w:r>
            <w:r>
              <w:rPr>
                <w:rFonts w:hint="eastAsia" w:ascii="Times New Roman" w:hAnsi="Times New Roman"/>
                <w:color w:val="auto"/>
                <w:sz w:val="26"/>
                <w:szCs w:val="26"/>
                <w:highlight w:val="none"/>
              </w:rPr>
              <w:t>废机油</w:t>
            </w:r>
            <w:r>
              <w:rPr>
                <w:rFonts w:hint="eastAsia"/>
                <w:color w:val="auto"/>
                <w:sz w:val="26"/>
                <w:szCs w:val="26"/>
                <w:highlight w:val="none"/>
                <w:lang w:eastAsia="zh-CN"/>
              </w:rPr>
              <w:t>、</w:t>
            </w:r>
            <w:r>
              <w:rPr>
                <w:rFonts w:hint="eastAsia" w:ascii="Times New Roman" w:hAnsi="Times New Roman"/>
                <w:color w:val="auto"/>
                <w:sz w:val="26"/>
                <w:szCs w:val="26"/>
                <w:highlight w:val="none"/>
              </w:rPr>
              <w:t>剥离表土</w:t>
            </w:r>
            <w:r>
              <w:rPr>
                <w:rFonts w:hint="eastAsia"/>
                <w:color w:val="auto"/>
                <w:sz w:val="26"/>
                <w:szCs w:val="26"/>
                <w:highlight w:val="none"/>
                <w:lang w:val="en-US" w:eastAsia="zh-CN"/>
              </w:rPr>
              <w:t>及</w:t>
            </w:r>
            <w:r>
              <w:rPr>
                <w:rFonts w:hint="eastAsia" w:ascii="Times New Roman" w:hAnsi="Times New Roman"/>
                <w:color w:val="auto"/>
                <w:sz w:val="26"/>
                <w:szCs w:val="26"/>
                <w:highlight w:val="none"/>
              </w:rPr>
              <w:t>粪便</w:t>
            </w:r>
            <w:r>
              <w:rPr>
                <w:rFonts w:hint="eastAsia"/>
                <w:color w:val="auto"/>
                <w:sz w:val="26"/>
                <w:szCs w:val="26"/>
                <w:highlight w:val="none"/>
                <w:lang w:val="en-US" w:eastAsia="zh-CN"/>
              </w:rPr>
              <w:t>等</w:t>
            </w:r>
            <w:r>
              <w:rPr>
                <w:rFonts w:hint="eastAsia" w:ascii="Times New Roman" w:hAnsi="Times New Roman"/>
                <w:color w:val="auto"/>
                <w:sz w:val="26"/>
                <w:szCs w:val="26"/>
                <w:highlight w:val="none"/>
              </w:rPr>
              <w:t>。</w:t>
            </w:r>
          </w:p>
          <w:p w14:paraId="2F516F02">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①生活垃圾</w:t>
            </w:r>
          </w:p>
          <w:p w14:paraId="70383543">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该项目有员工</w:t>
            </w:r>
            <w:r>
              <w:rPr>
                <w:rFonts w:hint="eastAsia"/>
                <w:color w:val="auto"/>
                <w:sz w:val="26"/>
                <w:szCs w:val="26"/>
                <w:highlight w:val="none"/>
                <w:lang w:val="en-US" w:eastAsia="zh-CN"/>
              </w:rPr>
              <w:t>33</w:t>
            </w:r>
            <w:r>
              <w:rPr>
                <w:rFonts w:hint="eastAsia" w:ascii="Times New Roman" w:hAnsi="Times New Roman"/>
                <w:color w:val="auto"/>
                <w:sz w:val="26"/>
                <w:szCs w:val="26"/>
                <w:highlight w:val="none"/>
              </w:rPr>
              <w:t>人，生活垃圾按0.</w:t>
            </w:r>
            <w:r>
              <w:rPr>
                <w:rFonts w:hint="eastAsia"/>
                <w:color w:val="auto"/>
                <w:sz w:val="26"/>
                <w:szCs w:val="26"/>
                <w:highlight w:val="none"/>
                <w:lang w:val="en-US" w:eastAsia="zh-CN"/>
              </w:rPr>
              <w:t>5</w:t>
            </w:r>
            <w:r>
              <w:rPr>
                <w:rFonts w:hint="eastAsia" w:ascii="Times New Roman" w:hAnsi="Times New Roman"/>
                <w:color w:val="auto"/>
                <w:sz w:val="26"/>
                <w:szCs w:val="26"/>
                <w:highlight w:val="none"/>
              </w:rPr>
              <w:t>kg/人</w:t>
            </w:r>
            <w:r>
              <w:rPr>
                <w:rFonts w:hint="eastAsia" w:ascii="宋体" w:hAnsi="宋体" w:eastAsia="宋体" w:cs="宋体"/>
                <w:color w:val="auto"/>
                <w:sz w:val="26"/>
                <w:szCs w:val="26"/>
                <w:highlight w:val="none"/>
              </w:rPr>
              <w:t>·</w:t>
            </w:r>
            <w:r>
              <w:rPr>
                <w:rFonts w:hint="eastAsia" w:ascii="Times New Roman" w:hAnsi="Times New Roman"/>
                <w:color w:val="auto"/>
                <w:sz w:val="26"/>
                <w:szCs w:val="26"/>
                <w:highlight w:val="none"/>
              </w:rPr>
              <w:t>天，</w:t>
            </w:r>
            <w:r>
              <w:rPr>
                <w:rFonts w:hint="eastAsia"/>
                <w:color w:val="auto"/>
                <w:sz w:val="26"/>
                <w:szCs w:val="26"/>
                <w:highlight w:val="none"/>
                <w:lang w:val="en-US" w:eastAsia="zh-CN"/>
              </w:rPr>
              <w:t>则</w:t>
            </w:r>
            <w:r>
              <w:rPr>
                <w:rFonts w:hint="eastAsia" w:ascii="Times New Roman" w:hAnsi="Times New Roman"/>
                <w:color w:val="auto"/>
                <w:sz w:val="26"/>
                <w:szCs w:val="26"/>
                <w:highlight w:val="none"/>
              </w:rPr>
              <w:t>生活垃圾</w:t>
            </w:r>
            <w:r>
              <w:rPr>
                <w:rFonts w:hint="eastAsia"/>
                <w:color w:val="auto"/>
                <w:sz w:val="26"/>
                <w:szCs w:val="26"/>
                <w:highlight w:val="none"/>
                <w:lang w:val="en-US" w:eastAsia="zh-CN"/>
              </w:rPr>
              <w:t>产生量为16.5</w:t>
            </w:r>
            <w:r>
              <w:rPr>
                <w:rFonts w:hint="eastAsia" w:ascii="Times New Roman" w:hAnsi="Times New Roman"/>
                <w:color w:val="auto"/>
                <w:sz w:val="26"/>
                <w:szCs w:val="26"/>
                <w:highlight w:val="none"/>
              </w:rPr>
              <w:t>kg/</w:t>
            </w:r>
            <w:r>
              <w:rPr>
                <w:rFonts w:hint="eastAsia"/>
                <w:color w:val="auto"/>
                <w:sz w:val="26"/>
                <w:szCs w:val="26"/>
                <w:highlight w:val="none"/>
                <w:lang w:val="en-US" w:eastAsia="zh-CN"/>
              </w:rPr>
              <w:t>d</w:t>
            </w:r>
            <w:r>
              <w:rPr>
                <w:rFonts w:hint="eastAsia" w:ascii="Times New Roman" w:hAnsi="Times New Roman"/>
                <w:color w:val="auto"/>
                <w:sz w:val="26"/>
                <w:szCs w:val="26"/>
                <w:highlight w:val="none"/>
              </w:rPr>
              <w:t>，生产时间为每年300天</w:t>
            </w:r>
            <w:r>
              <w:rPr>
                <w:rFonts w:hint="eastAsia"/>
                <w:color w:val="auto"/>
                <w:sz w:val="26"/>
                <w:szCs w:val="26"/>
                <w:highlight w:val="none"/>
                <w:lang w:eastAsia="zh-CN"/>
              </w:rPr>
              <w:t>，</w:t>
            </w:r>
            <w:r>
              <w:rPr>
                <w:rFonts w:hint="eastAsia" w:ascii="Times New Roman" w:hAnsi="Times New Roman"/>
                <w:color w:val="auto"/>
                <w:sz w:val="26"/>
                <w:szCs w:val="26"/>
                <w:highlight w:val="none"/>
              </w:rPr>
              <w:t>因此生活垃圾约</w:t>
            </w:r>
            <w:r>
              <w:rPr>
                <w:rFonts w:hint="eastAsia"/>
                <w:color w:val="auto"/>
                <w:sz w:val="26"/>
                <w:szCs w:val="26"/>
                <w:highlight w:val="none"/>
                <w:lang w:val="en-US" w:eastAsia="zh-CN"/>
              </w:rPr>
              <w:t>4.95</w:t>
            </w:r>
            <w:r>
              <w:rPr>
                <w:rFonts w:hint="eastAsia" w:ascii="Times New Roman" w:hAnsi="Times New Roman"/>
                <w:color w:val="auto"/>
                <w:sz w:val="26"/>
                <w:szCs w:val="26"/>
                <w:highlight w:val="none"/>
              </w:rPr>
              <w:t>t/a。</w:t>
            </w:r>
          </w:p>
          <w:p w14:paraId="2B523DDC">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②废雷管</w:t>
            </w:r>
          </w:p>
          <w:p w14:paraId="3D1D05A9">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爆破由当地爆破公司组织和提供炸药，预计每天产生的废雷管约50m</w:t>
            </w:r>
            <w:r>
              <w:rPr>
                <w:rFonts w:hint="eastAsia"/>
                <w:color w:val="auto"/>
                <w:sz w:val="26"/>
                <w:szCs w:val="26"/>
                <w:highlight w:val="none"/>
                <w:lang w:eastAsia="zh-CN"/>
              </w:rPr>
              <w:t>，</w:t>
            </w:r>
            <w:r>
              <w:rPr>
                <w:rFonts w:hint="eastAsia" w:ascii="Times New Roman" w:hAnsi="Times New Roman"/>
                <w:color w:val="auto"/>
                <w:sz w:val="26"/>
                <w:szCs w:val="26"/>
                <w:highlight w:val="none"/>
              </w:rPr>
              <w:t>每米按0.73kg计算，每天产生的废雷管约为36.5kg</w:t>
            </w:r>
            <w:r>
              <w:rPr>
                <w:rFonts w:hint="eastAsia"/>
                <w:color w:val="auto"/>
                <w:sz w:val="26"/>
                <w:szCs w:val="26"/>
                <w:highlight w:val="none"/>
                <w:lang w:eastAsia="zh-CN"/>
              </w:rPr>
              <w:t>，</w:t>
            </w:r>
            <w:r>
              <w:rPr>
                <w:rFonts w:hint="eastAsia" w:ascii="Times New Roman" w:hAnsi="Times New Roman"/>
                <w:color w:val="auto"/>
                <w:sz w:val="26"/>
                <w:szCs w:val="26"/>
                <w:highlight w:val="none"/>
              </w:rPr>
              <w:t>每年约10.95t</w:t>
            </w:r>
            <w:r>
              <w:rPr>
                <w:rFonts w:hint="eastAsia"/>
                <w:color w:val="auto"/>
                <w:sz w:val="26"/>
                <w:szCs w:val="26"/>
                <w:highlight w:val="none"/>
                <w:lang w:eastAsia="zh-CN"/>
              </w:rPr>
              <w:t>，</w:t>
            </w:r>
            <w:r>
              <w:rPr>
                <w:rFonts w:hint="eastAsia" w:ascii="Times New Roman" w:hAnsi="Times New Roman"/>
                <w:color w:val="auto"/>
                <w:sz w:val="26"/>
                <w:szCs w:val="26"/>
                <w:highlight w:val="none"/>
              </w:rPr>
              <w:t>交由爆破公司代为处理和处置。</w:t>
            </w:r>
          </w:p>
          <w:p w14:paraId="31B2E27A">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③废机油</w:t>
            </w:r>
          </w:p>
          <w:p w14:paraId="5AADFFAF">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项目大部分矿山机械需要定期更换机油，更换的废机油属于危险废物中HW08废矿物油类( 900-249-08)</w:t>
            </w:r>
            <w:r>
              <w:rPr>
                <w:rFonts w:hint="eastAsia"/>
                <w:color w:val="auto"/>
                <w:sz w:val="26"/>
                <w:szCs w:val="26"/>
                <w:highlight w:val="none"/>
                <w:lang w:eastAsia="zh-CN"/>
              </w:rPr>
              <w:t>；</w:t>
            </w:r>
            <w:r>
              <w:rPr>
                <w:rFonts w:hint="eastAsia" w:ascii="Times New Roman" w:hAnsi="Times New Roman"/>
                <w:color w:val="auto"/>
                <w:sz w:val="26"/>
                <w:szCs w:val="26"/>
                <w:highlight w:val="none"/>
              </w:rPr>
              <w:t>本项目矿山规模较小，在矿山内部</w:t>
            </w:r>
            <w:r>
              <w:rPr>
                <w:rFonts w:hint="eastAsia"/>
                <w:color w:val="auto"/>
                <w:sz w:val="26"/>
                <w:szCs w:val="26"/>
                <w:highlight w:val="none"/>
                <w:lang w:val="en-US" w:eastAsia="zh-CN"/>
              </w:rPr>
              <w:t>新建修理室，负责小型机械设备检修，中修及大修外委</w:t>
            </w:r>
            <w:r>
              <w:rPr>
                <w:rFonts w:hint="eastAsia"/>
                <w:color w:val="auto"/>
                <w:sz w:val="26"/>
                <w:szCs w:val="26"/>
                <w:highlight w:val="none"/>
                <w:lang w:eastAsia="zh-CN"/>
              </w:rPr>
              <w:t>。</w:t>
            </w:r>
            <w:r>
              <w:rPr>
                <w:rFonts w:hint="eastAsia" w:ascii="Times New Roman" w:hAnsi="Times New Roman"/>
                <w:color w:val="auto"/>
                <w:sz w:val="26"/>
                <w:szCs w:val="26"/>
                <w:highlight w:val="none"/>
              </w:rPr>
              <w:t>项目废机油年产生量约为</w:t>
            </w:r>
            <w:r>
              <w:rPr>
                <w:rFonts w:hint="eastAsia"/>
                <w:color w:val="auto"/>
                <w:sz w:val="26"/>
                <w:szCs w:val="26"/>
                <w:highlight w:val="none"/>
                <w:lang w:val="en-US" w:eastAsia="zh-CN"/>
              </w:rPr>
              <w:t>0.2</w:t>
            </w:r>
            <w:r>
              <w:rPr>
                <w:rFonts w:hint="eastAsia" w:ascii="Times New Roman" w:hAnsi="Times New Roman"/>
                <w:color w:val="auto"/>
                <w:sz w:val="26"/>
                <w:szCs w:val="26"/>
                <w:highlight w:val="none"/>
              </w:rPr>
              <w:t>t</w:t>
            </w:r>
            <w:r>
              <w:rPr>
                <w:rFonts w:hint="eastAsia"/>
                <w:color w:val="auto"/>
                <w:sz w:val="26"/>
                <w:szCs w:val="26"/>
                <w:highlight w:val="none"/>
                <w:lang w:val="en-US" w:eastAsia="zh-CN"/>
              </w:rPr>
              <w:t>/</w:t>
            </w:r>
            <w:r>
              <w:rPr>
                <w:rFonts w:hint="eastAsia" w:ascii="Times New Roman" w:hAnsi="Times New Roman"/>
                <w:color w:val="auto"/>
                <w:sz w:val="26"/>
                <w:szCs w:val="26"/>
                <w:highlight w:val="none"/>
              </w:rPr>
              <w:t>a</w:t>
            </w:r>
            <w:r>
              <w:rPr>
                <w:rFonts w:hint="eastAsia"/>
                <w:color w:val="auto"/>
                <w:sz w:val="26"/>
                <w:szCs w:val="26"/>
                <w:highlight w:val="none"/>
                <w:lang w:eastAsia="zh-CN"/>
              </w:rPr>
              <w:t>，</w:t>
            </w:r>
            <w:r>
              <w:rPr>
                <w:rFonts w:hint="eastAsia" w:ascii="Times New Roman" w:hAnsi="Times New Roman"/>
                <w:color w:val="auto"/>
                <w:sz w:val="26"/>
                <w:szCs w:val="26"/>
                <w:highlight w:val="none"/>
              </w:rPr>
              <w:t>废机油</w:t>
            </w:r>
            <w:r>
              <w:rPr>
                <w:rFonts w:hint="eastAsia"/>
                <w:color w:val="auto"/>
                <w:sz w:val="26"/>
                <w:szCs w:val="26"/>
                <w:highlight w:val="none"/>
                <w:lang w:val="en-US" w:eastAsia="zh-CN"/>
              </w:rPr>
              <w:t>储存在危废暂存间，</w:t>
            </w:r>
            <w:r>
              <w:rPr>
                <w:rFonts w:hint="eastAsia" w:ascii="Times New Roman" w:hAnsi="Times New Roman"/>
                <w:color w:val="auto"/>
                <w:sz w:val="26"/>
                <w:szCs w:val="26"/>
                <w:highlight w:val="none"/>
              </w:rPr>
              <w:t>外售给有资质单位综合利用或处置。</w:t>
            </w:r>
          </w:p>
          <w:p w14:paraId="13DD5EA1">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④</w:t>
            </w:r>
            <w:r>
              <w:rPr>
                <w:rFonts w:hint="eastAsia" w:ascii="Times New Roman" w:hAnsi="Times New Roman"/>
                <w:color w:val="auto"/>
                <w:sz w:val="26"/>
                <w:szCs w:val="26"/>
                <w:highlight w:val="none"/>
              </w:rPr>
              <w:t>剥离废土石</w:t>
            </w:r>
          </w:p>
          <w:p w14:paraId="2850B199">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据</w:t>
            </w:r>
            <w:r>
              <w:rPr>
                <w:rFonts w:hint="eastAsia" w:ascii="Times New Roman" w:hAnsi="Times New Roman"/>
                <w:color w:val="auto"/>
                <w:sz w:val="26"/>
                <w:szCs w:val="26"/>
                <w:highlight w:val="none"/>
                <w:lang w:val="en-US" w:eastAsia="zh-CN"/>
              </w:rPr>
              <w:t>《云南省昆明市东川区排子田普通建筑材料用石灰岩矿矿产资源开发利用方案》</w:t>
            </w:r>
            <w:r>
              <w:rPr>
                <w:rFonts w:hint="eastAsia"/>
                <w:color w:val="auto"/>
                <w:sz w:val="26"/>
                <w:szCs w:val="26"/>
                <w:highlight w:val="none"/>
                <w:lang w:val="en-US" w:eastAsia="zh-CN"/>
              </w:rPr>
              <w:t>及《云南省昆明市东川区排子田普通建筑材料用石灰岩矿勘查报告》，</w:t>
            </w:r>
            <w:r>
              <w:rPr>
                <w:rFonts w:hint="eastAsia" w:ascii="Times New Roman" w:hAnsi="Times New Roman"/>
                <w:color w:val="auto"/>
                <w:sz w:val="26"/>
                <w:szCs w:val="26"/>
                <w:highlight w:val="none"/>
              </w:rPr>
              <w:t>矿区境界范围内剥采比为</w:t>
            </w:r>
            <w:r>
              <w:rPr>
                <w:rFonts w:hint="eastAsia"/>
                <w:color w:val="auto"/>
                <w:sz w:val="26"/>
                <w:szCs w:val="26"/>
                <w:highlight w:val="none"/>
                <w:lang w:val="en-US" w:eastAsia="zh-CN"/>
              </w:rPr>
              <w:t>0</w:t>
            </w:r>
            <w:r>
              <w:rPr>
                <w:rFonts w:hint="eastAsia" w:ascii="Times New Roman" w:hAnsi="Times New Roman"/>
                <w:color w:val="auto"/>
                <w:sz w:val="26"/>
                <w:szCs w:val="26"/>
                <w:highlight w:val="none"/>
              </w:rPr>
              <w:t>:</w:t>
            </w:r>
            <w:r>
              <w:rPr>
                <w:rFonts w:hint="eastAsia"/>
                <w:color w:val="auto"/>
                <w:sz w:val="26"/>
                <w:szCs w:val="26"/>
                <w:highlight w:val="none"/>
                <w:lang w:val="en-US" w:eastAsia="zh-CN"/>
              </w:rPr>
              <w:t>0</w:t>
            </w:r>
            <w:r>
              <w:rPr>
                <w:rFonts w:hint="eastAsia"/>
                <w:color w:val="auto"/>
                <w:sz w:val="26"/>
                <w:szCs w:val="26"/>
                <w:highlight w:val="none"/>
                <w:lang w:eastAsia="zh-CN"/>
              </w:rPr>
              <w:t>。</w:t>
            </w:r>
            <w:r>
              <w:rPr>
                <w:rFonts w:hint="eastAsia"/>
                <w:color w:val="auto"/>
                <w:sz w:val="26"/>
                <w:szCs w:val="26"/>
                <w:highlight w:val="none"/>
                <w:lang w:val="en-US" w:eastAsia="zh-CN"/>
              </w:rPr>
              <w:t>采场最低标高为1030m，开采最低标高以上的矿体，全部都可用作建筑石料用，无夹石，项目矿石不需选冶，项目开采过程中无废石产生。</w:t>
            </w:r>
          </w:p>
          <w:p w14:paraId="5AAFF6D9">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default" w:ascii="Times New Roman" w:hAnsi="Times New Roman"/>
                <w:color w:val="auto"/>
                <w:sz w:val="26"/>
                <w:szCs w:val="26"/>
                <w:highlight w:val="none"/>
                <w:lang w:val="en-US"/>
              </w:rPr>
            </w:pPr>
            <w:r>
              <w:rPr>
                <w:rFonts w:hint="eastAsia"/>
                <w:color w:val="auto"/>
                <w:sz w:val="26"/>
                <w:szCs w:val="26"/>
                <w:highlight w:val="none"/>
                <w:lang w:val="en-US" w:eastAsia="zh-CN"/>
              </w:rPr>
              <w:t>依据矿区地层描述，</w:t>
            </w:r>
            <w:r>
              <w:rPr>
                <w:rFonts w:hint="default" w:ascii="Times New Roman" w:hAnsi="Times New Roman"/>
                <w:color w:val="auto"/>
                <w:sz w:val="26"/>
                <w:szCs w:val="26"/>
                <w:highlight w:val="none"/>
                <w:lang w:val="en-US"/>
              </w:rPr>
              <w:t>本项目矿体露出地表，基本无盖层，</w:t>
            </w:r>
            <w:r>
              <w:rPr>
                <w:rFonts w:hint="eastAsia"/>
                <w:color w:val="auto"/>
                <w:sz w:val="26"/>
                <w:szCs w:val="26"/>
                <w:highlight w:val="none"/>
                <w:lang w:val="en-US" w:eastAsia="zh-CN"/>
              </w:rPr>
              <w:t>矿区范围内部分区域矿体直接裸露地表，无需剥离，其余区域矿体表层</w:t>
            </w:r>
            <w:r>
              <w:rPr>
                <w:rFonts w:hint="default" w:ascii="Times New Roman" w:hAnsi="Times New Roman"/>
                <w:color w:val="auto"/>
                <w:sz w:val="26"/>
                <w:szCs w:val="26"/>
                <w:highlight w:val="none"/>
                <w:lang w:val="en-US"/>
              </w:rPr>
              <w:t>覆土薄</w:t>
            </w:r>
            <w:r>
              <w:rPr>
                <w:rFonts w:hint="eastAsia"/>
                <w:color w:val="auto"/>
                <w:sz w:val="26"/>
                <w:szCs w:val="26"/>
                <w:highlight w:val="none"/>
                <w:lang w:val="en-US" w:eastAsia="zh-CN"/>
              </w:rPr>
              <w:t>，</w:t>
            </w:r>
            <w:r>
              <w:rPr>
                <w:rFonts w:hint="default" w:ascii="Times New Roman" w:hAnsi="Times New Roman"/>
                <w:color w:val="auto"/>
                <w:sz w:val="26"/>
                <w:szCs w:val="26"/>
                <w:highlight w:val="none"/>
                <w:lang w:val="en-US"/>
              </w:rPr>
              <w:t xml:space="preserve">厚度约0. </w:t>
            </w:r>
            <w:r>
              <w:rPr>
                <w:rFonts w:hint="eastAsia"/>
                <w:color w:val="auto"/>
                <w:sz w:val="26"/>
                <w:szCs w:val="26"/>
                <w:highlight w:val="none"/>
                <w:lang w:val="en-US" w:eastAsia="zh-CN"/>
              </w:rPr>
              <w:t>5</w:t>
            </w:r>
            <w:r>
              <w:rPr>
                <w:rFonts w:hint="default" w:ascii="Times New Roman" w:hAnsi="Times New Roman"/>
                <w:color w:val="auto"/>
                <w:sz w:val="26"/>
                <w:szCs w:val="26"/>
                <w:highlight w:val="none"/>
                <w:lang w:val="en-US"/>
              </w:rPr>
              <w:t xml:space="preserve">~0. </w:t>
            </w:r>
            <w:r>
              <w:rPr>
                <w:rFonts w:hint="eastAsia"/>
                <w:color w:val="auto"/>
                <w:sz w:val="26"/>
                <w:szCs w:val="26"/>
                <w:highlight w:val="none"/>
                <w:lang w:val="en-US" w:eastAsia="zh-CN"/>
              </w:rPr>
              <w:t>15</w:t>
            </w:r>
            <w:r>
              <w:rPr>
                <w:rFonts w:hint="default" w:ascii="Times New Roman" w:hAnsi="Times New Roman"/>
                <w:color w:val="auto"/>
                <w:sz w:val="26"/>
                <w:szCs w:val="26"/>
                <w:highlight w:val="none"/>
                <w:lang w:val="en-US"/>
              </w:rPr>
              <w:t>m</w:t>
            </w:r>
            <w:r>
              <w:rPr>
                <w:rFonts w:hint="eastAsia"/>
                <w:color w:val="auto"/>
                <w:sz w:val="26"/>
                <w:szCs w:val="26"/>
                <w:highlight w:val="none"/>
                <w:lang w:val="en-US" w:eastAsia="zh-CN"/>
              </w:rPr>
              <w:t>，剥离表土量极少。</w:t>
            </w:r>
            <w:r>
              <w:rPr>
                <w:rFonts w:hint="default" w:ascii="Times New Roman" w:hAnsi="Times New Roman"/>
                <w:color w:val="auto"/>
                <w:sz w:val="26"/>
                <w:szCs w:val="26"/>
                <w:highlight w:val="none"/>
                <w:lang w:val="en-US"/>
              </w:rPr>
              <w:t>根据项目实际情况及</w:t>
            </w:r>
            <w:r>
              <w:rPr>
                <w:rFonts w:hint="eastAsia"/>
                <w:color w:val="auto"/>
                <w:sz w:val="26"/>
                <w:szCs w:val="26"/>
                <w:highlight w:val="none"/>
                <w:lang w:val="en-US" w:eastAsia="zh-CN"/>
              </w:rPr>
              <w:t>相似</w:t>
            </w:r>
            <w:r>
              <w:rPr>
                <w:rFonts w:hint="default" w:ascii="Times New Roman" w:hAnsi="Times New Roman"/>
                <w:color w:val="auto"/>
                <w:sz w:val="26"/>
                <w:szCs w:val="26"/>
                <w:highlight w:val="none"/>
                <w:lang w:val="en-US"/>
              </w:rPr>
              <w:t>工程类比，项目在运营期预计</w:t>
            </w:r>
            <w:r>
              <w:rPr>
                <w:rFonts w:hint="eastAsia"/>
                <w:color w:val="auto"/>
                <w:sz w:val="26"/>
                <w:szCs w:val="26"/>
                <w:highlight w:val="none"/>
                <w:lang w:val="en-US" w:eastAsia="zh-CN"/>
              </w:rPr>
              <w:t>剥离</w:t>
            </w:r>
            <w:r>
              <w:rPr>
                <w:rFonts w:hint="default" w:ascii="Times New Roman" w:hAnsi="Times New Roman"/>
                <w:color w:val="auto"/>
                <w:sz w:val="26"/>
                <w:szCs w:val="26"/>
                <w:highlight w:val="none"/>
                <w:lang w:val="en-US"/>
              </w:rPr>
              <w:t>表土约</w:t>
            </w:r>
            <w:r>
              <w:rPr>
                <w:rFonts w:hint="eastAsia"/>
                <w:color w:val="auto"/>
                <w:sz w:val="26"/>
                <w:szCs w:val="26"/>
                <w:highlight w:val="none"/>
                <w:lang w:val="en-US" w:eastAsia="zh-CN"/>
              </w:rPr>
              <w:t>1000</w:t>
            </w:r>
            <w:r>
              <w:rPr>
                <w:rFonts w:hint="default" w:ascii="Times New Roman" w:hAnsi="Times New Roman"/>
                <w:color w:val="auto"/>
                <w:sz w:val="26"/>
                <w:szCs w:val="26"/>
                <w:highlight w:val="none"/>
                <w:lang w:val="en-US"/>
              </w:rPr>
              <w:t>m</w:t>
            </w:r>
            <w:r>
              <w:rPr>
                <w:rFonts w:hint="eastAsia"/>
                <w:color w:val="auto"/>
                <w:sz w:val="26"/>
                <w:szCs w:val="26"/>
                <w:highlight w:val="none"/>
                <w:vertAlign w:val="superscript"/>
                <w:lang w:val="en-US" w:eastAsia="zh-CN"/>
              </w:rPr>
              <w:t>3</w:t>
            </w:r>
            <w:r>
              <w:rPr>
                <w:rFonts w:hint="default" w:ascii="Times New Roman" w:hAnsi="Times New Roman"/>
                <w:color w:val="auto"/>
                <w:sz w:val="26"/>
                <w:szCs w:val="26"/>
                <w:highlight w:val="none"/>
                <w:lang w:val="en-US"/>
              </w:rPr>
              <w:t>，弃表土用于</w:t>
            </w:r>
            <w:r>
              <w:rPr>
                <w:rFonts w:hint="eastAsia"/>
                <w:color w:val="auto"/>
                <w:sz w:val="26"/>
                <w:szCs w:val="26"/>
                <w:highlight w:val="none"/>
                <w:lang w:val="en-US" w:eastAsia="zh-CN"/>
              </w:rPr>
              <w:t>平整</w:t>
            </w:r>
            <w:r>
              <w:rPr>
                <w:rFonts w:hint="default" w:ascii="Times New Roman" w:hAnsi="Times New Roman"/>
                <w:color w:val="auto"/>
                <w:sz w:val="26"/>
                <w:szCs w:val="26"/>
                <w:highlight w:val="none"/>
                <w:lang w:val="en-US"/>
              </w:rPr>
              <w:t>工业场地</w:t>
            </w:r>
            <w:r>
              <w:rPr>
                <w:rFonts w:hint="eastAsia"/>
                <w:color w:val="auto"/>
                <w:sz w:val="26"/>
                <w:szCs w:val="26"/>
                <w:highlight w:val="none"/>
                <w:lang w:val="en-US" w:eastAsia="zh-CN"/>
              </w:rPr>
              <w:t>的北部</w:t>
            </w:r>
            <w:r>
              <w:rPr>
                <w:rFonts w:hint="default" w:ascii="Times New Roman" w:hAnsi="Times New Roman"/>
                <w:color w:val="auto"/>
                <w:sz w:val="26"/>
                <w:szCs w:val="26"/>
                <w:highlight w:val="none"/>
                <w:lang w:val="en-US"/>
              </w:rPr>
              <w:t>。</w:t>
            </w:r>
          </w:p>
          <w:p w14:paraId="141F108C">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⑤</w:t>
            </w:r>
            <w:r>
              <w:rPr>
                <w:rFonts w:hint="eastAsia" w:ascii="Times New Roman" w:hAnsi="Times New Roman"/>
                <w:color w:val="auto"/>
                <w:sz w:val="26"/>
                <w:szCs w:val="26"/>
                <w:highlight w:val="none"/>
              </w:rPr>
              <w:t>布袋除尘器粉尘</w:t>
            </w:r>
          </w:p>
          <w:p w14:paraId="72163B76">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本项目破碎场各产尘环节产生的粉尘由收尘管收集，布袋除尘器处理。袋除尘器收集的粉尘量约</w:t>
            </w:r>
            <w:r>
              <w:rPr>
                <w:rFonts w:hint="eastAsia"/>
                <w:color w:val="auto"/>
                <w:sz w:val="26"/>
                <w:szCs w:val="26"/>
                <w:highlight w:val="none"/>
                <w:lang w:val="en-US" w:eastAsia="zh-CN"/>
              </w:rPr>
              <w:t>63.956</w:t>
            </w:r>
            <w:r>
              <w:rPr>
                <w:rFonts w:hint="eastAsia" w:ascii="Times New Roman" w:hAnsi="Times New Roman"/>
                <w:color w:val="auto"/>
                <w:sz w:val="26"/>
                <w:szCs w:val="26"/>
                <w:highlight w:val="none"/>
              </w:rPr>
              <w:t>t/a，全部掺入机制砂中外售。</w:t>
            </w:r>
          </w:p>
          <w:p w14:paraId="47CCD2ED">
            <w:pPr>
              <w:pStyle w:val="2"/>
              <w:ind w:left="0" w:leftChars="0" w:firstLine="0" w:firstLineChars="0"/>
              <w:rPr>
                <w:color w:val="auto"/>
                <w:highlight w:val="none"/>
              </w:rPr>
            </w:pPr>
          </w:p>
        </w:tc>
      </w:tr>
    </w:tbl>
    <w:p w14:paraId="5B337B96">
      <w:pPr>
        <w:pStyle w:val="6"/>
        <w:keepNext/>
        <w:keepLines/>
        <w:pageBreakBefore/>
        <w:widowControl w:val="0"/>
        <w:kinsoku/>
        <w:wordWrap/>
        <w:overflowPunct/>
        <w:topLinePunct w:val="0"/>
        <w:autoSpaceDE/>
        <w:autoSpaceDN/>
        <w:bidi w:val="0"/>
        <w:adjustRightInd/>
        <w:snapToGrid/>
        <w:spacing w:before="312" w:after="312" w:line="360" w:lineRule="auto"/>
        <w:ind w:left="130" w:leftChars="50" w:right="130" w:rightChars="50"/>
        <w:jc w:val="left"/>
        <w:textAlignment w:val="auto"/>
        <w:rPr>
          <w:color w:val="auto"/>
          <w:sz w:val="28"/>
          <w:szCs w:val="28"/>
          <w:highlight w:val="none"/>
        </w:rPr>
      </w:pPr>
      <w:bookmarkStart w:id="43" w:name="_Toc14459"/>
      <w:bookmarkStart w:id="44" w:name="_Toc526626946"/>
      <w:r>
        <w:rPr>
          <w:color w:val="auto"/>
          <w:sz w:val="28"/>
          <w:szCs w:val="28"/>
          <w:highlight w:val="none"/>
        </w:rPr>
        <w:t>表六、项目主要污染物产生及预计排放情况</w:t>
      </w:r>
      <w:bookmarkEnd w:id="43"/>
      <w:bookmarkEnd w:id="4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96"/>
        <w:gridCol w:w="1554"/>
        <w:gridCol w:w="3001"/>
        <w:gridCol w:w="1131"/>
        <w:gridCol w:w="1711"/>
      </w:tblGrid>
      <w:tr w14:paraId="7986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gridSpan w:val="2"/>
            <w:vAlign w:val="center"/>
          </w:tcPr>
          <w:p w14:paraId="74DA2D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内容类型</w:t>
            </w:r>
          </w:p>
        </w:tc>
        <w:tc>
          <w:tcPr>
            <w:tcW w:w="1554" w:type="dxa"/>
            <w:vAlign w:val="center"/>
          </w:tcPr>
          <w:p w14:paraId="3B0265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排放源</w:t>
            </w:r>
          </w:p>
        </w:tc>
        <w:tc>
          <w:tcPr>
            <w:tcW w:w="3001" w:type="dxa"/>
            <w:vAlign w:val="center"/>
          </w:tcPr>
          <w:p w14:paraId="0CCD13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污染源名称</w:t>
            </w:r>
          </w:p>
        </w:tc>
        <w:tc>
          <w:tcPr>
            <w:tcW w:w="1131" w:type="dxa"/>
            <w:vAlign w:val="center"/>
          </w:tcPr>
          <w:p w14:paraId="05DA18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产生浓度及产生量</w:t>
            </w:r>
          </w:p>
        </w:tc>
        <w:tc>
          <w:tcPr>
            <w:tcW w:w="1711" w:type="dxa"/>
            <w:vAlign w:val="center"/>
          </w:tcPr>
          <w:p w14:paraId="1A3538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排放浓度及排放量</w:t>
            </w:r>
          </w:p>
        </w:tc>
      </w:tr>
      <w:tr w14:paraId="2EA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restart"/>
            <w:vAlign w:val="center"/>
          </w:tcPr>
          <w:p w14:paraId="35E33C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施工期</w:t>
            </w:r>
          </w:p>
        </w:tc>
        <w:tc>
          <w:tcPr>
            <w:tcW w:w="696" w:type="dxa"/>
            <w:vMerge w:val="restart"/>
            <w:vAlign w:val="center"/>
          </w:tcPr>
          <w:p w14:paraId="46FFD0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废气</w:t>
            </w:r>
          </w:p>
        </w:tc>
        <w:tc>
          <w:tcPr>
            <w:tcW w:w="1554" w:type="dxa"/>
            <w:vAlign w:val="center"/>
          </w:tcPr>
          <w:p w14:paraId="24B35C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施工</w:t>
            </w:r>
          </w:p>
        </w:tc>
        <w:tc>
          <w:tcPr>
            <w:tcW w:w="3001" w:type="dxa"/>
            <w:vAlign w:val="center"/>
          </w:tcPr>
          <w:p w14:paraId="28B03C4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扬尘</w:t>
            </w:r>
          </w:p>
        </w:tc>
        <w:tc>
          <w:tcPr>
            <w:tcW w:w="1131" w:type="dxa"/>
            <w:vAlign w:val="center"/>
          </w:tcPr>
          <w:p w14:paraId="63B0D7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少量</w:t>
            </w:r>
          </w:p>
        </w:tc>
        <w:tc>
          <w:tcPr>
            <w:tcW w:w="1711" w:type="dxa"/>
            <w:vAlign w:val="center"/>
          </w:tcPr>
          <w:p w14:paraId="24E7DA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少量</w:t>
            </w:r>
          </w:p>
        </w:tc>
      </w:tr>
      <w:tr w14:paraId="723B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3DDA0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1F4399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19EFBB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车辆尾气</w:t>
            </w:r>
          </w:p>
        </w:tc>
        <w:tc>
          <w:tcPr>
            <w:tcW w:w="3001" w:type="dxa"/>
            <w:vAlign w:val="center"/>
          </w:tcPr>
          <w:p w14:paraId="1E62E8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CO、NO</w:t>
            </w:r>
            <w:r>
              <w:rPr>
                <w:rFonts w:hint="eastAsia" w:ascii="Times New Roman" w:hAnsi="Times New Roman"/>
                <w:snapToGrid/>
                <w:color w:val="auto"/>
                <w:sz w:val="22"/>
                <w:szCs w:val="22"/>
                <w:highlight w:val="none"/>
                <w:vertAlign w:val="subscript"/>
                <w:lang w:val="en-US" w:eastAsia="zh-CN" w:bidi="en-US"/>
              </w:rPr>
              <w:t>x</w:t>
            </w:r>
            <w:r>
              <w:rPr>
                <w:rFonts w:ascii="Times New Roman" w:hAnsi="Times New Roman"/>
                <w:snapToGrid/>
                <w:color w:val="auto"/>
                <w:sz w:val="22"/>
                <w:szCs w:val="22"/>
                <w:highlight w:val="none"/>
                <w:lang w:bidi="en-US"/>
              </w:rPr>
              <w:t>等</w:t>
            </w:r>
          </w:p>
        </w:tc>
        <w:tc>
          <w:tcPr>
            <w:tcW w:w="1131" w:type="dxa"/>
            <w:vAlign w:val="center"/>
          </w:tcPr>
          <w:p w14:paraId="505A7A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少量</w:t>
            </w:r>
          </w:p>
        </w:tc>
        <w:tc>
          <w:tcPr>
            <w:tcW w:w="1711" w:type="dxa"/>
            <w:vAlign w:val="center"/>
          </w:tcPr>
          <w:p w14:paraId="3088B1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少量</w:t>
            </w:r>
          </w:p>
        </w:tc>
      </w:tr>
      <w:tr w14:paraId="48B7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90E27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restart"/>
            <w:vAlign w:val="center"/>
          </w:tcPr>
          <w:p w14:paraId="149845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废水</w:t>
            </w:r>
          </w:p>
        </w:tc>
        <w:tc>
          <w:tcPr>
            <w:tcW w:w="1554" w:type="dxa"/>
            <w:vAlign w:val="center"/>
          </w:tcPr>
          <w:p w14:paraId="73B4A5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施工废水</w:t>
            </w:r>
          </w:p>
        </w:tc>
        <w:tc>
          <w:tcPr>
            <w:tcW w:w="3001" w:type="dxa"/>
            <w:vAlign w:val="center"/>
          </w:tcPr>
          <w:p w14:paraId="48AE68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COD、BOD、SS等</w:t>
            </w:r>
          </w:p>
        </w:tc>
        <w:tc>
          <w:tcPr>
            <w:tcW w:w="1131" w:type="dxa"/>
            <w:vAlign w:val="center"/>
          </w:tcPr>
          <w:p w14:paraId="0EDDED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少量</w:t>
            </w:r>
          </w:p>
        </w:tc>
        <w:tc>
          <w:tcPr>
            <w:tcW w:w="1711" w:type="dxa"/>
            <w:vMerge w:val="restart"/>
            <w:vAlign w:val="center"/>
          </w:tcPr>
          <w:p w14:paraId="012744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少量，沉淀后回用于施工过程或晴天洒水降尘</w:t>
            </w:r>
          </w:p>
        </w:tc>
      </w:tr>
      <w:tr w14:paraId="757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36B146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3580EE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45E4AE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施工人员生活污水</w:t>
            </w:r>
          </w:p>
        </w:tc>
        <w:tc>
          <w:tcPr>
            <w:tcW w:w="3001" w:type="dxa"/>
            <w:vAlign w:val="center"/>
          </w:tcPr>
          <w:p w14:paraId="5D542E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COD、BOD、SS、氨氮、总磷等</w:t>
            </w:r>
          </w:p>
        </w:tc>
        <w:tc>
          <w:tcPr>
            <w:tcW w:w="1131" w:type="dxa"/>
            <w:vAlign w:val="center"/>
          </w:tcPr>
          <w:p w14:paraId="497C4F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21.6m</w:t>
            </w:r>
            <w:r>
              <w:rPr>
                <w:rFonts w:hint="eastAsia"/>
                <w:color w:val="auto"/>
                <w:sz w:val="22"/>
                <w:szCs w:val="22"/>
                <w:highlight w:val="none"/>
                <w:vertAlign w:val="superscript"/>
                <w:lang w:val="en-US" w:eastAsia="zh-CN"/>
              </w:rPr>
              <w:t>3</w:t>
            </w:r>
          </w:p>
        </w:tc>
        <w:tc>
          <w:tcPr>
            <w:tcW w:w="1711" w:type="dxa"/>
            <w:vMerge w:val="continue"/>
            <w:vAlign w:val="center"/>
          </w:tcPr>
          <w:p w14:paraId="04F4A0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r>
      <w:tr w14:paraId="5C96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73683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7B8BAC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0B056C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地表径流</w:t>
            </w:r>
          </w:p>
        </w:tc>
        <w:tc>
          <w:tcPr>
            <w:tcW w:w="3001" w:type="dxa"/>
            <w:vAlign w:val="center"/>
          </w:tcPr>
          <w:p w14:paraId="20F684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COD、BOD、SS等</w:t>
            </w:r>
          </w:p>
        </w:tc>
        <w:tc>
          <w:tcPr>
            <w:tcW w:w="1131" w:type="dxa"/>
            <w:vAlign w:val="center"/>
          </w:tcPr>
          <w:p w14:paraId="081D13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少量</w:t>
            </w:r>
          </w:p>
        </w:tc>
        <w:tc>
          <w:tcPr>
            <w:tcW w:w="1711" w:type="dxa"/>
            <w:vMerge w:val="continue"/>
            <w:vAlign w:val="center"/>
          </w:tcPr>
          <w:p w14:paraId="689BC7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r>
      <w:tr w14:paraId="091D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C9051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restart"/>
            <w:vAlign w:val="center"/>
          </w:tcPr>
          <w:p w14:paraId="6A483C7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固废</w:t>
            </w:r>
          </w:p>
        </w:tc>
        <w:tc>
          <w:tcPr>
            <w:tcW w:w="1554" w:type="dxa"/>
            <w:vAlign w:val="center"/>
          </w:tcPr>
          <w:p w14:paraId="791574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施工人员</w:t>
            </w:r>
          </w:p>
        </w:tc>
        <w:tc>
          <w:tcPr>
            <w:tcW w:w="3001" w:type="dxa"/>
            <w:vAlign w:val="center"/>
          </w:tcPr>
          <w:p w14:paraId="0CC391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生活垃圾</w:t>
            </w:r>
          </w:p>
        </w:tc>
        <w:tc>
          <w:tcPr>
            <w:tcW w:w="1131" w:type="dxa"/>
            <w:vAlign w:val="center"/>
          </w:tcPr>
          <w:p w14:paraId="7ED206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0.54t</w:t>
            </w:r>
          </w:p>
        </w:tc>
        <w:tc>
          <w:tcPr>
            <w:tcW w:w="1711" w:type="dxa"/>
            <w:vAlign w:val="center"/>
          </w:tcPr>
          <w:p w14:paraId="09FC79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环卫部门收集处置</w:t>
            </w:r>
          </w:p>
        </w:tc>
      </w:tr>
      <w:tr w14:paraId="2F95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29FB60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7DA862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20AEA7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施工废弃土石方</w:t>
            </w:r>
          </w:p>
        </w:tc>
        <w:tc>
          <w:tcPr>
            <w:tcW w:w="3001" w:type="dxa"/>
            <w:vAlign w:val="center"/>
          </w:tcPr>
          <w:p w14:paraId="5342A7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废土石</w:t>
            </w:r>
          </w:p>
        </w:tc>
        <w:tc>
          <w:tcPr>
            <w:tcW w:w="1131" w:type="dxa"/>
            <w:vAlign w:val="center"/>
          </w:tcPr>
          <w:p w14:paraId="4C42F9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w:t>
            </w:r>
          </w:p>
        </w:tc>
        <w:tc>
          <w:tcPr>
            <w:tcW w:w="1711" w:type="dxa"/>
            <w:vAlign w:val="center"/>
          </w:tcPr>
          <w:p w14:paraId="41DAC6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用于场地回填</w:t>
            </w:r>
          </w:p>
        </w:tc>
      </w:tr>
      <w:tr w14:paraId="561B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653DA1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6595337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3DF092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snapToGrid/>
                <w:color w:val="auto"/>
                <w:sz w:val="22"/>
                <w:szCs w:val="22"/>
                <w:highlight w:val="none"/>
                <w:lang w:bidi="en-US"/>
              </w:rPr>
              <w:t>施工固废</w:t>
            </w:r>
          </w:p>
        </w:tc>
        <w:tc>
          <w:tcPr>
            <w:tcW w:w="3001" w:type="dxa"/>
            <w:vAlign w:val="center"/>
          </w:tcPr>
          <w:p w14:paraId="359DA1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snapToGrid/>
                <w:color w:val="auto"/>
                <w:sz w:val="22"/>
                <w:szCs w:val="22"/>
                <w:highlight w:val="none"/>
                <w:lang w:bidi="en-US"/>
              </w:rPr>
              <w:t>建筑垃圾</w:t>
            </w:r>
          </w:p>
        </w:tc>
        <w:tc>
          <w:tcPr>
            <w:tcW w:w="1131" w:type="dxa"/>
            <w:vAlign w:val="center"/>
          </w:tcPr>
          <w:p w14:paraId="6BA3BD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w:t>
            </w:r>
          </w:p>
        </w:tc>
        <w:tc>
          <w:tcPr>
            <w:tcW w:w="1711" w:type="dxa"/>
            <w:vAlign w:val="center"/>
          </w:tcPr>
          <w:p w14:paraId="0BBD83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能回用的尽量回用，不能回用的按照管理部门要求进行处置</w:t>
            </w:r>
          </w:p>
        </w:tc>
      </w:tr>
      <w:tr w14:paraId="0CB4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restart"/>
            <w:vAlign w:val="center"/>
          </w:tcPr>
          <w:p w14:paraId="188C3E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运营期</w:t>
            </w:r>
          </w:p>
        </w:tc>
        <w:tc>
          <w:tcPr>
            <w:tcW w:w="696" w:type="dxa"/>
            <w:vMerge w:val="restart"/>
            <w:vAlign w:val="center"/>
          </w:tcPr>
          <w:p w14:paraId="7D329C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废气</w:t>
            </w:r>
          </w:p>
        </w:tc>
        <w:tc>
          <w:tcPr>
            <w:tcW w:w="1554" w:type="dxa"/>
            <w:vAlign w:val="center"/>
          </w:tcPr>
          <w:p w14:paraId="6BE315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钻孔凿岩</w:t>
            </w:r>
          </w:p>
        </w:tc>
        <w:tc>
          <w:tcPr>
            <w:tcW w:w="3001" w:type="dxa"/>
            <w:vAlign w:val="center"/>
          </w:tcPr>
          <w:p w14:paraId="0433BE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扬尘</w:t>
            </w:r>
          </w:p>
        </w:tc>
        <w:tc>
          <w:tcPr>
            <w:tcW w:w="1131" w:type="dxa"/>
            <w:vAlign w:val="center"/>
          </w:tcPr>
          <w:p w14:paraId="683032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1.2t/a</w:t>
            </w:r>
          </w:p>
        </w:tc>
        <w:tc>
          <w:tcPr>
            <w:tcW w:w="1711" w:type="dxa"/>
            <w:vAlign w:val="center"/>
          </w:tcPr>
          <w:p w14:paraId="694020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0.06t/a</w:t>
            </w:r>
          </w:p>
        </w:tc>
      </w:tr>
      <w:tr w14:paraId="5E97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213A36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D09A4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53E0B1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爆破</w:t>
            </w:r>
          </w:p>
        </w:tc>
        <w:tc>
          <w:tcPr>
            <w:tcW w:w="3001" w:type="dxa"/>
            <w:vAlign w:val="center"/>
          </w:tcPr>
          <w:p w14:paraId="74241B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扬尘</w:t>
            </w:r>
          </w:p>
        </w:tc>
        <w:tc>
          <w:tcPr>
            <w:tcW w:w="1131" w:type="dxa"/>
            <w:vAlign w:val="center"/>
          </w:tcPr>
          <w:p w14:paraId="1BFE02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2.76t/a</w:t>
            </w:r>
          </w:p>
        </w:tc>
        <w:tc>
          <w:tcPr>
            <w:tcW w:w="1711" w:type="dxa"/>
            <w:vAlign w:val="center"/>
          </w:tcPr>
          <w:p w14:paraId="110563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1.104t/a</w:t>
            </w:r>
          </w:p>
        </w:tc>
      </w:tr>
      <w:tr w14:paraId="58A1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BAB97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0A7703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3EAC01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装卸</w:t>
            </w:r>
          </w:p>
        </w:tc>
        <w:tc>
          <w:tcPr>
            <w:tcW w:w="3001" w:type="dxa"/>
            <w:vAlign w:val="center"/>
          </w:tcPr>
          <w:p w14:paraId="0D3883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扬尘</w:t>
            </w:r>
          </w:p>
        </w:tc>
        <w:tc>
          <w:tcPr>
            <w:tcW w:w="1131" w:type="dxa"/>
            <w:vAlign w:val="center"/>
          </w:tcPr>
          <w:p w14:paraId="66CF1E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1.56t/a</w:t>
            </w:r>
          </w:p>
        </w:tc>
        <w:tc>
          <w:tcPr>
            <w:tcW w:w="1711" w:type="dxa"/>
            <w:vAlign w:val="center"/>
          </w:tcPr>
          <w:p w14:paraId="21D6FD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0.59t/a</w:t>
            </w:r>
          </w:p>
        </w:tc>
      </w:tr>
      <w:tr w14:paraId="29AC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060500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CFDF2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02BBDD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lang w:val="en-US" w:eastAsia="zh-CN"/>
              </w:rPr>
              <w:t>道路</w:t>
            </w:r>
            <w:r>
              <w:rPr>
                <w:rFonts w:hint="eastAsia" w:ascii="Times New Roman" w:hAnsi="Times New Roman"/>
                <w:color w:val="auto"/>
                <w:sz w:val="22"/>
                <w:szCs w:val="22"/>
                <w:highlight w:val="none"/>
              </w:rPr>
              <w:t>运输</w:t>
            </w:r>
          </w:p>
        </w:tc>
        <w:tc>
          <w:tcPr>
            <w:tcW w:w="3001" w:type="dxa"/>
            <w:vAlign w:val="center"/>
          </w:tcPr>
          <w:p w14:paraId="245F0B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扬尘</w:t>
            </w:r>
          </w:p>
        </w:tc>
        <w:tc>
          <w:tcPr>
            <w:tcW w:w="1131" w:type="dxa"/>
            <w:vAlign w:val="center"/>
          </w:tcPr>
          <w:p w14:paraId="4BF620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4.36t/a</w:t>
            </w:r>
          </w:p>
        </w:tc>
        <w:tc>
          <w:tcPr>
            <w:tcW w:w="1711" w:type="dxa"/>
            <w:vAlign w:val="center"/>
          </w:tcPr>
          <w:p w14:paraId="66AC04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1.31t/a</w:t>
            </w:r>
          </w:p>
        </w:tc>
      </w:tr>
      <w:tr w14:paraId="1A7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29" w:type="dxa"/>
            <w:vMerge w:val="continue"/>
            <w:vAlign w:val="center"/>
          </w:tcPr>
          <w:p w14:paraId="3BE26B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255E92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Merge w:val="restart"/>
            <w:vAlign w:val="center"/>
          </w:tcPr>
          <w:p w14:paraId="7519F19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矿石加工</w:t>
            </w:r>
          </w:p>
        </w:tc>
        <w:tc>
          <w:tcPr>
            <w:tcW w:w="3001" w:type="dxa"/>
            <w:vAlign w:val="center"/>
          </w:tcPr>
          <w:p w14:paraId="148C37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1号破碎场地有组织扬尘</w:t>
            </w:r>
          </w:p>
        </w:tc>
        <w:tc>
          <w:tcPr>
            <w:tcW w:w="1131" w:type="dxa"/>
            <w:vAlign w:val="center"/>
          </w:tcPr>
          <w:p w14:paraId="5002B1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31.35t/a</w:t>
            </w:r>
          </w:p>
        </w:tc>
        <w:tc>
          <w:tcPr>
            <w:tcW w:w="1711" w:type="dxa"/>
            <w:vAlign w:val="center"/>
          </w:tcPr>
          <w:p w14:paraId="30D77E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0.032t/a</w:t>
            </w:r>
          </w:p>
        </w:tc>
      </w:tr>
      <w:tr w14:paraId="1E8B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29" w:type="dxa"/>
            <w:vMerge w:val="continue"/>
            <w:vAlign w:val="center"/>
          </w:tcPr>
          <w:p w14:paraId="72AFC5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696" w:type="dxa"/>
            <w:vMerge w:val="continue"/>
            <w:vAlign w:val="center"/>
          </w:tcPr>
          <w:p w14:paraId="305C58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1554" w:type="dxa"/>
            <w:vMerge w:val="continue"/>
            <w:vAlign w:val="center"/>
          </w:tcPr>
          <w:p w14:paraId="1533A5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3001" w:type="dxa"/>
            <w:vAlign w:val="center"/>
          </w:tcPr>
          <w:p w14:paraId="0B27FB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2号破碎场地有组织扬尘</w:t>
            </w:r>
          </w:p>
        </w:tc>
        <w:tc>
          <w:tcPr>
            <w:tcW w:w="1131" w:type="dxa"/>
            <w:vAlign w:val="center"/>
          </w:tcPr>
          <w:p w14:paraId="5A3079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31.35t/a</w:t>
            </w:r>
          </w:p>
        </w:tc>
        <w:tc>
          <w:tcPr>
            <w:tcW w:w="1711" w:type="dxa"/>
            <w:vAlign w:val="center"/>
          </w:tcPr>
          <w:p w14:paraId="08A8A6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0.032t/a</w:t>
            </w:r>
          </w:p>
        </w:tc>
      </w:tr>
      <w:tr w14:paraId="1810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29" w:type="dxa"/>
            <w:vMerge w:val="continue"/>
            <w:vAlign w:val="center"/>
          </w:tcPr>
          <w:p w14:paraId="275946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p>
        </w:tc>
        <w:tc>
          <w:tcPr>
            <w:tcW w:w="696" w:type="dxa"/>
            <w:vMerge w:val="continue"/>
            <w:vAlign w:val="center"/>
          </w:tcPr>
          <w:p w14:paraId="5EAC39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p>
        </w:tc>
        <w:tc>
          <w:tcPr>
            <w:tcW w:w="1554" w:type="dxa"/>
            <w:vMerge w:val="continue"/>
            <w:vAlign w:val="center"/>
          </w:tcPr>
          <w:p w14:paraId="254C505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p>
        </w:tc>
        <w:tc>
          <w:tcPr>
            <w:tcW w:w="3001" w:type="dxa"/>
            <w:vAlign w:val="center"/>
          </w:tcPr>
          <w:p w14:paraId="13D20A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1号破碎场地无组织扬尘</w:t>
            </w:r>
          </w:p>
        </w:tc>
        <w:tc>
          <w:tcPr>
            <w:tcW w:w="1131" w:type="dxa"/>
            <w:vAlign w:val="center"/>
          </w:tcPr>
          <w:p w14:paraId="3B210F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1.65t/a</w:t>
            </w:r>
          </w:p>
        </w:tc>
        <w:tc>
          <w:tcPr>
            <w:tcW w:w="1711" w:type="dxa"/>
            <w:vAlign w:val="center"/>
          </w:tcPr>
          <w:p w14:paraId="48F385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0.15t/a</w:t>
            </w:r>
          </w:p>
        </w:tc>
      </w:tr>
      <w:tr w14:paraId="77E7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29" w:type="dxa"/>
            <w:vMerge w:val="continue"/>
            <w:vAlign w:val="center"/>
          </w:tcPr>
          <w:p w14:paraId="0C9305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696" w:type="dxa"/>
            <w:vMerge w:val="continue"/>
            <w:vAlign w:val="center"/>
          </w:tcPr>
          <w:p w14:paraId="31071E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1554" w:type="dxa"/>
            <w:vMerge w:val="continue"/>
            <w:vAlign w:val="center"/>
          </w:tcPr>
          <w:p w14:paraId="585E42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3001" w:type="dxa"/>
            <w:vAlign w:val="center"/>
          </w:tcPr>
          <w:p w14:paraId="0D5A7A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2号破碎场地无组织扬尘</w:t>
            </w:r>
          </w:p>
        </w:tc>
        <w:tc>
          <w:tcPr>
            <w:tcW w:w="1131" w:type="dxa"/>
            <w:vAlign w:val="center"/>
          </w:tcPr>
          <w:p w14:paraId="5B0D8DA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1.65t/a</w:t>
            </w:r>
          </w:p>
        </w:tc>
        <w:tc>
          <w:tcPr>
            <w:tcW w:w="1711" w:type="dxa"/>
            <w:vAlign w:val="center"/>
          </w:tcPr>
          <w:p w14:paraId="60C48A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0.15t/a</w:t>
            </w:r>
          </w:p>
        </w:tc>
      </w:tr>
      <w:tr w14:paraId="439C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29" w:type="dxa"/>
            <w:vMerge w:val="continue"/>
            <w:vAlign w:val="center"/>
          </w:tcPr>
          <w:p w14:paraId="5B318D8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27EEA4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Merge w:val="restart"/>
            <w:vAlign w:val="center"/>
          </w:tcPr>
          <w:p w14:paraId="464F40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eastAsia="宋体"/>
                <w:color w:val="auto"/>
                <w:sz w:val="22"/>
                <w:szCs w:val="22"/>
                <w:highlight w:val="none"/>
                <w:lang w:val="en-US" w:eastAsia="zh-CN"/>
              </w:rPr>
              <w:t>堆场扬尘</w:t>
            </w:r>
          </w:p>
        </w:tc>
        <w:tc>
          <w:tcPr>
            <w:tcW w:w="3001" w:type="dxa"/>
            <w:vAlign w:val="center"/>
          </w:tcPr>
          <w:p w14:paraId="643D48C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1号成品堆场扬尘</w:t>
            </w:r>
          </w:p>
        </w:tc>
        <w:tc>
          <w:tcPr>
            <w:tcW w:w="1131" w:type="dxa"/>
            <w:vAlign w:val="center"/>
          </w:tcPr>
          <w:p w14:paraId="656A86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0.29t/a</w:t>
            </w:r>
          </w:p>
        </w:tc>
        <w:tc>
          <w:tcPr>
            <w:tcW w:w="1711" w:type="dxa"/>
            <w:vAlign w:val="center"/>
          </w:tcPr>
          <w:p w14:paraId="21DFB2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0.087t/a</w:t>
            </w:r>
          </w:p>
        </w:tc>
      </w:tr>
      <w:tr w14:paraId="55FE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29" w:type="dxa"/>
            <w:vMerge w:val="continue"/>
            <w:vAlign w:val="center"/>
          </w:tcPr>
          <w:p w14:paraId="19E341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696" w:type="dxa"/>
            <w:vMerge w:val="continue"/>
            <w:vAlign w:val="center"/>
          </w:tcPr>
          <w:p w14:paraId="656E60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1554" w:type="dxa"/>
            <w:vMerge w:val="continue"/>
            <w:vAlign w:val="center"/>
          </w:tcPr>
          <w:p w14:paraId="6C6211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highlight w:val="none"/>
              </w:rPr>
            </w:pPr>
          </w:p>
        </w:tc>
        <w:tc>
          <w:tcPr>
            <w:tcW w:w="3001" w:type="dxa"/>
            <w:vAlign w:val="center"/>
          </w:tcPr>
          <w:p w14:paraId="5A21537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2号成品堆场扬尘</w:t>
            </w:r>
          </w:p>
        </w:tc>
        <w:tc>
          <w:tcPr>
            <w:tcW w:w="1131" w:type="dxa"/>
            <w:vAlign w:val="center"/>
          </w:tcPr>
          <w:p w14:paraId="620486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0.29t/a</w:t>
            </w:r>
          </w:p>
        </w:tc>
        <w:tc>
          <w:tcPr>
            <w:tcW w:w="1711" w:type="dxa"/>
            <w:vAlign w:val="center"/>
          </w:tcPr>
          <w:p w14:paraId="08F416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0.087t/a</w:t>
            </w:r>
          </w:p>
        </w:tc>
      </w:tr>
      <w:tr w14:paraId="17E9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3FC8B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EC689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1ECA77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汽车尾气</w:t>
            </w:r>
          </w:p>
        </w:tc>
        <w:tc>
          <w:tcPr>
            <w:tcW w:w="3001" w:type="dxa"/>
            <w:vAlign w:val="center"/>
          </w:tcPr>
          <w:p w14:paraId="316BCE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CO、NO</w:t>
            </w:r>
            <w:r>
              <w:rPr>
                <w:rFonts w:hint="eastAsia" w:ascii="Times New Roman" w:hAnsi="Times New Roman"/>
                <w:snapToGrid/>
                <w:color w:val="auto"/>
                <w:sz w:val="22"/>
                <w:szCs w:val="22"/>
                <w:highlight w:val="none"/>
                <w:vertAlign w:val="subscript"/>
                <w:lang w:val="en-US" w:eastAsia="zh-CN" w:bidi="en-US"/>
              </w:rPr>
              <w:t>x</w:t>
            </w:r>
            <w:r>
              <w:rPr>
                <w:rFonts w:ascii="Times New Roman" w:hAnsi="Times New Roman"/>
                <w:snapToGrid/>
                <w:color w:val="auto"/>
                <w:sz w:val="22"/>
                <w:szCs w:val="22"/>
                <w:highlight w:val="none"/>
                <w:lang w:bidi="en-US"/>
              </w:rPr>
              <w:t>等</w:t>
            </w:r>
          </w:p>
        </w:tc>
        <w:tc>
          <w:tcPr>
            <w:tcW w:w="1131" w:type="dxa"/>
            <w:vAlign w:val="center"/>
          </w:tcPr>
          <w:p w14:paraId="748715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少量</w:t>
            </w:r>
          </w:p>
        </w:tc>
        <w:tc>
          <w:tcPr>
            <w:tcW w:w="1711" w:type="dxa"/>
            <w:vAlign w:val="center"/>
          </w:tcPr>
          <w:p w14:paraId="11AB43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少量</w:t>
            </w:r>
          </w:p>
        </w:tc>
      </w:tr>
      <w:tr w14:paraId="06C6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6E61C0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49952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30D2FB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厨房</w:t>
            </w:r>
          </w:p>
        </w:tc>
        <w:tc>
          <w:tcPr>
            <w:tcW w:w="3001" w:type="dxa"/>
            <w:vAlign w:val="center"/>
          </w:tcPr>
          <w:p w14:paraId="3A5F3B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油烟废气</w:t>
            </w:r>
          </w:p>
        </w:tc>
        <w:tc>
          <w:tcPr>
            <w:tcW w:w="1131" w:type="dxa"/>
            <w:vAlign w:val="center"/>
          </w:tcPr>
          <w:p w14:paraId="199D32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0.45kg/d</w:t>
            </w:r>
          </w:p>
        </w:tc>
        <w:tc>
          <w:tcPr>
            <w:tcW w:w="1711" w:type="dxa"/>
            <w:vAlign w:val="center"/>
          </w:tcPr>
          <w:p w14:paraId="63321F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0.0135kg/d</w:t>
            </w:r>
          </w:p>
        </w:tc>
      </w:tr>
      <w:tr w14:paraId="7726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0218D5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restart"/>
            <w:vAlign w:val="center"/>
          </w:tcPr>
          <w:p w14:paraId="4FC3429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废水</w:t>
            </w:r>
          </w:p>
        </w:tc>
        <w:tc>
          <w:tcPr>
            <w:tcW w:w="1554" w:type="dxa"/>
            <w:vAlign w:val="center"/>
          </w:tcPr>
          <w:p w14:paraId="5826C8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钻孔冷却水</w:t>
            </w:r>
          </w:p>
        </w:tc>
        <w:tc>
          <w:tcPr>
            <w:tcW w:w="3001" w:type="dxa"/>
            <w:vAlign w:val="center"/>
          </w:tcPr>
          <w:p w14:paraId="4AECF4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SS</w:t>
            </w:r>
          </w:p>
        </w:tc>
        <w:tc>
          <w:tcPr>
            <w:tcW w:w="1131" w:type="dxa"/>
            <w:vAlign w:val="center"/>
          </w:tcPr>
          <w:p w14:paraId="7F2690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/d</w:t>
            </w:r>
          </w:p>
        </w:tc>
        <w:tc>
          <w:tcPr>
            <w:tcW w:w="1711" w:type="dxa"/>
            <w:vAlign w:val="center"/>
          </w:tcPr>
          <w:p w14:paraId="24C4C7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全部蒸发</w:t>
            </w:r>
          </w:p>
        </w:tc>
      </w:tr>
      <w:tr w14:paraId="2D0C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6A12C1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031E90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2084EF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爆破抑尘用水</w:t>
            </w:r>
          </w:p>
        </w:tc>
        <w:tc>
          <w:tcPr>
            <w:tcW w:w="3001" w:type="dxa"/>
            <w:vAlign w:val="center"/>
          </w:tcPr>
          <w:p w14:paraId="2C25B3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SS</w:t>
            </w:r>
          </w:p>
        </w:tc>
        <w:tc>
          <w:tcPr>
            <w:tcW w:w="1131" w:type="dxa"/>
            <w:vAlign w:val="center"/>
          </w:tcPr>
          <w:p w14:paraId="53BC78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/次</w:t>
            </w:r>
          </w:p>
        </w:tc>
        <w:tc>
          <w:tcPr>
            <w:tcW w:w="1711" w:type="dxa"/>
            <w:vAlign w:val="center"/>
          </w:tcPr>
          <w:p w14:paraId="4DCBAA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全部蒸发</w:t>
            </w:r>
          </w:p>
        </w:tc>
      </w:tr>
      <w:tr w14:paraId="44C3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89555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3C05FB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43B237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道路、工业场地及采区</w:t>
            </w:r>
            <w:r>
              <w:rPr>
                <w:rFonts w:hint="eastAsia"/>
                <w:color w:val="auto"/>
                <w:sz w:val="22"/>
                <w:szCs w:val="22"/>
                <w:highlight w:val="none"/>
                <w:lang w:val="en-US" w:eastAsia="zh-CN"/>
              </w:rPr>
              <w:t>防尘</w:t>
            </w:r>
            <w:r>
              <w:rPr>
                <w:rFonts w:hint="eastAsia" w:ascii="Times New Roman" w:hAnsi="Times New Roman"/>
                <w:color w:val="auto"/>
                <w:sz w:val="22"/>
                <w:szCs w:val="22"/>
                <w:highlight w:val="none"/>
              </w:rPr>
              <w:t>用水</w:t>
            </w:r>
          </w:p>
        </w:tc>
        <w:tc>
          <w:tcPr>
            <w:tcW w:w="3001" w:type="dxa"/>
            <w:vAlign w:val="center"/>
          </w:tcPr>
          <w:p w14:paraId="0A394DA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SS</w:t>
            </w:r>
          </w:p>
        </w:tc>
        <w:tc>
          <w:tcPr>
            <w:tcW w:w="1131" w:type="dxa"/>
            <w:vAlign w:val="center"/>
          </w:tcPr>
          <w:p w14:paraId="1563F6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7524m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c>
          <w:tcPr>
            <w:tcW w:w="1711" w:type="dxa"/>
            <w:vAlign w:val="center"/>
          </w:tcPr>
          <w:p w14:paraId="6E6523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全部蒸发</w:t>
            </w:r>
          </w:p>
        </w:tc>
      </w:tr>
      <w:tr w14:paraId="3184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6A973D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0ADD0B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22A89D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碎石场物料加工过程</w:t>
            </w:r>
            <w:r>
              <w:rPr>
                <w:rFonts w:hint="eastAsia"/>
                <w:color w:val="auto"/>
                <w:sz w:val="22"/>
                <w:szCs w:val="22"/>
                <w:highlight w:val="none"/>
                <w:lang w:val="en-US" w:eastAsia="zh-CN"/>
              </w:rPr>
              <w:t>防尘</w:t>
            </w:r>
            <w:r>
              <w:rPr>
                <w:rFonts w:hint="eastAsia" w:ascii="Times New Roman" w:hAnsi="Times New Roman"/>
                <w:color w:val="auto"/>
                <w:sz w:val="22"/>
                <w:szCs w:val="22"/>
                <w:highlight w:val="none"/>
              </w:rPr>
              <w:t>用水</w:t>
            </w:r>
          </w:p>
        </w:tc>
        <w:tc>
          <w:tcPr>
            <w:tcW w:w="3001" w:type="dxa"/>
            <w:vAlign w:val="center"/>
          </w:tcPr>
          <w:p w14:paraId="6EBBC1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SS</w:t>
            </w:r>
          </w:p>
        </w:tc>
        <w:tc>
          <w:tcPr>
            <w:tcW w:w="1131" w:type="dxa"/>
            <w:vAlign w:val="center"/>
          </w:tcPr>
          <w:p w14:paraId="7BE20E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4500m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c>
          <w:tcPr>
            <w:tcW w:w="1711" w:type="dxa"/>
            <w:vAlign w:val="center"/>
          </w:tcPr>
          <w:p w14:paraId="0E8FC6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全部蒸发</w:t>
            </w:r>
          </w:p>
        </w:tc>
      </w:tr>
      <w:tr w14:paraId="0EB1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6C5C0B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7416BA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4880AB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路面径流</w:t>
            </w:r>
          </w:p>
        </w:tc>
        <w:tc>
          <w:tcPr>
            <w:tcW w:w="3001" w:type="dxa"/>
            <w:vAlign w:val="center"/>
          </w:tcPr>
          <w:p w14:paraId="28237B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COD、BOD、SS等</w:t>
            </w:r>
          </w:p>
        </w:tc>
        <w:tc>
          <w:tcPr>
            <w:tcW w:w="1131" w:type="dxa"/>
            <w:vAlign w:val="center"/>
          </w:tcPr>
          <w:p w14:paraId="35EA5C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37m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/次</w:t>
            </w:r>
          </w:p>
        </w:tc>
        <w:tc>
          <w:tcPr>
            <w:tcW w:w="1711" w:type="dxa"/>
            <w:vAlign w:val="center"/>
          </w:tcPr>
          <w:p w14:paraId="661C66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初期雨水池沉淀回用洒水抑尘</w:t>
            </w:r>
          </w:p>
        </w:tc>
      </w:tr>
      <w:tr w14:paraId="5197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9D631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6FEEDD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023771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车辆冲洗水</w:t>
            </w:r>
          </w:p>
        </w:tc>
        <w:tc>
          <w:tcPr>
            <w:tcW w:w="3001" w:type="dxa"/>
            <w:vAlign w:val="center"/>
          </w:tcPr>
          <w:p w14:paraId="50E9C9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rPr>
              <w:t>SS、COD、NH</w:t>
            </w:r>
            <w:r>
              <w:rPr>
                <w:rFonts w:hint="eastAsia"/>
                <w:color w:val="auto"/>
                <w:sz w:val="22"/>
                <w:szCs w:val="22"/>
                <w:highlight w:val="none"/>
                <w:vertAlign w:val="subscript"/>
              </w:rPr>
              <w:t>3</w:t>
            </w:r>
            <w:r>
              <w:rPr>
                <w:rFonts w:hint="eastAsia"/>
                <w:color w:val="auto"/>
                <w:sz w:val="22"/>
                <w:szCs w:val="22"/>
                <w:highlight w:val="none"/>
                <w:vertAlign w:val="baseline"/>
              </w:rPr>
              <w:t>-N、石油类</w:t>
            </w:r>
          </w:p>
        </w:tc>
        <w:tc>
          <w:tcPr>
            <w:tcW w:w="1131" w:type="dxa"/>
            <w:vAlign w:val="center"/>
          </w:tcPr>
          <w:p w14:paraId="574B52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375m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c>
          <w:tcPr>
            <w:tcW w:w="1711" w:type="dxa"/>
            <w:vAlign w:val="center"/>
          </w:tcPr>
          <w:p w14:paraId="4C214D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300m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r>
      <w:tr w14:paraId="0109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2A7EB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82FA4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0BF649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lang w:val="en-US" w:eastAsia="zh-CN"/>
              </w:rPr>
              <w:t>生活污水</w:t>
            </w:r>
          </w:p>
        </w:tc>
        <w:tc>
          <w:tcPr>
            <w:tcW w:w="3001" w:type="dxa"/>
            <w:vAlign w:val="center"/>
          </w:tcPr>
          <w:p w14:paraId="0D6054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eastAsia="zh-CN"/>
              </w:rPr>
            </w:pPr>
            <w:r>
              <w:rPr>
                <w:rFonts w:ascii="Times New Roman" w:hAnsi="Times New Roman"/>
                <w:snapToGrid/>
                <w:color w:val="auto"/>
                <w:sz w:val="22"/>
                <w:szCs w:val="22"/>
                <w:highlight w:val="none"/>
                <w:lang w:bidi="en-US"/>
              </w:rPr>
              <w:t>COD、BOD、SS</w:t>
            </w:r>
            <w:r>
              <w:rPr>
                <w:rFonts w:hint="eastAsia"/>
                <w:snapToGrid/>
                <w:color w:val="auto"/>
                <w:sz w:val="22"/>
                <w:szCs w:val="22"/>
                <w:highlight w:val="none"/>
                <w:lang w:eastAsia="zh-CN" w:bidi="en-US"/>
              </w:rPr>
              <w:t>、</w:t>
            </w:r>
            <w:r>
              <w:rPr>
                <w:rFonts w:hint="eastAsia"/>
                <w:color w:val="auto"/>
                <w:sz w:val="22"/>
                <w:szCs w:val="22"/>
                <w:highlight w:val="none"/>
                <w:vertAlign w:val="baseline"/>
              </w:rPr>
              <w:t>NH</w:t>
            </w:r>
            <w:r>
              <w:rPr>
                <w:rFonts w:hint="eastAsia"/>
                <w:color w:val="auto"/>
                <w:sz w:val="22"/>
                <w:szCs w:val="22"/>
                <w:highlight w:val="none"/>
                <w:vertAlign w:val="subscript"/>
              </w:rPr>
              <w:t>3</w:t>
            </w:r>
            <w:r>
              <w:rPr>
                <w:rFonts w:hint="eastAsia"/>
                <w:color w:val="auto"/>
                <w:sz w:val="22"/>
                <w:szCs w:val="22"/>
                <w:highlight w:val="none"/>
                <w:vertAlign w:val="baseline"/>
              </w:rPr>
              <w:t>-N</w:t>
            </w:r>
          </w:p>
        </w:tc>
        <w:tc>
          <w:tcPr>
            <w:tcW w:w="1131" w:type="dxa"/>
            <w:vAlign w:val="center"/>
          </w:tcPr>
          <w:p w14:paraId="6C6028C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990m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c>
          <w:tcPr>
            <w:tcW w:w="1711" w:type="dxa"/>
            <w:vAlign w:val="center"/>
          </w:tcPr>
          <w:p w14:paraId="3488BB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792m</w:t>
            </w:r>
            <w:r>
              <w:rPr>
                <w:rFonts w:hint="eastAsia"/>
                <w:color w:val="auto"/>
                <w:sz w:val="22"/>
                <w:szCs w:val="22"/>
                <w:highlight w:val="none"/>
                <w:vertAlign w:val="superscript"/>
                <w:lang w:val="en-US" w:eastAsia="zh-CN"/>
              </w:rPr>
              <w:t>3</w:t>
            </w:r>
            <w:r>
              <w:rPr>
                <w:rFonts w:hint="eastAsia"/>
                <w:color w:val="auto"/>
                <w:sz w:val="22"/>
                <w:szCs w:val="22"/>
                <w:highlight w:val="none"/>
                <w:vertAlign w:val="baseline"/>
                <w:lang w:val="en-US" w:eastAsia="zh-CN"/>
              </w:rPr>
              <w:t>/a</w:t>
            </w:r>
          </w:p>
        </w:tc>
      </w:tr>
      <w:tr w14:paraId="5976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4BCD4C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restart"/>
            <w:vAlign w:val="center"/>
          </w:tcPr>
          <w:p w14:paraId="40B73E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固废</w:t>
            </w:r>
          </w:p>
        </w:tc>
        <w:tc>
          <w:tcPr>
            <w:tcW w:w="1554" w:type="dxa"/>
            <w:vAlign w:val="center"/>
          </w:tcPr>
          <w:p w14:paraId="686C7D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员工</w:t>
            </w:r>
          </w:p>
        </w:tc>
        <w:tc>
          <w:tcPr>
            <w:tcW w:w="3001" w:type="dxa"/>
            <w:vAlign w:val="center"/>
          </w:tcPr>
          <w:p w14:paraId="25500B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生活垃圾</w:t>
            </w:r>
          </w:p>
        </w:tc>
        <w:tc>
          <w:tcPr>
            <w:tcW w:w="1131" w:type="dxa"/>
            <w:vAlign w:val="center"/>
          </w:tcPr>
          <w:p w14:paraId="2DCB4D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4.95t/a</w:t>
            </w:r>
          </w:p>
        </w:tc>
        <w:tc>
          <w:tcPr>
            <w:tcW w:w="1711" w:type="dxa"/>
            <w:vAlign w:val="center"/>
          </w:tcPr>
          <w:p w14:paraId="3A6E55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运至环卫部门指定地点处置</w:t>
            </w:r>
          </w:p>
        </w:tc>
      </w:tr>
      <w:tr w14:paraId="46B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3BE21F4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686CC0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48715F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爆破</w:t>
            </w:r>
          </w:p>
        </w:tc>
        <w:tc>
          <w:tcPr>
            <w:tcW w:w="3001" w:type="dxa"/>
            <w:vAlign w:val="center"/>
          </w:tcPr>
          <w:p w14:paraId="6C9F18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废雷管</w:t>
            </w:r>
          </w:p>
        </w:tc>
        <w:tc>
          <w:tcPr>
            <w:tcW w:w="1131" w:type="dxa"/>
            <w:vAlign w:val="center"/>
          </w:tcPr>
          <w:p w14:paraId="4A4C66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10.95t/a</w:t>
            </w:r>
          </w:p>
        </w:tc>
        <w:tc>
          <w:tcPr>
            <w:tcW w:w="1711" w:type="dxa"/>
            <w:vAlign w:val="center"/>
          </w:tcPr>
          <w:p w14:paraId="2621A0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交由爆破公司代为处理和处置</w:t>
            </w:r>
          </w:p>
        </w:tc>
      </w:tr>
      <w:tr w14:paraId="549D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29" w:type="dxa"/>
            <w:vMerge w:val="continue"/>
            <w:vAlign w:val="center"/>
          </w:tcPr>
          <w:p w14:paraId="723B82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225E56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13A44F3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color w:val="auto"/>
                <w:sz w:val="22"/>
                <w:szCs w:val="22"/>
                <w:highlight w:val="none"/>
                <w:vertAlign w:val="baseline"/>
                <w:lang w:val="en-US" w:eastAsia="zh-CN"/>
              </w:rPr>
              <w:t>废机油</w:t>
            </w:r>
          </w:p>
        </w:tc>
        <w:tc>
          <w:tcPr>
            <w:tcW w:w="3001" w:type="dxa"/>
            <w:vAlign w:val="center"/>
          </w:tcPr>
          <w:p w14:paraId="53CC5A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废机油</w:t>
            </w:r>
          </w:p>
        </w:tc>
        <w:tc>
          <w:tcPr>
            <w:tcW w:w="1131" w:type="dxa"/>
            <w:vAlign w:val="center"/>
          </w:tcPr>
          <w:p w14:paraId="3DF301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0.2t/a</w:t>
            </w:r>
          </w:p>
        </w:tc>
        <w:tc>
          <w:tcPr>
            <w:tcW w:w="1711" w:type="dxa"/>
            <w:vAlign w:val="center"/>
          </w:tcPr>
          <w:p w14:paraId="6A7A6C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外售给有资质单位综合利用</w:t>
            </w:r>
          </w:p>
        </w:tc>
      </w:tr>
      <w:tr w14:paraId="5F2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87C69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25AFDD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531DDA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表土剥离</w:t>
            </w:r>
          </w:p>
        </w:tc>
        <w:tc>
          <w:tcPr>
            <w:tcW w:w="3001" w:type="dxa"/>
            <w:vAlign w:val="center"/>
          </w:tcPr>
          <w:p w14:paraId="36BCC9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土石方</w:t>
            </w:r>
          </w:p>
        </w:tc>
        <w:tc>
          <w:tcPr>
            <w:tcW w:w="1131" w:type="dxa"/>
            <w:vAlign w:val="center"/>
          </w:tcPr>
          <w:p w14:paraId="5F870B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1000m</w:t>
            </w:r>
            <w:r>
              <w:rPr>
                <w:rFonts w:hint="eastAsia"/>
                <w:color w:val="auto"/>
                <w:sz w:val="22"/>
                <w:szCs w:val="22"/>
                <w:highlight w:val="none"/>
                <w:vertAlign w:val="superscript"/>
                <w:lang w:val="en-US" w:eastAsia="zh-CN"/>
              </w:rPr>
              <w:t>3</w:t>
            </w:r>
          </w:p>
        </w:tc>
        <w:tc>
          <w:tcPr>
            <w:tcW w:w="1711" w:type="dxa"/>
            <w:vAlign w:val="center"/>
          </w:tcPr>
          <w:p w14:paraId="7F6D02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default" w:ascii="Times New Roman" w:hAnsi="Times New Roman"/>
                <w:color w:val="auto"/>
                <w:sz w:val="22"/>
                <w:szCs w:val="22"/>
                <w:highlight w:val="none"/>
                <w:lang w:val="en-US"/>
              </w:rPr>
              <w:t>用于平整工业场地</w:t>
            </w:r>
          </w:p>
        </w:tc>
      </w:tr>
      <w:tr w14:paraId="322D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17EED6A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Merge w:val="continue"/>
            <w:vAlign w:val="center"/>
          </w:tcPr>
          <w:p w14:paraId="4C1610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1554" w:type="dxa"/>
            <w:vAlign w:val="center"/>
          </w:tcPr>
          <w:p w14:paraId="39B7D3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布袋除尘器</w:t>
            </w:r>
          </w:p>
        </w:tc>
        <w:tc>
          <w:tcPr>
            <w:tcW w:w="3001" w:type="dxa"/>
            <w:vAlign w:val="center"/>
          </w:tcPr>
          <w:p w14:paraId="67AECB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粉尘</w:t>
            </w:r>
          </w:p>
        </w:tc>
        <w:tc>
          <w:tcPr>
            <w:tcW w:w="1131" w:type="dxa"/>
            <w:vAlign w:val="center"/>
          </w:tcPr>
          <w:p w14:paraId="350EB9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63.956t/a</w:t>
            </w:r>
          </w:p>
        </w:tc>
        <w:tc>
          <w:tcPr>
            <w:tcW w:w="1711" w:type="dxa"/>
            <w:vAlign w:val="center"/>
          </w:tcPr>
          <w:p w14:paraId="66A52F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color w:val="auto"/>
                <w:sz w:val="22"/>
                <w:szCs w:val="22"/>
                <w:highlight w:val="none"/>
              </w:rPr>
              <w:t>做产品出售</w:t>
            </w:r>
          </w:p>
        </w:tc>
      </w:tr>
      <w:tr w14:paraId="0272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dxa"/>
            <w:vMerge w:val="continue"/>
            <w:vAlign w:val="center"/>
          </w:tcPr>
          <w:p w14:paraId="0078B3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p>
        </w:tc>
        <w:tc>
          <w:tcPr>
            <w:tcW w:w="696" w:type="dxa"/>
            <w:vAlign w:val="center"/>
          </w:tcPr>
          <w:p w14:paraId="478A8B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噪声</w:t>
            </w:r>
          </w:p>
        </w:tc>
        <w:tc>
          <w:tcPr>
            <w:tcW w:w="1554" w:type="dxa"/>
            <w:vAlign w:val="center"/>
          </w:tcPr>
          <w:p w14:paraId="2CC904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eastAsia="宋体"/>
                <w:color w:val="auto"/>
                <w:sz w:val="22"/>
                <w:szCs w:val="22"/>
                <w:highlight w:val="none"/>
                <w:vertAlign w:val="baseline"/>
                <w:lang w:val="en-US" w:eastAsia="zh-CN"/>
              </w:rPr>
            </w:pPr>
            <w:r>
              <w:rPr>
                <w:rFonts w:hint="eastAsia" w:ascii="Times New Roman" w:hAnsi="Times New Roman"/>
                <w:snapToGrid/>
                <w:color w:val="auto"/>
                <w:sz w:val="22"/>
                <w:szCs w:val="22"/>
                <w:highlight w:val="none"/>
                <w:lang w:val="en-US" w:eastAsia="zh-CN" w:bidi="en-US"/>
              </w:rPr>
              <w:t>设备、车辆</w:t>
            </w:r>
          </w:p>
        </w:tc>
        <w:tc>
          <w:tcPr>
            <w:tcW w:w="3001" w:type="dxa"/>
            <w:vAlign w:val="center"/>
          </w:tcPr>
          <w:p w14:paraId="0D6E1EE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ascii="Times New Roman" w:hAnsi="Times New Roman"/>
                <w:snapToGrid/>
                <w:color w:val="auto"/>
                <w:sz w:val="22"/>
                <w:szCs w:val="22"/>
                <w:highlight w:val="none"/>
                <w:lang w:bidi="en-US"/>
              </w:rPr>
              <w:t>噪声</w:t>
            </w:r>
          </w:p>
        </w:tc>
        <w:tc>
          <w:tcPr>
            <w:tcW w:w="1131" w:type="dxa"/>
            <w:vAlign w:val="center"/>
          </w:tcPr>
          <w:p w14:paraId="2457033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rFonts w:hint="eastAsia" w:ascii="Times New Roman" w:hAnsi="Times New Roman"/>
                <w:snapToGrid/>
                <w:color w:val="auto"/>
                <w:sz w:val="22"/>
                <w:szCs w:val="22"/>
                <w:highlight w:val="none"/>
                <w:lang w:val="en-US" w:eastAsia="zh-CN" w:bidi="en-US"/>
              </w:rPr>
              <w:t>80</w:t>
            </w:r>
            <w:r>
              <w:rPr>
                <w:rFonts w:hint="eastAsia" w:ascii="Times New Roman" w:hAnsi="Times New Roman"/>
                <w:snapToGrid/>
                <w:color w:val="auto"/>
                <w:sz w:val="22"/>
                <w:szCs w:val="22"/>
                <w:highlight w:val="none"/>
                <w:lang w:bidi="en-US"/>
              </w:rPr>
              <w:t>~</w:t>
            </w:r>
            <w:r>
              <w:rPr>
                <w:rFonts w:hint="eastAsia" w:ascii="Times New Roman" w:hAnsi="Times New Roman"/>
                <w:snapToGrid/>
                <w:color w:val="auto"/>
                <w:sz w:val="22"/>
                <w:szCs w:val="22"/>
                <w:highlight w:val="none"/>
                <w:lang w:val="en-US" w:eastAsia="zh-CN" w:bidi="en-US"/>
              </w:rPr>
              <w:t>95</w:t>
            </w:r>
            <w:r>
              <w:rPr>
                <w:rFonts w:ascii="Times New Roman" w:hAnsi="Times New Roman"/>
                <w:snapToGrid/>
                <w:color w:val="auto"/>
                <w:sz w:val="22"/>
                <w:szCs w:val="22"/>
                <w:highlight w:val="none"/>
                <w:lang w:bidi="en-US"/>
              </w:rPr>
              <w:t>dB(A)</w:t>
            </w:r>
          </w:p>
        </w:tc>
        <w:tc>
          <w:tcPr>
            <w:tcW w:w="1711" w:type="dxa"/>
            <w:vAlign w:val="center"/>
          </w:tcPr>
          <w:p w14:paraId="23E3C8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sz w:val="22"/>
                <w:szCs w:val="22"/>
                <w:highlight w:val="none"/>
                <w:vertAlign w:val="baseline"/>
              </w:rPr>
            </w:pPr>
            <w:r>
              <w:rPr>
                <w:color w:val="auto"/>
                <w:sz w:val="22"/>
                <w:szCs w:val="22"/>
                <w:highlight w:val="none"/>
              </w:rPr>
              <w:t>隔声、减振；选用低噪设备设备四周隔声层</w:t>
            </w:r>
          </w:p>
        </w:tc>
      </w:tr>
      <w:tr w14:paraId="031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522" w:type="dxa"/>
            <w:gridSpan w:val="6"/>
            <w:vAlign w:val="center"/>
          </w:tcPr>
          <w:p w14:paraId="57481E89">
            <w:pPr>
              <w:spacing w:line="500" w:lineRule="exact"/>
              <w:ind w:firstLine="0" w:firstLineChars="0"/>
              <w:rPr>
                <w:rFonts w:hint="eastAsia" w:ascii="Times New Roman" w:hAnsi="Times New Roman" w:eastAsia="宋体"/>
                <w:b/>
                <w:snapToGrid/>
                <w:color w:val="auto"/>
                <w:highlight w:val="none"/>
                <w:lang w:eastAsia="zh-CN" w:bidi="en-US"/>
              </w:rPr>
            </w:pPr>
            <w:r>
              <w:rPr>
                <w:rFonts w:ascii="Times New Roman" w:hAnsi="Times New Roman"/>
                <w:b/>
                <w:snapToGrid/>
                <w:color w:val="auto"/>
                <w:highlight w:val="none"/>
                <w:lang w:bidi="en-US"/>
              </w:rPr>
              <w:t>主要生态影响</w:t>
            </w:r>
            <w:r>
              <w:rPr>
                <w:rFonts w:hint="eastAsia" w:ascii="Times New Roman" w:hAnsi="Times New Roman"/>
                <w:b/>
                <w:snapToGrid/>
                <w:color w:val="auto"/>
                <w:highlight w:val="none"/>
                <w:lang w:eastAsia="zh-CN" w:bidi="en-US"/>
              </w:rPr>
              <w:t>：</w:t>
            </w:r>
          </w:p>
          <w:p w14:paraId="0BFE4A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sz w:val="26"/>
                <w:szCs w:val="26"/>
                <w:highlight w:val="none"/>
                <w:vertAlign w:val="baseline"/>
                <w:lang w:eastAsia="zh-CN"/>
              </w:rPr>
            </w:pPr>
            <w:r>
              <w:rPr>
                <w:rFonts w:hint="eastAsia"/>
                <w:color w:val="auto"/>
                <w:sz w:val="26"/>
                <w:szCs w:val="26"/>
                <w:highlight w:val="none"/>
                <w:vertAlign w:val="baseline"/>
              </w:rPr>
              <w:t>1、矿山表上剥离时破坏地面植被</w:t>
            </w:r>
            <w:r>
              <w:rPr>
                <w:rFonts w:hint="eastAsia"/>
                <w:color w:val="auto"/>
                <w:sz w:val="26"/>
                <w:szCs w:val="26"/>
                <w:highlight w:val="none"/>
                <w:vertAlign w:val="baseline"/>
                <w:lang w:eastAsia="zh-CN"/>
              </w:rPr>
              <w:t>；</w:t>
            </w:r>
          </w:p>
          <w:p w14:paraId="5446FFD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sz w:val="26"/>
                <w:szCs w:val="26"/>
                <w:highlight w:val="none"/>
                <w:vertAlign w:val="baseline"/>
                <w:lang w:eastAsia="zh-CN"/>
              </w:rPr>
            </w:pPr>
            <w:r>
              <w:rPr>
                <w:rFonts w:hint="eastAsia"/>
                <w:color w:val="auto"/>
                <w:sz w:val="26"/>
                <w:szCs w:val="26"/>
                <w:highlight w:val="none"/>
                <w:vertAlign w:val="baseline"/>
              </w:rPr>
              <w:t>2、矿山表土剥离和开挖时损坏原土壤结构，使士壤抗侵蚀能力降低，加剧水土流失，局部地带的土地生产能力下降或丧失</w:t>
            </w:r>
            <w:r>
              <w:rPr>
                <w:rFonts w:hint="eastAsia"/>
                <w:color w:val="auto"/>
                <w:sz w:val="26"/>
                <w:szCs w:val="26"/>
                <w:highlight w:val="none"/>
                <w:vertAlign w:val="baseline"/>
                <w:lang w:eastAsia="zh-CN"/>
              </w:rPr>
              <w:t>；</w:t>
            </w:r>
          </w:p>
          <w:p w14:paraId="623198C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6"/>
                <w:szCs w:val="26"/>
                <w:highlight w:val="none"/>
                <w:vertAlign w:val="baseline"/>
              </w:rPr>
            </w:pPr>
            <w:r>
              <w:rPr>
                <w:rFonts w:hint="eastAsia"/>
                <w:color w:val="auto"/>
                <w:sz w:val="26"/>
                <w:szCs w:val="26"/>
                <w:highlight w:val="none"/>
                <w:vertAlign w:val="baseline"/>
              </w:rPr>
              <w:t>3、开挖过程将改变地表形态，形成临时弃土，影响生态景观。通过在边坡处修建截水沟、排水沟以减少水土流失，在矿区周围植树造林达到水土保持的月的。</w:t>
            </w:r>
          </w:p>
          <w:p w14:paraId="653C9C46">
            <w:pPr>
              <w:pStyle w:val="15"/>
              <w:rPr>
                <w:color w:val="auto"/>
                <w:sz w:val="26"/>
                <w:szCs w:val="26"/>
                <w:highlight w:val="none"/>
                <w:vertAlign w:val="baseline"/>
              </w:rPr>
            </w:pPr>
          </w:p>
          <w:p w14:paraId="5F4C9F8A">
            <w:pPr>
              <w:pStyle w:val="15"/>
              <w:rPr>
                <w:color w:val="auto"/>
                <w:sz w:val="26"/>
                <w:szCs w:val="26"/>
                <w:highlight w:val="none"/>
                <w:vertAlign w:val="baseline"/>
              </w:rPr>
            </w:pPr>
          </w:p>
          <w:p w14:paraId="0DA92789">
            <w:pPr>
              <w:pStyle w:val="15"/>
              <w:rPr>
                <w:color w:val="auto"/>
                <w:sz w:val="26"/>
                <w:szCs w:val="26"/>
                <w:highlight w:val="none"/>
                <w:vertAlign w:val="baseline"/>
              </w:rPr>
            </w:pPr>
          </w:p>
        </w:tc>
      </w:tr>
    </w:tbl>
    <w:p w14:paraId="535E38BB">
      <w:pPr>
        <w:rPr>
          <w:color w:val="auto"/>
          <w:highlight w:val="none"/>
        </w:rPr>
      </w:pPr>
    </w:p>
    <w:p w14:paraId="6DAEE6CC">
      <w:pPr>
        <w:pStyle w:val="15"/>
        <w:rPr>
          <w:color w:val="auto"/>
          <w:highlight w:val="none"/>
        </w:rPr>
      </w:pPr>
    </w:p>
    <w:p w14:paraId="6DDFFFFA">
      <w:pPr>
        <w:pStyle w:val="15"/>
        <w:rPr>
          <w:color w:val="auto"/>
          <w:highlight w:val="none"/>
        </w:rPr>
      </w:pPr>
    </w:p>
    <w:p w14:paraId="4E14C80C">
      <w:pPr>
        <w:pStyle w:val="6"/>
        <w:keepNext/>
        <w:keepLines/>
        <w:pageBreakBefore/>
        <w:widowControl w:val="0"/>
        <w:kinsoku/>
        <w:wordWrap/>
        <w:overflowPunct/>
        <w:topLinePunct w:val="0"/>
        <w:autoSpaceDE/>
        <w:autoSpaceDN/>
        <w:bidi w:val="0"/>
        <w:adjustRightInd/>
        <w:snapToGrid/>
        <w:spacing w:before="312" w:after="312"/>
        <w:jc w:val="left"/>
        <w:textAlignment w:val="auto"/>
        <w:rPr>
          <w:color w:val="auto"/>
          <w:highlight w:val="none"/>
        </w:rPr>
      </w:pPr>
      <w:bookmarkStart w:id="45" w:name="_Toc526626947"/>
      <w:bookmarkStart w:id="46" w:name="_Toc5876"/>
      <w:r>
        <w:rPr>
          <w:color w:val="auto"/>
          <w:highlight w:val="none"/>
        </w:rPr>
        <w:t>表七、环境影响分析</w:t>
      </w:r>
      <w:bookmarkEnd w:id="45"/>
      <w:bookmarkEnd w:id="46"/>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F5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B93818">
            <w:pPr>
              <w:keepNext w:val="0"/>
              <w:keepLines w:val="0"/>
              <w:pageBreakBefore w:val="0"/>
              <w:widowControl w:val="0"/>
              <w:kinsoku/>
              <w:wordWrap/>
              <w:overflowPunct/>
              <w:topLinePunct w:val="0"/>
              <w:autoSpaceDE/>
              <w:autoSpaceDN/>
              <w:bidi w:val="0"/>
              <w:adjustRightInd/>
              <w:snapToGrid/>
              <w:spacing w:line="360" w:lineRule="auto"/>
              <w:ind w:left="0" w:leftChars="0" w:right="-101" w:rightChars="-39" w:firstLine="0" w:firstLineChars="0"/>
              <w:textAlignment w:val="auto"/>
              <w:rPr>
                <w:rFonts w:hint="default" w:eastAsia="宋体"/>
                <w:b/>
                <w:color w:val="auto"/>
                <w:sz w:val="26"/>
                <w:szCs w:val="26"/>
                <w:highlight w:val="none"/>
                <w:lang w:val="en-US" w:eastAsia="zh-CN"/>
              </w:rPr>
            </w:pPr>
            <w:r>
              <w:rPr>
                <w:rFonts w:hint="eastAsia"/>
                <w:b/>
                <w:color w:val="auto"/>
                <w:sz w:val="26"/>
                <w:szCs w:val="26"/>
                <w:highlight w:val="none"/>
                <w:lang w:val="en-US" w:eastAsia="zh-CN"/>
              </w:rPr>
              <w:t>一、环境影响分析</w:t>
            </w:r>
          </w:p>
          <w:p w14:paraId="16C1168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lang w:val="en-US" w:eastAsia="zh-CN"/>
              </w:rPr>
            </w:pPr>
            <w:r>
              <w:rPr>
                <w:rFonts w:hint="eastAsia" w:ascii="Times New Roman" w:hAnsi="Times New Roman"/>
                <w:b/>
                <w:bCs/>
                <w:color w:val="auto"/>
                <w:sz w:val="26"/>
                <w:szCs w:val="26"/>
                <w:highlight w:val="none"/>
                <w:lang w:val="en-US" w:eastAsia="zh-CN"/>
              </w:rPr>
              <w:t>1、施工期环境影响分析</w:t>
            </w:r>
          </w:p>
          <w:p w14:paraId="6BFE94C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本项目为新建项目</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本项目需进行土建工程、主体、辅助工程等工程的设备安装。</w:t>
            </w:r>
          </w:p>
          <w:p w14:paraId="39736F0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（1）大气环境影响分析</w:t>
            </w:r>
          </w:p>
          <w:p w14:paraId="0A47228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施工期的大气污染物主要有施工扬尘和汽车尾气。</w:t>
            </w:r>
          </w:p>
          <w:p w14:paraId="0AE55A1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期扬尘主要产生于地基开挖、管线铺设、弃土、建材装卸、车辆行驶等作业。据有关资料显示，施工场地扬尘的主要来源是运输车辆行驶而形成，约占扬尘总量的60%。扬尘量的大小与天气干燥程度、道路路况、车辆行驶速度、风速大小有关。一般情况下，在自然风作用下，道路扬尘影响范围在100m以内。在大风天气，扬尘量及影响范围将有所扩大。施工中的弃土、砂料、石灰等，若堆放时覆盖不当或装卸运输时散落，也都能造成施工扬尘，影响范围也在100m左右。</w:t>
            </w:r>
          </w:p>
          <w:p w14:paraId="3D4846F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汽车尾气和施工机械排放的尾气主要污染物有CO、NOx、HC等，可能导致施工场地局部范围内空气质量下降，这些气体扩散后其浓度会迅速降低，影响范围小，其尾气污染物最大浓度落点距边界的距离不超过150m，且浓度值均在《大气污染物综合排放标准》（GB16297-1996）标准之内。由于工程施工高峰期空气污染物的排放强度较低，因此，工程施工产生的大气污染物对施工区及周边空气环境影响较小。</w:t>
            </w:r>
          </w:p>
          <w:p w14:paraId="4207259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根据住建部门要求物料堆放</w:t>
            </w:r>
            <w:r>
              <w:rPr>
                <w:rFonts w:hint="eastAsia" w:ascii="Times New Roman" w:hAnsi="Times New Roman"/>
                <w:color w:val="auto"/>
                <w:sz w:val="26"/>
                <w:szCs w:val="26"/>
                <w:highlight w:val="none"/>
                <w:vertAlign w:val="baseline"/>
                <w:lang w:val="en-US" w:eastAsia="zh-CN"/>
              </w:rPr>
              <w:t>需</w:t>
            </w:r>
            <w:r>
              <w:rPr>
                <w:rFonts w:hint="eastAsia" w:ascii="Times New Roman" w:hAnsi="Times New Roman"/>
                <w:color w:val="auto"/>
                <w:sz w:val="26"/>
                <w:szCs w:val="26"/>
                <w:highlight w:val="none"/>
                <w:vertAlign w:val="baseline"/>
              </w:rPr>
              <w:t>覆盖、出入车辆</w:t>
            </w:r>
            <w:r>
              <w:rPr>
                <w:rFonts w:hint="eastAsia" w:ascii="Times New Roman" w:hAnsi="Times New Roman"/>
                <w:color w:val="auto"/>
                <w:sz w:val="26"/>
                <w:szCs w:val="26"/>
                <w:highlight w:val="none"/>
                <w:vertAlign w:val="baseline"/>
                <w:lang w:val="en-US" w:eastAsia="zh-CN"/>
              </w:rPr>
              <w:t>需</w:t>
            </w:r>
            <w:r>
              <w:rPr>
                <w:rFonts w:hint="eastAsia" w:ascii="Times New Roman" w:hAnsi="Times New Roman"/>
                <w:color w:val="auto"/>
                <w:sz w:val="26"/>
                <w:szCs w:val="26"/>
                <w:highlight w:val="none"/>
                <w:vertAlign w:val="baseline"/>
              </w:rPr>
              <w:t>冲洗、湿法作业、渣土车辆密闭运输。废气污染控制措施如下：</w:t>
            </w:r>
          </w:p>
          <w:p w14:paraId="5CCA585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①及时硬化进场施工道路路面，定期在施工现场地面和道路上洒水，以减少施工扬尘的产生。</w:t>
            </w:r>
          </w:p>
          <w:p w14:paraId="16F6AAE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②各单体建筑物四周1.5m外全部设置防尘网，密度不低于2000目/100平方厘米，防尘网先安装后施工，防尘网顶端高出施工作业面2m以上。</w:t>
            </w:r>
          </w:p>
          <w:p w14:paraId="47A3F5A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③在施工期间，应根据不同空气污染指数范围和大风、高温、干燥、晴天、雨天等各种不同气象条件要求，建立保洁制度，包括洒水、清扫方式、频次等。当空气质量轻微污染（污染指数大于100）或4级以上大风干燥天气不许土方作业和人工干扫。在空气质量良好（污染指数80~100）时，应每隔4小时保洁一次，洒水与清扫交替使用。当空气质量轻微污染（污染指数大于100）时，应加密保洁。当空气质量优良（污染指数低于 50）时，可以在保持清洁的前提下适度降低保洁强度。</w:t>
            </w:r>
          </w:p>
          <w:p w14:paraId="0AA9448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④渣料运输必须采用专用的密封运输车，施工现场应设置车辆冲洗装置。</w:t>
            </w:r>
          </w:p>
          <w:p w14:paraId="1477A0D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⑤施工单位应采用尾气排放符合国家规定标准的车辆和施工机械，确保其在运行时尾气达标排放，减少对环境空气的污染。禁止尾气排放不达标的车辆和施工机械运行作业。</w:t>
            </w:r>
          </w:p>
          <w:p w14:paraId="4C9387D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（2）水环境影响分析</w:t>
            </w:r>
          </w:p>
          <w:p w14:paraId="465A569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①</w:t>
            </w:r>
            <w:r>
              <w:rPr>
                <w:rFonts w:hint="eastAsia" w:ascii="Times New Roman" w:hAnsi="Times New Roman"/>
                <w:color w:val="auto"/>
                <w:sz w:val="26"/>
                <w:szCs w:val="26"/>
                <w:highlight w:val="none"/>
                <w:vertAlign w:val="baseline"/>
              </w:rPr>
              <w:t>施工废水</w:t>
            </w:r>
          </w:p>
          <w:p w14:paraId="1F7C34F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本项目施工废水主要包括</w:t>
            </w:r>
            <w:r>
              <w:rPr>
                <w:rFonts w:hint="eastAsia" w:ascii="Times New Roman" w:hAnsi="Times New Roman"/>
                <w:color w:val="auto"/>
                <w:sz w:val="26"/>
                <w:szCs w:val="26"/>
                <w:highlight w:val="none"/>
              </w:rPr>
              <w:t>车辆及施工机械冲洗废水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施工机械跑、冒、滴、漏的油污及露天机械被雨水冲刷后产生的油污染</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裸露地表、表土、堆放的建筑材料被雨水冲刷</w:t>
            </w:r>
            <w:r>
              <w:rPr>
                <w:rFonts w:hint="eastAsia" w:ascii="Times New Roman" w:hAnsi="Times New Roman"/>
                <w:color w:val="auto"/>
                <w:sz w:val="26"/>
                <w:szCs w:val="26"/>
                <w:highlight w:val="none"/>
                <w:lang w:val="en-US" w:eastAsia="zh-CN"/>
              </w:rPr>
              <w:t>产生的废水，</w:t>
            </w:r>
            <w:r>
              <w:rPr>
                <w:rFonts w:hint="eastAsia" w:ascii="Times New Roman" w:hAnsi="Times New Roman"/>
                <w:color w:val="auto"/>
                <w:sz w:val="26"/>
                <w:szCs w:val="26"/>
                <w:highlight w:val="none"/>
                <w:vertAlign w:val="baseline"/>
              </w:rPr>
              <w:t>其产生量较小，主要是泥沙悬浮物含量较大</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项目区设置一个容积为2m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vertAlign w:val="baseline"/>
              </w:rPr>
              <w:t>的临时沉淀池，能够容纳施工期生活污水和施工废水，污水经沉淀后作施工场地洒水抑尘，施工期污水不外排，对环境影响不大。</w:t>
            </w:r>
          </w:p>
          <w:p w14:paraId="3EB4DE4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②</w:t>
            </w:r>
            <w:r>
              <w:rPr>
                <w:rFonts w:hint="eastAsia" w:ascii="Times New Roman" w:hAnsi="Times New Roman"/>
                <w:color w:val="auto"/>
                <w:sz w:val="26"/>
                <w:szCs w:val="26"/>
                <w:highlight w:val="none"/>
                <w:vertAlign w:val="baseline"/>
              </w:rPr>
              <w:t>施工生活污水</w:t>
            </w:r>
          </w:p>
          <w:p w14:paraId="00ED3E5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项目施工工人约</w:t>
            </w:r>
            <w:r>
              <w:rPr>
                <w:rFonts w:hint="eastAsia" w:ascii="Times New Roman" w:hAnsi="Times New Roman"/>
                <w:color w:val="auto"/>
                <w:sz w:val="26"/>
                <w:szCs w:val="26"/>
                <w:highlight w:val="none"/>
                <w:vertAlign w:val="baseline"/>
                <w:lang w:val="en-US" w:eastAsia="zh-CN"/>
              </w:rPr>
              <w:t>15</w:t>
            </w:r>
            <w:r>
              <w:rPr>
                <w:rFonts w:hint="eastAsia" w:ascii="Times New Roman" w:hAnsi="Times New Roman"/>
                <w:color w:val="auto"/>
                <w:sz w:val="26"/>
                <w:szCs w:val="26"/>
                <w:highlight w:val="none"/>
                <w:vertAlign w:val="baseline"/>
              </w:rPr>
              <w:t>人，施工生活废水主要为洗手废水，项目在施工过程中产生的生活污水量为</w:t>
            </w:r>
            <w:r>
              <w:rPr>
                <w:rFonts w:hint="eastAsia" w:ascii="Times New Roman" w:hAnsi="Times New Roman"/>
                <w:color w:val="auto"/>
                <w:sz w:val="26"/>
                <w:szCs w:val="26"/>
                <w:highlight w:val="none"/>
                <w:lang w:val="en-US" w:eastAsia="zh-CN"/>
              </w:rPr>
              <w:t>0.12</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/d，施工期为</w:t>
            </w:r>
            <w:r>
              <w:rPr>
                <w:rFonts w:hint="eastAsia" w:ascii="Times New Roman" w:hAnsi="Times New Roman"/>
                <w:color w:val="auto"/>
                <w:sz w:val="26"/>
                <w:szCs w:val="26"/>
                <w:highlight w:val="none"/>
                <w:lang w:val="en-US" w:eastAsia="zh-CN"/>
              </w:rPr>
              <w:t>6</w:t>
            </w:r>
            <w:r>
              <w:rPr>
                <w:rFonts w:hint="eastAsia" w:ascii="Times New Roman" w:hAnsi="Times New Roman"/>
                <w:color w:val="auto"/>
                <w:sz w:val="26"/>
                <w:szCs w:val="26"/>
                <w:highlight w:val="none"/>
              </w:rPr>
              <w:t>个月，总的废水量为</w:t>
            </w:r>
            <w:r>
              <w:rPr>
                <w:rFonts w:hint="eastAsia" w:ascii="Times New Roman" w:hAnsi="Times New Roman"/>
                <w:color w:val="auto"/>
                <w:sz w:val="26"/>
                <w:szCs w:val="26"/>
                <w:highlight w:val="none"/>
                <w:lang w:val="en-US" w:eastAsia="zh-CN"/>
              </w:rPr>
              <w:t>21.6</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vertAlign w:val="baseline"/>
              </w:rPr>
              <w:t>，产生的生活污进入厂区临时沉淀池沉淀后回用厂区洒水降尘，对环境的影响较小。</w:t>
            </w:r>
          </w:p>
          <w:p w14:paraId="383FB8A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（3）声环境影响分析</w:t>
            </w:r>
          </w:p>
          <w:p w14:paraId="3B31C4C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期对声环境的影响主要来自施工机械噪声，其次是交通噪声和人为噪声。机械噪声主要由施工机械运行所造成，施工作业噪声主要指一些零星的敲打声、装卸车辆的撞击声、拆装模板的撞击声等，多为瞬间噪声；施工车辆的噪声属于交通噪声。项目建设期间使用的建筑机械设备多，且噪声声级强（特别是冲击式打桩机），表7-1为施工期噪声值较大的机械设备的噪声随距离衰减情况。</w:t>
            </w:r>
          </w:p>
          <w:p w14:paraId="00D74080">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color w:val="auto"/>
                <w:sz w:val="26"/>
                <w:szCs w:val="26"/>
                <w:highlight w:val="none"/>
                <w:vertAlign w:val="baseline"/>
              </w:rPr>
            </w:pPr>
            <w:r>
              <w:rPr>
                <w:rFonts w:hint="eastAsia" w:ascii="Times New Roman" w:hAnsi="Times New Roman"/>
                <w:b/>
                <w:bCs/>
                <w:color w:val="auto"/>
                <w:sz w:val="21"/>
                <w:szCs w:val="21"/>
                <w:highlight w:val="none"/>
                <w:vertAlign w:val="baseline"/>
              </w:rPr>
              <w:t>表 7-1 施工机械噪声源强及其对不同距离声环境影响预测结果</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44"/>
              <w:gridCol w:w="498"/>
              <w:gridCol w:w="551"/>
              <w:gridCol w:w="589"/>
              <w:gridCol w:w="592"/>
              <w:gridCol w:w="591"/>
              <w:gridCol w:w="592"/>
              <w:gridCol w:w="708"/>
              <w:gridCol w:w="793"/>
              <w:gridCol w:w="728"/>
              <w:gridCol w:w="693"/>
              <w:gridCol w:w="714"/>
            </w:tblGrid>
            <w:tr w14:paraId="1D08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0" w:type="pct"/>
                  <w:vMerge w:val="restart"/>
                  <w:vAlign w:val="center"/>
                </w:tcPr>
                <w:p w14:paraId="0470133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机械类型</w:t>
                  </w:r>
                </w:p>
              </w:tc>
              <w:tc>
                <w:tcPr>
                  <w:tcW w:w="300" w:type="pct"/>
                  <w:vMerge w:val="restart"/>
                  <w:vAlign w:val="center"/>
                </w:tcPr>
                <w:p w14:paraId="409D2945">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源强</w:t>
                  </w:r>
                </w:p>
              </w:tc>
              <w:tc>
                <w:tcPr>
                  <w:tcW w:w="3948" w:type="pct"/>
                  <w:gridSpan w:val="10"/>
                  <w:vAlign w:val="center"/>
                </w:tcPr>
                <w:p w14:paraId="0BEE7AA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噪声预测值</w:t>
                  </w:r>
                </w:p>
              </w:tc>
            </w:tr>
            <w:tr w14:paraId="7733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50" w:type="pct"/>
                  <w:vMerge w:val="continue"/>
                  <w:vAlign w:val="center"/>
                </w:tcPr>
                <w:p w14:paraId="372E7C59">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p>
              </w:tc>
              <w:tc>
                <w:tcPr>
                  <w:tcW w:w="300" w:type="pct"/>
                  <w:vMerge w:val="continue"/>
                  <w:vAlign w:val="center"/>
                </w:tcPr>
                <w:p w14:paraId="188A304E">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p>
              </w:tc>
              <w:tc>
                <w:tcPr>
                  <w:tcW w:w="332" w:type="pct"/>
                  <w:vAlign w:val="center"/>
                </w:tcPr>
                <w:p w14:paraId="2CC1218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5m</w:t>
                  </w:r>
                </w:p>
              </w:tc>
              <w:tc>
                <w:tcPr>
                  <w:tcW w:w="355" w:type="pct"/>
                  <w:vAlign w:val="center"/>
                </w:tcPr>
                <w:p w14:paraId="0317D32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10m</w:t>
                  </w:r>
                </w:p>
              </w:tc>
              <w:tc>
                <w:tcPr>
                  <w:tcW w:w="357" w:type="pct"/>
                  <w:vAlign w:val="center"/>
                </w:tcPr>
                <w:p w14:paraId="77594EA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20m</w:t>
                  </w:r>
                </w:p>
              </w:tc>
              <w:tc>
                <w:tcPr>
                  <w:tcW w:w="356" w:type="pct"/>
                  <w:vAlign w:val="center"/>
                </w:tcPr>
                <w:p w14:paraId="409A2EC5">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40m</w:t>
                  </w:r>
                </w:p>
              </w:tc>
              <w:tc>
                <w:tcPr>
                  <w:tcW w:w="357" w:type="pct"/>
                  <w:vAlign w:val="center"/>
                </w:tcPr>
                <w:p w14:paraId="0153087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50m</w:t>
                  </w:r>
                </w:p>
              </w:tc>
              <w:tc>
                <w:tcPr>
                  <w:tcW w:w="427" w:type="pct"/>
                  <w:vAlign w:val="center"/>
                </w:tcPr>
                <w:p w14:paraId="37B63050">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100m</w:t>
                  </w:r>
                </w:p>
              </w:tc>
              <w:tc>
                <w:tcPr>
                  <w:tcW w:w="478" w:type="pct"/>
                  <w:vAlign w:val="center"/>
                </w:tcPr>
                <w:p w14:paraId="58D7837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150m</w:t>
                  </w:r>
                </w:p>
              </w:tc>
              <w:tc>
                <w:tcPr>
                  <w:tcW w:w="439" w:type="pct"/>
                  <w:vAlign w:val="center"/>
                </w:tcPr>
                <w:p w14:paraId="44DE298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200m</w:t>
                  </w:r>
                </w:p>
              </w:tc>
              <w:tc>
                <w:tcPr>
                  <w:tcW w:w="417" w:type="pct"/>
                  <w:vAlign w:val="center"/>
                </w:tcPr>
                <w:p w14:paraId="5B3648F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300m</w:t>
                  </w:r>
                </w:p>
              </w:tc>
              <w:tc>
                <w:tcPr>
                  <w:tcW w:w="427" w:type="pct"/>
                  <w:vAlign w:val="center"/>
                </w:tcPr>
                <w:p w14:paraId="78DFF89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400m</w:t>
                  </w:r>
                </w:p>
              </w:tc>
            </w:tr>
            <w:tr w14:paraId="02BA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0" w:type="pct"/>
                  <w:vAlign w:val="center"/>
                </w:tcPr>
                <w:p w14:paraId="6B2F3B90">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挖土机</w:t>
                  </w:r>
                </w:p>
              </w:tc>
              <w:tc>
                <w:tcPr>
                  <w:tcW w:w="300" w:type="pct"/>
                  <w:vAlign w:val="center"/>
                </w:tcPr>
                <w:p w14:paraId="4F02C85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90</w:t>
                  </w:r>
                </w:p>
              </w:tc>
              <w:tc>
                <w:tcPr>
                  <w:tcW w:w="551" w:type="dxa"/>
                  <w:vAlign w:val="center"/>
                </w:tcPr>
                <w:p w14:paraId="510245F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77.07 </w:t>
                  </w:r>
                </w:p>
              </w:tc>
              <w:tc>
                <w:tcPr>
                  <w:tcW w:w="355" w:type="pct"/>
                  <w:vAlign w:val="center"/>
                </w:tcPr>
                <w:p w14:paraId="3D5A3FC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71.05 </w:t>
                  </w:r>
                </w:p>
              </w:tc>
              <w:tc>
                <w:tcPr>
                  <w:tcW w:w="357" w:type="pct"/>
                  <w:vAlign w:val="center"/>
                </w:tcPr>
                <w:p w14:paraId="35139C9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65.03 </w:t>
                  </w:r>
                </w:p>
              </w:tc>
              <w:tc>
                <w:tcPr>
                  <w:tcW w:w="356" w:type="pct"/>
                  <w:vAlign w:val="center"/>
                </w:tcPr>
                <w:p w14:paraId="481E3AD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59.01 </w:t>
                  </w:r>
                </w:p>
              </w:tc>
              <w:tc>
                <w:tcPr>
                  <w:tcW w:w="357" w:type="pct"/>
                  <w:vAlign w:val="center"/>
                </w:tcPr>
                <w:p w14:paraId="7E8204C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57.07 </w:t>
                  </w:r>
                </w:p>
              </w:tc>
              <w:tc>
                <w:tcPr>
                  <w:tcW w:w="427" w:type="pct"/>
                  <w:vAlign w:val="center"/>
                </w:tcPr>
                <w:p w14:paraId="1F0653D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51.05 </w:t>
                  </w:r>
                </w:p>
              </w:tc>
              <w:tc>
                <w:tcPr>
                  <w:tcW w:w="478" w:type="pct"/>
                  <w:vAlign w:val="center"/>
                </w:tcPr>
                <w:p w14:paraId="7A6D64D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47.53 </w:t>
                  </w:r>
                </w:p>
              </w:tc>
              <w:tc>
                <w:tcPr>
                  <w:tcW w:w="439" w:type="pct"/>
                  <w:vAlign w:val="center"/>
                </w:tcPr>
                <w:p w14:paraId="388B756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45.03 </w:t>
                  </w:r>
                </w:p>
              </w:tc>
              <w:tc>
                <w:tcPr>
                  <w:tcW w:w="417" w:type="pct"/>
                  <w:vAlign w:val="center"/>
                </w:tcPr>
                <w:p w14:paraId="05F14F8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41.51 </w:t>
                  </w:r>
                </w:p>
              </w:tc>
              <w:tc>
                <w:tcPr>
                  <w:tcW w:w="427" w:type="pct"/>
                  <w:vAlign w:val="center"/>
                </w:tcPr>
                <w:p w14:paraId="4B2E02C1">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39.01 </w:t>
                  </w:r>
                </w:p>
              </w:tc>
            </w:tr>
            <w:tr w14:paraId="46A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0" w:type="pct"/>
                  <w:vAlign w:val="center"/>
                </w:tcPr>
                <w:p w14:paraId="32BC635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推土机</w:t>
                  </w:r>
                </w:p>
              </w:tc>
              <w:tc>
                <w:tcPr>
                  <w:tcW w:w="300" w:type="pct"/>
                  <w:vAlign w:val="center"/>
                </w:tcPr>
                <w:p w14:paraId="2ECDB54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90</w:t>
                  </w:r>
                </w:p>
              </w:tc>
              <w:tc>
                <w:tcPr>
                  <w:tcW w:w="551" w:type="dxa"/>
                  <w:vAlign w:val="center"/>
                </w:tcPr>
                <w:p w14:paraId="7934B5F1">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77.07 </w:t>
                  </w:r>
                </w:p>
              </w:tc>
              <w:tc>
                <w:tcPr>
                  <w:tcW w:w="355" w:type="pct"/>
                  <w:vAlign w:val="center"/>
                </w:tcPr>
                <w:p w14:paraId="6810849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71.05 </w:t>
                  </w:r>
                </w:p>
              </w:tc>
              <w:tc>
                <w:tcPr>
                  <w:tcW w:w="357" w:type="pct"/>
                  <w:vAlign w:val="center"/>
                </w:tcPr>
                <w:p w14:paraId="18A29DD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65.03 </w:t>
                  </w:r>
                </w:p>
              </w:tc>
              <w:tc>
                <w:tcPr>
                  <w:tcW w:w="356" w:type="pct"/>
                  <w:vAlign w:val="center"/>
                </w:tcPr>
                <w:p w14:paraId="62181747">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59.01 </w:t>
                  </w:r>
                </w:p>
              </w:tc>
              <w:tc>
                <w:tcPr>
                  <w:tcW w:w="357" w:type="pct"/>
                  <w:vAlign w:val="center"/>
                </w:tcPr>
                <w:p w14:paraId="69FDB4F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57.07 </w:t>
                  </w:r>
                </w:p>
              </w:tc>
              <w:tc>
                <w:tcPr>
                  <w:tcW w:w="427" w:type="pct"/>
                  <w:vAlign w:val="center"/>
                </w:tcPr>
                <w:p w14:paraId="520CF727">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51.05 </w:t>
                  </w:r>
                </w:p>
              </w:tc>
              <w:tc>
                <w:tcPr>
                  <w:tcW w:w="478" w:type="pct"/>
                  <w:vAlign w:val="center"/>
                </w:tcPr>
                <w:p w14:paraId="3D801FE6">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47.53 </w:t>
                  </w:r>
                </w:p>
              </w:tc>
              <w:tc>
                <w:tcPr>
                  <w:tcW w:w="439" w:type="pct"/>
                  <w:vAlign w:val="center"/>
                </w:tcPr>
                <w:p w14:paraId="022C173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45.03 </w:t>
                  </w:r>
                </w:p>
              </w:tc>
              <w:tc>
                <w:tcPr>
                  <w:tcW w:w="417" w:type="pct"/>
                  <w:vAlign w:val="center"/>
                </w:tcPr>
                <w:p w14:paraId="2EF5DCE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41.51 </w:t>
                  </w:r>
                </w:p>
              </w:tc>
              <w:tc>
                <w:tcPr>
                  <w:tcW w:w="427" w:type="pct"/>
                  <w:vAlign w:val="center"/>
                </w:tcPr>
                <w:p w14:paraId="79A9D0C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39.01 </w:t>
                  </w:r>
                </w:p>
              </w:tc>
            </w:tr>
            <w:tr w14:paraId="40E1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0" w:type="pct"/>
                  <w:vAlign w:val="center"/>
                </w:tcPr>
                <w:p w14:paraId="035393C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电锯</w:t>
                  </w:r>
                </w:p>
              </w:tc>
              <w:tc>
                <w:tcPr>
                  <w:tcW w:w="300" w:type="pct"/>
                  <w:vAlign w:val="center"/>
                </w:tcPr>
                <w:p w14:paraId="747B1E1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95</w:t>
                  </w:r>
                </w:p>
              </w:tc>
              <w:tc>
                <w:tcPr>
                  <w:tcW w:w="551" w:type="dxa"/>
                  <w:vAlign w:val="center"/>
                </w:tcPr>
                <w:p w14:paraId="72D03D3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82.07 </w:t>
                  </w:r>
                </w:p>
              </w:tc>
              <w:tc>
                <w:tcPr>
                  <w:tcW w:w="355" w:type="pct"/>
                  <w:vAlign w:val="center"/>
                </w:tcPr>
                <w:p w14:paraId="3D016A5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76.05 </w:t>
                  </w:r>
                </w:p>
              </w:tc>
              <w:tc>
                <w:tcPr>
                  <w:tcW w:w="357" w:type="pct"/>
                  <w:vAlign w:val="center"/>
                </w:tcPr>
                <w:p w14:paraId="091E088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70.03 </w:t>
                  </w:r>
                </w:p>
              </w:tc>
              <w:tc>
                <w:tcPr>
                  <w:tcW w:w="356" w:type="pct"/>
                  <w:vAlign w:val="center"/>
                </w:tcPr>
                <w:p w14:paraId="2CF2B89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64.01 </w:t>
                  </w:r>
                </w:p>
              </w:tc>
              <w:tc>
                <w:tcPr>
                  <w:tcW w:w="357" w:type="pct"/>
                  <w:vAlign w:val="center"/>
                </w:tcPr>
                <w:p w14:paraId="1CC7685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62.07 </w:t>
                  </w:r>
                </w:p>
              </w:tc>
              <w:tc>
                <w:tcPr>
                  <w:tcW w:w="427" w:type="pct"/>
                  <w:vAlign w:val="center"/>
                </w:tcPr>
                <w:p w14:paraId="07E3E566">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56.05 </w:t>
                  </w:r>
                </w:p>
              </w:tc>
              <w:tc>
                <w:tcPr>
                  <w:tcW w:w="478" w:type="pct"/>
                  <w:vAlign w:val="center"/>
                </w:tcPr>
                <w:p w14:paraId="6D13E3D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52.53 </w:t>
                  </w:r>
                </w:p>
              </w:tc>
              <w:tc>
                <w:tcPr>
                  <w:tcW w:w="439" w:type="pct"/>
                  <w:vAlign w:val="center"/>
                </w:tcPr>
                <w:p w14:paraId="51D86946">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50.03 </w:t>
                  </w:r>
                </w:p>
              </w:tc>
              <w:tc>
                <w:tcPr>
                  <w:tcW w:w="417" w:type="pct"/>
                  <w:vAlign w:val="center"/>
                </w:tcPr>
                <w:p w14:paraId="71FC8D15">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46.51 </w:t>
                  </w:r>
                </w:p>
              </w:tc>
              <w:tc>
                <w:tcPr>
                  <w:tcW w:w="427" w:type="pct"/>
                  <w:vAlign w:val="center"/>
                </w:tcPr>
                <w:p w14:paraId="0F55E10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44.01 </w:t>
                  </w:r>
                </w:p>
              </w:tc>
            </w:tr>
            <w:tr w14:paraId="14C4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50" w:type="pct"/>
                  <w:vAlign w:val="center"/>
                </w:tcPr>
                <w:p w14:paraId="7E20C070">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电钻</w:t>
                  </w:r>
                </w:p>
              </w:tc>
              <w:tc>
                <w:tcPr>
                  <w:tcW w:w="300" w:type="pct"/>
                  <w:vAlign w:val="center"/>
                </w:tcPr>
                <w:p w14:paraId="4CA47C3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95</w:t>
                  </w:r>
                </w:p>
              </w:tc>
              <w:tc>
                <w:tcPr>
                  <w:tcW w:w="332" w:type="pct"/>
                  <w:vAlign w:val="center"/>
                </w:tcPr>
                <w:p w14:paraId="6F96CE6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82.07 </w:t>
                  </w:r>
                </w:p>
              </w:tc>
              <w:tc>
                <w:tcPr>
                  <w:tcW w:w="355" w:type="pct"/>
                  <w:vAlign w:val="center"/>
                </w:tcPr>
                <w:p w14:paraId="0E2B7301">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76.05 </w:t>
                  </w:r>
                </w:p>
              </w:tc>
              <w:tc>
                <w:tcPr>
                  <w:tcW w:w="357" w:type="pct"/>
                  <w:vAlign w:val="center"/>
                </w:tcPr>
                <w:p w14:paraId="3FE0853D">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70.03 </w:t>
                  </w:r>
                </w:p>
              </w:tc>
              <w:tc>
                <w:tcPr>
                  <w:tcW w:w="356" w:type="pct"/>
                  <w:vAlign w:val="center"/>
                </w:tcPr>
                <w:p w14:paraId="5FE65B1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64.01 </w:t>
                  </w:r>
                </w:p>
              </w:tc>
              <w:tc>
                <w:tcPr>
                  <w:tcW w:w="357" w:type="pct"/>
                  <w:vAlign w:val="center"/>
                </w:tcPr>
                <w:p w14:paraId="5F4129F0">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62.07 </w:t>
                  </w:r>
                </w:p>
              </w:tc>
              <w:tc>
                <w:tcPr>
                  <w:tcW w:w="427" w:type="pct"/>
                  <w:vAlign w:val="center"/>
                </w:tcPr>
                <w:p w14:paraId="4E0468F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56.05 </w:t>
                  </w:r>
                </w:p>
              </w:tc>
              <w:tc>
                <w:tcPr>
                  <w:tcW w:w="478" w:type="pct"/>
                  <w:vAlign w:val="center"/>
                </w:tcPr>
                <w:p w14:paraId="06F2685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52.53 </w:t>
                  </w:r>
                </w:p>
              </w:tc>
              <w:tc>
                <w:tcPr>
                  <w:tcW w:w="439" w:type="pct"/>
                  <w:vAlign w:val="center"/>
                </w:tcPr>
                <w:p w14:paraId="298F63D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50.03 </w:t>
                  </w:r>
                </w:p>
              </w:tc>
              <w:tc>
                <w:tcPr>
                  <w:tcW w:w="417" w:type="pct"/>
                  <w:vAlign w:val="center"/>
                </w:tcPr>
                <w:p w14:paraId="3855767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46.51 </w:t>
                  </w:r>
                </w:p>
              </w:tc>
              <w:tc>
                <w:tcPr>
                  <w:tcW w:w="427" w:type="pct"/>
                  <w:vAlign w:val="center"/>
                </w:tcPr>
                <w:p w14:paraId="507EEA9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44.01 </w:t>
                  </w:r>
                </w:p>
              </w:tc>
            </w:tr>
            <w:tr w14:paraId="2ABC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50" w:type="pct"/>
                  <w:vAlign w:val="center"/>
                </w:tcPr>
                <w:p w14:paraId="15AB5F4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运输车辆</w:t>
                  </w:r>
                </w:p>
              </w:tc>
              <w:tc>
                <w:tcPr>
                  <w:tcW w:w="300" w:type="pct"/>
                  <w:vAlign w:val="center"/>
                </w:tcPr>
                <w:p w14:paraId="5301DC97">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85</w:t>
                  </w:r>
                </w:p>
              </w:tc>
              <w:tc>
                <w:tcPr>
                  <w:tcW w:w="332" w:type="pct"/>
                  <w:vAlign w:val="center"/>
                </w:tcPr>
                <w:p w14:paraId="703D22D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72.07 </w:t>
                  </w:r>
                </w:p>
              </w:tc>
              <w:tc>
                <w:tcPr>
                  <w:tcW w:w="355" w:type="pct"/>
                  <w:vAlign w:val="center"/>
                </w:tcPr>
                <w:p w14:paraId="4470D5E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66.05 </w:t>
                  </w:r>
                </w:p>
              </w:tc>
              <w:tc>
                <w:tcPr>
                  <w:tcW w:w="357" w:type="pct"/>
                  <w:vAlign w:val="center"/>
                </w:tcPr>
                <w:p w14:paraId="769BF81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60.03 </w:t>
                  </w:r>
                </w:p>
              </w:tc>
              <w:tc>
                <w:tcPr>
                  <w:tcW w:w="356" w:type="pct"/>
                  <w:vAlign w:val="center"/>
                </w:tcPr>
                <w:p w14:paraId="6660DEB6">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54.01 </w:t>
                  </w:r>
                </w:p>
              </w:tc>
              <w:tc>
                <w:tcPr>
                  <w:tcW w:w="357" w:type="pct"/>
                  <w:vAlign w:val="center"/>
                </w:tcPr>
                <w:p w14:paraId="7560C20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52.07 </w:t>
                  </w:r>
                </w:p>
              </w:tc>
              <w:tc>
                <w:tcPr>
                  <w:tcW w:w="427" w:type="pct"/>
                  <w:vAlign w:val="center"/>
                </w:tcPr>
                <w:p w14:paraId="6907DBC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46.05 </w:t>
                  </w:r>
                </w:p>
              </w:tc>
              <w:tc>
                <w:tcPr>
                  <w:tcW w:w="478" w:type="pct"/>
                  <w:vAlign w:val="center"/>
                </w:tcPr>
                <w:p w14:paraId="52D4E54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42.53 </w:t>
                  </w:r>
                </w:p>
              </w:tc>
              <w:tc>
                <w:tcPr>
                  <w:tcW w:w="439" w:type="pct"/>
                  <w:vAlign w:val="center"/>
                </w:tcPr>
                <w:p w14:paraId="133DF7CD">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40.03 </w:t>
                  </w:r>
                </w:p>
              </w:tc>
              <w:tc>
                <w:tcPr>
                  <w:tcW w:w="417" w:type="pct"/>
                  <w:vAlign w:val="center"/>
                </w:tcPr>
                <w:p w14:paraId="4E4690B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36.51 </w:t>
                  </w:r>
                </w:p>
              </w:tc>
              <w:tc>
                <w:tcPr>
                  <w:tcW w:w="427" w:type="pct"/>
                  <w:vAlign w:val="center"/>
                </w:tcPr>
                <w:p w14:paraId="05E482A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 xml:space="preserve">34.01 </w:t>
                  </w:r>
                </w:p>
              </w:tc>
            </w:tr>
            <w:tr w14:paraId="424E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50" w:type="pct"/>
                  <w:vAlign w:val="center"/>
                </w:tcPr>
                <w:p w14:paraId="06F7C78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叠加值</w:t>
                  </w:r>
                </w:p>
              </w:tc>
              <w:tc>
                <w:tcPr>
                  <w:tcW w:w="300" w:type="pct"/>
                  <w:vAlign w:val="center"/>
                </w:tcPr>
                <w:p w14:paraId="6C89EE56">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99.4 </w:t>
                  </w:r>
                </w:p>
              </w:tc>
              <w:tc>
                <w:tcPr>
                  <w:tcW w:w="332" w:type="pct"/>
                  <w:vAlign w:val="center"/>
                </w:tcPr>
                <w:p w14:paraId="2D8F7F06">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86.4 </w:t>
                  </w:r>
                </w:p>
              </w:tc>
              <w:tc>
                <w:tcPr>
                  <w:tcW w:w="355" w:type="pct"/>
                  <w:vAlign w:val="center"/>
                </w:tcPr>
                <w:p w14:paraId="2B354F58">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80.4 </w:t>
                  </w:r>
                </w:p>
              </w:tc>
              <w:tc>
                <w:tcPr>
                  <w:tcW w:w="357" w:type="pct"/>
                  <w:vAlign w:val="center"/>
                </w:tcPr>
                <w:p w14:paraId="35697946">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74.4 </w:t>
                  </w:r>
                </w:p>
              </w:tc>
              <w:tc>
                <w:tcPr>
                  <w:tcW w:w="356" w:type="pct"/>
                  <w:vAlign w:val="center"/>
                </w:tcPr>
                <w:p w14:paraId="0467B55F">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68.4 </w:t>
                  </w:r>
                </w:p>
              </w:tc>
              <w:tc>
                <w:tcPr>
                  <w:tcW w:w="357" w:type="pct"/>
                  <w:vAlign w:val="center"/>
                </w:tcPr>
                <w:p w14:paraId="28B2272B">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66.4    </w:t>
                  </w:r>
                </w:p>
              </w:tc>
              <w:tc>
                <w:tcPr>
                  <w:tcW w:w="427" w:type="pct"/>
                  <w:vAlign w:val="center"/>
                </w:tcPr>
                <w:p w14:paraId="3CE8D89D">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60.4 </w:t>
                  </w:r>
                </w:p>
              </w:tc>
              <w:tc>
                <w:tcPr>
                  <w:tcW w:w="478" w:type="pct"/>
                  <w:vAlign w:val="center"/>
                </w:tcPr>
                <w:p w14:paraId="5DF50702">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56.9 </w:t>
                  </w:r>
                </w:p>
              </w:tc>
              <w:tc>
                <w:tcPr>
                  <w:tcW w:w="439" w:type="pct"/>
                  <w:vAlign w:val="center"/>
                </w:tcPr>
                <w:p w14:paraId="78F54E6B">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 xml:space="preserve">54.4 </w:t>
                  </w:r>
                </w:p>
              </w:tc>
              <w:tc>
                <w:tcPr>
                  <w:tcW w:w="417" w:type="pct"/>
                  <w:vAlign w:val="center"/>
                </w:tcPr>
                <w:p w14:paraId="0C235059">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50.9</w:t>
                  </w:r>
                </w:p>
              </w:tc>
              <w:tc>
                <w:tcPr>
                  <w:tcW w:w="427" w:type="pct"/>
                  <w:vAlign w:val="center"/>
                </w:tcPr>
                <w:p w14:paraId="73F6E19D">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cs="Times New Roman"/>
                      <w:color w:val="auto"/>
                      <w:sz w:val="22"/>
                      <w:szCs w:val="22"/>
                      <w:highlight w:val="none"/>
                    </w:rPr>
                  </w:pPr>
                  <w:r>
                    <w:rPr>
                      <w:rFonts w:hint="eastAsia" w:cs="Times New Roman"/>
                      <w:color w:val="auto"/>
                      <w:sz w:val="22"/>
                      <w:szCs w:val="22"/>
                      <w:highlight w:val="none"/>
                    </w:rPr>
                    <w:t>48.4</w:t>
                  </w:r>
                </w:p>
              </w:tc>
            </w:tr>
          </w:tbl>
          <w:p w14:paraId="53216AE9">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由上表可知，一般施工机械噪声在场区中心施工时对场界外影响很小，但在场界附近施工时，昼间影响范围达到</w:t>
            </w:r>
            <w:r>
              <w:rPr>
                <w:rFonts w:hint="eastAsia" w:ascii="Times New Roman" w:hAnsi="Times New Roman"/>
                <w:color w:val="auto"/>
                <w:sz w:val="26"/>
                <w:szCs w:val="26"/>
                <w:highlight w:val="none"/>
                <w:vertAlign w:val="baseline"/>
                <w:lang w:val="en-US" w:eastAsia="zh-CN"/>
              </w:rPr>
              <w:t>4</w:t>
            </w:r>
            <w:r>
              <w:rPr>
                <w:rFonts w:hint="eastAsia" w:ascii="Times New Roman" w:hAnsi="Times New Roman"/>
                <w:color w:val="auto"/>
                <w:sz w:val="26"/>
                <w:szCs w:val="26"/>
                <w:highlight w:val="none"/>
                <w:vertAlign w:val="baseline"/>
              </w:rPr>
              <w:t>0m，夜间影响范围达200m。项目施工区最近的声环境敏感点为东南面</w:t>
            </w:r>
            <w:r>
              <w:rPr>
                <w:rFonts w:hint="eastAsia" w:ascii="Times New Roman" w:hAnsi="Times New Roman"/>
                <w:color w:val="auto"/>
                <w:sz w:val="26"/>
                <w:szCs w:val="26"/>
                <w:highlight w:val="none"/>
                <w:vertAlign w:val="baseline"/>
                <w:lang w:val="en-US" w:eastAsia="zh-CN"/>
              </w:rPr>
              <w:t>排子田散户</w:t>
            </w:r>
            <w:r>
              <w:rPr>
                <w:rFonts w:hint="eastAsia" w:ascii="Times New Roman" w:hAnsi="Times New Roman"/>
                <w:color w:val="auto"/>
                <w:sz w:val="26"/>
                <w:szCs w:val="26"/>
                <w:highlight w:val="none"/>
                <w:vertAlign w:val="baseline"/>
              </w:rPr>
              <w:t>居民点，距离施工区边界最近距离为</w:t>
            </w:r>
            <w:r>
              <w:rPr>
                <w:rFonts w:hint="eastAsia" w:ascii="Times New Roman" w:hAnsi="Times New Roman"/>
                <w:color w:val="auto"/>
                <w:sz w:val="26"/>
                <w:szCs w:val="26"/>
                <w:highlight w:val="none"/>
                <w:vertAlign w:val="baseline"/>
                <w:lang w:val="en-US" w:eastAsia="zh-CN"/>
              </w:rPr>
              <w:t>200</w:t>
            </w:r>
            <w:r>
              <w:rPr>
                <w:rFonts w:hint="eastAsia" w:ascii="Times New Roman" w:hAnsi="Times New Roman"/>
                <w:color w:val="auto"/>
                <w:sz w:val="26"/>
                <w:szCs w:val="26"/>
                <w:highlight w:val="none"/>
                <w:vertAlign w:val="baseline"/>
              </w:rPr>
              <w:t>m，施工噪声对其影响有一定的影响。</w:t>
            </w:r>
          </w:p>
          <w:p w14:paraId="09F8D91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施工噪声具有阶段性、临时性和不固定性，随着施工阶段的不同，施工噪声影响也不同，施工结束时，施工噪声也自行结束。</w:t>
            </w:r>
          </w:p>
          <w:p w14:paraId="06F0A16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噪声污染控制措施：</w:t>
            </w:r>
          </w:p>
          <w:p w14:paraId="3682B10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①选用低噪声施工设备，如以液压机械代替燃油机械，低频振捣器代替高频振捣器等。固定机械设备与挖土、运土机械，如挖土机、推土机等，可以通过排气管消音器和隔离发机振动部件的方法降低噪声。对动力机械设备应进行定期的维修、养护。</w:t>
            </w:r>
          </w:p>
          <w:p w14:paraId="6C3EB3C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②合理安排施工作业，尽量避免多台强噪声施工机械在同一地点同时施工。</w:t>
            </w:r>
          </w:p>
          <w:p w14:paraId="09F5D1A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 xml:space="preserve">③施工期噪声应按《建筑施工场界噪声限值》（GB12523-2011）进行控制，应合理安排施工时间，尽量避免高噪声设备同时施工，应限制夜间高噪声设备的施工时间，在夜间10点至次日早上6点禁止施工，如确因工程施工需要，需向环保部门经申请夜间施工许可证，批准后方可实施，并需告知附近居民，尽量做到施工建设时噪声对影响区公众的不利影响降至最小。另外，施工过程中业主应充分协调好关系，确保不发生环境纠纷。 </w:t>
            </w:r>
          </w:p>
          <w:p w14:paraId="4A21953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（4）固体废物环境影响分析</w:t>
            </w:r>
          </w:p>
          <w:p w14:paraId="367F73F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施工期固体废物包括</w:t>
            </w:r>
            <w:r>
              <w:rPr>
                <w:rFonts w:hint="eastAsia" w:ascii="Times New Roman" w:hAnsi="Times New Roman"/>
                <w:color w:val="auto"/>
                <w:sz w:val="26"/>
                <w:szCs w:val="26"/>
                <w:highlight w:val="none"/>
                <w:vertAlign w:val="baseline"/>
                <w:lang w:val="en-US" w:eastAsia="zh-CN"/>
              </w:rPr>
              <w:t>土石方</w:t>
            </w:r>
            <w:r>
              <w:rPr>
                <w:rFonts w:hint="eastAsia" w:ascii="Times New Roman" w:hAnsi="Times New Roman"/>
                <w:color w:val="auto"/>
                <w:sz w:val="26"/>
                <w:szCs w:val="26"/>
                <w:highlight w:val="none"/>
                <w:vertAlign w:val="baseline"/>
              </w:rPr>
              <w:t>、建筑垃圾和施工人员生活垃圾。</w:t>
            </w:r>
          </w:p>
          <w:p w14:paraId="3C15774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①</w:t>
            </w:r>
            <w:r>
              <w:rPr>
                <w:rFonts w:hint="eastAsia" w:ascii="Times New Roman" w:hAnsi="Times New Roman"/>
                <w:color w:val="auto"/>
                <w:sz w:val="26"/>
                <w:szCs w:val="26"/>
                <w:highlight w:val="none"/>
                <w:vertAlign w:val="baseline"/>
              </w:rPr>
              <w:t>建筑垃圾环境影响分析</w:t>
            </w:r>
          </w:p>
          <w:p w14:paraId="6888148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建筑垃圾</w:t>
            </w:r>
            <w:r>
              <w:rPr>
                <w:rFonts w:hint="eastAsia" w:ascii="Times New Roman" w:hAnsi="Times New Roman"/>
                <w:color w:val="auto"/>
                <w:sz w:val="26"/>
                <w:szCs w:val="26"/>
                <w:highlight w:val="none"/>
                <w:lang w:val="en-US" w:eastAsia="zh-CN"/>
              </w:rPr>
              <w:t>要为机械安装废弃材料</w:t>
            </w:r>
            <w:r>
              <w:rPr>
                <w:rFonts w:hint="eastAsia"/>
                <w:color w:val="auto"/>
                <w:sz w:val="26"/>
                <w:szCs w:val="26"/>
                <w:highlight w:val="none"/>
                <w:lang w:val="en-US" w:eastAsia="zh-CN"/>
              </w:rPr>
              <w:t>，</w:t>
            </w:r>
            <w:r>
              <w:rPr>
                <w:rFonts w:hint="eastAsia" w:ascii="Times New Roman" w:hAnsi="Times New Roman"/>
                <w:color w:val="auto"/>
                <w:sz w:val="26"/>
                <w:szCs w:val="26"/>
                <w:highlight w:val="none"/>
              </w:rPr>
              <w:t>项目施工产生的</w:t>
            </w:r>
            <w:r>
              <w:rPr>
                <w:rFonts w:hint="eastAsia" w:ascii="Times New Roman" w:hAnsi="Times New Roman"/>
                <w:color w:val="auto"/>
                <w:sz w:val="26"/>
                <w:szCs w:val="26"/>
                <w:highlight w:val="none"/>
                <w:lang w:val="en-US" w:eastAsia="zh-CN"/>
              </w:rPr>
              <w:t>废</w:t>
            </w:r>
            <w:r>
              <w:rPr>
                <w:rFonts w:hint="eastAsia" w:ascii="Times New Roman" w:hAnsi="Times New Roman"/>
                <w:color w:val="auto"/>
                <w:sz w:val="26"/>
                <w:szCs w:val="26"/>
                <w:highlight w:val="none"/>
              </w:rPr>
              <w:t>弃建筑材料采用分类清理、及时处置，如钢材和塑料等，可回收利用的回收利用，对不可回收的建筑垃圾集中收集后按照相关部门要求进行处置</w:t>
            </w:r>
            <w:r>
              <w:rPr>
                <w:rFonts w:hint="eastAsia" w:ascii="Times New Roman" w:hAnsi="Times New Roman"/>
                <w:color w:val="auto"/>
                <w:sz w:val="26"/>
                <w:szCs w:val="26"/>
                <w:highlight w:val="none"/>
                <w:lang w:eastAsia="zh-CN"/>
              </w:rPr>
              <w:t>，</w:t>
            </w:r>
            <w:r>
              <w:rPr>
                <w:rFonts w:ascii="Times New Roman" w:hAnsi="Times New Roman"/>
                <w:color w:val="auto"/>
                <w:sz w:val="26"/>
                <w:szCs w:val="26"/>
                <w:highlight w:val="none"/>
              </w:rPr>
              <w:t>对环境影响不大。</w:t>
            </w:r>
          </w:p>
          <w:p w14:paraId="1A7F7DA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②</w:t>
            </w:r>
            <w:r>
              <w:rPr>
                <w:rFonts w:hint="eastAsia" w:ascii="Times New Roman" w:hAnsi="Times New Roman"/>
                <w:color w:val="auto"/>
                <w:sz w:val="26"/>
                <w:szCs w:val="26"/>
                <w:highlight w:val="none"/>
                <w:vertAlign w:val="baseline"/>
              </w:rPr>
              <w:t>土石方环境影响分析</w:t>
            </w:r>
          </w:p>
          <w:p w14:paraId="7D1645C0">
            <w:pPr>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default" w:ascii="Times New Roman" w:hAnsi="Times New Roman"/>
                <w:color w:val="auto"/>
                <w:sz w:val="26"/>
                <w:szCs w:val="26"/>
                <w:highlight w:val="none"/>
                <w:lang w:val="en-US" w:eastAsia="zh-CN"/>
              </w:rPr>
            </w:pPr>
            <w:r>
              <w:rPr>
                <w:rFonts w:hint="eastAsia" w:ascii="Times New Roman" w:hAnsi="Times New Roman"/>
                <w:color w:val="auto"/>
                <w:sz w:val="26"/>
                <w:szCs w:val="26"/>
                <w:highlight w:val="none"/>
                <w:vertAlign w:val="baseline"/>
              </w:rPr>
              <w:t>根据业主提供资料，</w:t>
            </w:r>
            <w:r>
              <w:rPr>
                <w:rFonts w:hint="eastAsia" w:ascii="Times New Roman" w:hAnsi="Times New Roman"/>
                <w:color w:val="auto"/>
                <w:sz w:val="26"/>
                <w:szCs w:val="26"/>
                <w:highlight w:val="none"/>
                <w:vertAlign w:val="baseline"/>
                <w:lang w:val="en-US" w:eastAsia="zh-CN"/>
              </w:rPr>
              <w:t>本项目施工期需平整场地，会产生少量的土石方，</w:t>
            </w:r>
            <w:r>
              <w:rPr>
                <w:rFonts w:hint="eastAsia" w:ascii="Times New Roman" w:hAnsi="Times New Roman"/>
                <w:color w:val="auto"/>
                <w:sz w:val="26"/>
                <w:szCs w:val="26"/>
                <w:highlight w:val="none"/>
                <w:lang w:val="en-US" w:eastAsia="zh-CN"/>
              </w:rPr>
              <w:t>场地平整剥离出的表土用于项目区北侧及东侧填平，可做到挖填平衡，无外弃土石方。</w:t>
            </w:r>
          </w:p>
          <w:p w14:paraId="20159E7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③</w:t>
            </w:r>
            <w:r>
              <w:rPr>
                <w:rFonts w:hint="eastAsia" w:ascii="Times New Roman" w:hAnsi="Times New Roman"/>
                <w:color w:val="auto"/>
                <w:sz w:val="26"/>
                <w:szCs w:val="26"/>
                <w:highlight w:val="none"/>
                <w:vertAlign w:val="baseline"/>
              </w:rPr>
              <w:t>生活垃圾环境影响分析</w:t>
            </w:r>
          </w:p>
          <w:p w14:paraId="3D1C988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本项目施工</w:t>
            </w:r>
            <w:r>
              <w:rPr>
                <w:rFonts w:hint="eastAsia" w:ascii="Times New Roman" w:hAnsi="Times New Roman"/>
                <w:color w:val="auto"/>
                <w:sz w:val="26"/>
                <w:szCs w:val="26"/>
                <w:highlight w:val="none"/>
                <w:vertAlign w:val="baseline"/>
                <w:lang w:val="en-US" w:eastAsia="zh-CN"/>
              </w:rPr>
              <w:t>期</w:t>
            </w:r>
            <w:r>
              <w:rPr>
                <w:rFonts w:hint="eastAsia" w:ascii="Times New Roman" w:hAnsi="Times New Roman"/>
                <w:color w:val="auto"/>
                <w:sz w:val="26"/>
                <w:szCs w:val="26"/>
                <w:highlight w:val="none"/>
                <w:vertAlign w:val="baseline"/>
              </w:rPr>
              <w:t>每日只有少量垃圾产生，每人每天排放0.</w:t>
            </w:r>
            <w:r>
              <w:rPr>
                <w:rFonts w:hint="eastAsia" w:ascii="Times New Roman" w:hAnsi="Times New Roman"/>
                <w:color w:val="auto"/>
                <w:sz w:val="26"/>
                <w:szCs w:val="26"/>
                <w:highlight w:val="none"/>
                <w:vertAlign w:val="baseline"/>
                <w:lang w:val="en-US" w:eastAsia="zh-CN"/>
              </w:rPr>
              <w:t>2</w:t>
            </w:r>
            <w:r>
              <w:rPr>
                <w:rFonts w:hint="eastAsia" w:ascii="Times New Roman" w:hAnsi="Times New Roman"/>
                <w:color w:val="auto"/>
                <w:sz w:val="26"/>
                <w:szCs w:val="26"/>
                <w:highlight w:val="none"/>
                <w:vertAlign w:val="baseline"/>
              </w:rPr>
              <w:t>kg生活垃圾，施工期间将产生大约</w:t>
            </w:r>
            <w:r>
              <w:rPr>
                <w:rFonts w:hint="eastAsia" w:ascii="Times New Roman" w:hAnsi="Times New Roman"/>
                <w:color w:val="auto"/>
                <w:sz w:val="26"/>
                <w:szCs w:val="26"/>
                <w:highlight w:val="none"/>
                <w:vertAlign w:val="baseline"/>
                <w:lang w:val="en-US" w:eastAsia="zh-CN"/>
              </w:rPr>
              <w:t>0.54</w:t>
            </w:r>
            <w:r>
              <w:rPr>
                <w:rFonts w:hint="eastAsia" w:ascii="Times New Roman" w:hAnsi="Times New Roman"/>
                <w:color w:val="auto"/>
                <w:sz w:val="26"/>
                <w:szCs w:val="26"/>
                <w:highlight w:val="none"/>
                <w:vertAlign w:val="baseline"/>
              </w:rPr>
              <w:t>t生活垃圾。施工人员产生的生活垃圾集中收集后</w:t>
            </w:r>
            <w:r>
              <w:rPr>
                <w:rFonts w:hint="eastAsia" w:ascii="Times New Roman" w:hAnsi="Times New Roman"/>
                <w:color w:val="auto"/>
                <w:sz w:val="26"/>
                <w:szCs w:val="26"/>
                <w:highlight w:val="none"/>
                <w:lang w:val="en-US" w:eastAsia="zh-CN"/>
              </w:rPr>
              <w:t>定期清运至环卫部门指定地点</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vertAlign w:val="baseline"/>
              </w:rPr>
              <w:t>对环境影响较小。</w:t>
            </w:r>
          </w:p>
          <w:p w14:paraId="1EF70B4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综上所述，项目施工期固废处置率100%，对环境影响较小。</w:t>
            </w:r>
          </w:p>
          <w:p w14:paraId="342F162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（5）生态影响分析</w:t>
            </w:r>
          </w:p>
          <w:p w14:paraId="726744C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①</w:t>
            </w:r>
            <w:r>
              <w:rPr>
                <w:rFonts w:hint="eastAsia" w:ascii="Times New Roman" w:hAnsi="Times New Roman"/>
                <w:color w:val="auto"/>
                <w:sz w:val="26"/>
                <w:szCs w:val="26"/>
                <w:highlight w:val="none"/>
                <w:vertAlign w:val="baseline"/>
              </w:rPr>
              <w:t>生态环境影响</w:t>
            </w:r>
          </w:p>
          <w:p w14:paraId="56A8D04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据现场调查，项目位于昆明市东川区拖布卡镇大荒地村排子田小组内，</w:t>
            </w:r>
            <w:r>
              <w:rPr>
                <w:rFonts w:hint="eastAsia" w:ascii="Times New Roman" w:hAnsi="Times New Roman"/>
                <w:color w:val="auto"/>
                <w:sz w:val="26"/>
                <w:szCs w:val="26"/>
                <w:highlight w:val="none"/>
                <w:vertAlign w:val="baseline"/>
                <w:lang w:val="en-US" w:eastAsia="zh-CN"/>
              </w:rPr>
              <w:t>项目区拟建场地主要为砂石地，有少量草本植物存在，</w:t>
            </w:r>
            <w:r>
              <w:rPr>
                <w:rFonts w:hint="eastAsia" w:ascii="Times New Roman" w:hAnsi="Times New Roman"/>
                <w:color w:val="auto"/>
                <w:sz w:val="26"/>
                <w:szCs w:val="26"/>
                <w:highlight w:val="none"/>
                <w:vertAlign w:val="baseline"/>
              </w:rPr>
              <w:t>不属于生态环境敏感地区，没有受保护的动植被</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本项目建设期主要是平整场地及安装设备，平整场地时会对项目区草本植物、土地有影响，但平整场地是只是影响了草本植物的数量，且项目区草本数量较少，草本植物生命力顽强，待施工结束后，草本植物会再次生长，故</w:t>
            </w:r>
            <w:r>
              <w:rPr>
                <w:rFonts w:hint="eastAsia" w:ascii="Times New Roman" w:hAnsi="Times New Roman"/>
                <w:color w:val="auto"/>
                <w:sz w:val="26"/>
                <w:szCs w:val="26"/>
                <w:highlight w:val="none"/>
                <w:vertAlign w:val="baseline"/>
              </w:rPr>
              <w:t>对植被的影响总体影响较小。</w:t>
            </w:r>
          </w:p>
          <w:p w14:paraId="27888D49">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val="en-US" w:eastAsia="zh-CN"/>
              </w:rPr>
              <w:t>项目所在区域为荒土地，植被覆盖度极低，无野生动物、国家或省级保护动物，仅存在常见的鸟类、小型爬行动物，例如：麻雀、家燕、蛇等。</w:t>
            </w:r>
          </w:p>
          <w:p w14:paraId="16E612D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val="en-US" w:eastAsia="zh-CN"/>
              </w:rPr>
              <w:t>项目区目前地表全是砂石，无农田、耕地等，建设时清运走堆存的砂石料后利用场地上的砂石平整场地，不会改变土地利用类型，故本项目的建设期对土地类型影响较小。</w:t>
            </w:r>
          </w:p>
          <w:p w14:paraId="5DEB244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②</w:t>
            </w:r>
            <w:r>
              <w:rPr>
                <w:rFonts w:hint="eastAsia" w:ascii="Times New Roman" w:hAnsi="Times New Roman"/>
                <w:color w:val="auto"/>
                <w:sz w:val="26"/>
                <w:szCs w:val="26"/>
                <w:highlight w:val="none"/>
                <w:vertAlign w:val="baseline"/>
              </w:rPr>
              <w:t>水土流失防治措施</w:t>
            </w:r>
          </w:p>
          <w:p w14:paraId="438FF86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施工期对生态环境的影响主要表现为水体流失影响。施工过程由于扰动表土结构，产生大量的裸露地面和疏松土体，土壤抗蚀能力降低，地表裸露，在地表径流的作用下，可能造成水土流失。在降雨季节，地表土壤将受到冲刷，建设过程中扰动地表造成的水土流失。根据工程的平面设计及工程所导致的水土流失特点采取如下措施进行防治：</w:t>
            </w:r>
          </w:p>
          <w:p w14:paraId="57E31BC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1）</w:t>
            </w:r>
            <w:r>
              <w:rPr>
                <w:rFonts w:hint="eastAsia" w:ascii="Times New Roman" w:hAnsi="Times New Roman"/>
                <w:color w:val="auto"/>
                <w:sz w:val="26"/>
                <w:szCs w:val="26"/>
                <w:highlight w:val="none"/>
                <w:vertAlign w:val="baseline"/>
              </w:rPr>
              <w:t>在本工程用地区外围修建围墙，以确保施工所引起的水土流失不流出项目的防治范围；</w:t>
            </w:r>
          </w:p>
          <w:p w14:paraId="483BC85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2）</w:t>
            </w:r>
            <w:r>
              <w:rPr>
                <w:rFonts w:hint="eastAsia" w:ascii="Times New Roman" w:hAnsi="Times New Roman"/>
                <w:color w:val="auto"/>
                <w:sz w:val="26"/>
                <w:szCs w:val="26"/>
                <w:highlight w:val="none"/>
                <w:vertAlign w:val="baseline"/>
              </w:rPr>
              <w:t>对于施工产生的建筑垃圾，应选择合适的堆场，并采取覆盖措施，避免造成植被破坏和水土流失；</w:t>
            </w:r>
          </w:p>
          <w:p w14:paraId="55DD160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3）</w:t>
            </w:r>
            <w:r>
              <w:rPr>
                <w:rFonts w:hint="eastAsia" w:ascii="Times New Roman" w:hAnsi="Times New Roman"/>
                <w:color w:val="auto"/>
                <w:sz w:val="26"/>
                <w:szCs w:val="26"/>
                <w:highlight w:val="none"/>
                <w:vertAlign w:val="baseline"/>
              </w:rPr>
              <w:t>在土方场地平整后，围墙建设的同时，对道路、堆场等地点进行硬化措施，既起到防治水土流失的目的，也方便后期施工；</w:t>
            </w:r>
          </w:p>
          <w:p w14:paraId="0536D54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4）</w:t>
            </w:r>
            <w:r>
              <w:rPr>
                <w:rFonts w:hint="eastAsia" w:ascii="Times New Roman" w:hAnsi="Times New Roman"/>
                <w:color w:val="auto"/>
                <w:sz w:val="26"/>
                <w:szCs w:val="26"/>
                <w:highlight w:val="none"/>
                <w:vertAlign w:val="baseline"/>
              </w:rPr>
              <w:t>主体工程的土方填筑结束后，立即对绿化区回填表土植种草木，项目区建成后尽快恢复恢复周围受影响的植被，做好项目区内的绿化规划；</w:t>
            </w:r>
          </w:p>
          <w:p w14:paraId="25CF276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5）</w:t>
            </w:r>
            <w:r>
              <w:rPr>
                <w:rFonts w:hint="eastAsia" w:ascii="Times New Roman" w:hAnsi="Times New Roman"/>
                <w:color w:val="auto"/>
                <w:sz w:val="26"/>
                <w:szCs w:val="26"/>
                <w:highlight w:val="none"/>
                <w:vertAlign w:val="baseline"/>
              </w:rPr>
              <w:t>水土保持方案与工程主体建设同步，边施工边治理，把水土流失降到最低程度。</w:t>
            </w:r>
          </w:p>
          <w:p w14:paraId="3339F323">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lang w:val="en-US" w:eastAsia="zh-CN"/>
              </w:rPr>
            </w:pPr>
            <w:r>
              <w:rPr>
                <w:rFonts w:hint="eastAsia"/>
                <w:b/>
                <w:bCs/>
                <w:color w:val="auto"/>
                <w:sz w:val="26"/>
                <w:szCs w:val="26"/>
                <w:highlight w:val="none"/>
                <w:lang w:val="en-US" w:eastAsia="zh-CN"/>
              </w:rPr>
              <w:t>2</w:t>
            </w:r>
            <w:r>
              <w:rPr>
                <w:rFonts w:hint="eastAsia" w:ascii="Times New Roman" w:hAnsi="Times New Roman"/>
                <w:b/>
                <w:bCs/>
                <w:color w:val="auto"/>
                <w:sz w:val="26"/>
                <w:szCs w:val="26"/>
                <w:highlight w:val="none"/>
                <w:lang w:val="en-US" w:eastAsia="zh-CN"/>
              </w:rPr>
              <w:t>、</w:t>
            </w:r>
            <w:r>
              <w:rPr>
                <w:rFonts w:hint="eastAsia"/>
                <w:b/>
                <w:bCs/>
                <w:color w:val="auto"/>
                <w:sz w:val="26"/>
                <w:szCs w:val="26"/>
                <w:highlight w:val="none"/>
                <w:lang w:val="en-US" w:eastAsia="zh-CN"/>
              </w:rPr>
              <w:t>运营</w:t>
            </w:r>
            <w:r>
              <w:rPr>
                <w:rFonts w:hint="eastAsia" w:ascii="Times New Roman" w:hAnsi="Times New Roman"/>
                <w:b/>
                <w:bCs/>
                <w:color w:val="auto"/>
                <w:sz w:val="26"/>
                <w:szCs w:val="26"/>
                <w:highlight w:val="none"/>
                <w:lang w:val="en-US" w:eastAsia="zh-CN"/>
              </w:rPr>
              <w:t>环境影响分析</w:t>
            </w:r>
          </w:p>
          <w:p w14:paraId="4B5CBA0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vertAlign w:val="baseline"/>
                <w:lang w:val="en-US" w:eastAsia="zh-CN"/>
              </w:rPr>
            </w:pP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1</w:t>
            </w: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废气影响分析</w:t>
            </w:r>
          </w:p>
          <w:p w14:paraId="782F83F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宋体" w:hAnsi="宋体" w:eastAsia="宋体" w:cs="宋体"/>
                <w:color w:val="auto"/>
                <w:sz w:val="26"/>
                <w:szCs w:val="26"/>
                <w:highlight w:val="none"/>
                <w:vertAlign w:val="baseline"/>
              </w:rPr>
              <w:t>①</w:t>
            </w:r>
            <w:r>
              <w:rPr>
                <w:rFonts w:hint="eastAsia" w:ascii="宋体" w:hAnsi="宋体" w:eastAsia="宋体" w:cs="宋体"/>
                <w:color w:val="auto"/>
                <w:sz w:val="26"/>
                <w:szCs w:val="26"/>
                <w:highlight w:val="none"/>
                <w:vertAlign w:val="baseline"/>
                <w:lang w:val="en-US" w:eastAsia="zh-CN"/>
              </w:rPr>
              <w:t>污染源源强</w:t>
            </w:r>
          </w:p>
          <w:p w14:paraId="106B0F7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根据《大气环境影响评价技术导则》(HJ2. 2-2008)，对建设项目无组织排放的主要废气(粉尘)进行预测。根据本矿山开采的无组织废气污染特征，主要是日常开采作业期间包括</w:t>
            </w:r>
            <w:r>
              <w:rPr>
                <w:rFonts w:hint="eastAsia" w:ascii="Times New Roman" w:hAnsi="Times New Roman"/>
                <w:color w:val="auto"/>
                <w:sz w:val="26"/>
                <w:szCs w:val="26"/>
                <w:highlight w:val="none"/>
              </w:rPr>
              <w:t>钻孔凿岩</w:t>
            </w:r>
            <w:r>
              <w:rPr>
                <w:rFonts w:hint="eastAsia" w:ascii="Times New Roman" w:hAnsi="Times New Roman"/>
                <w:color w:val="auto"/>
                <w:sz w:val="26"/>
                <w:szCs w:val="26"/>
                <w:highlight w:val="none"/>
                <w:vertAlign w:val="baseline"/>
              </w:rPr>
              <w:t>、采装</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成品堆料场、运输</w:t>
            </w:r>
            <w:r>
              <w:rPr>
                <w:rFonts w:hint="eastAsia" w:ascii="Times New Roman" w:hAnsi="Times New Roman"/>
                <w:color w:val="auto"/>
                <w:sz w:val="26"/>
                <w:szCs w:val="26"/>
                <w:highlight w:val="none"/>
                <w:vertAlign w:val="baseline"/>
              </w:rPr>
              <w:t>等产生的无组织粉尘</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凿岩粉尘、装卸作业粉尘排放源位置根据矿山开采方式和开采进度会发生改变</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本环评对这两类粉尘进行合并计算以简化分析</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本项目两块场地的堆料场排放量、面源相同，本次以1号破碎场堆料场粉尘排放量为代表预测</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破碎站采用全过程密闭，设置全密闭的</w:t>
            </w:r>
            <w:r>
              <w:rPr>
                <w:rFonts w:hint="eastAsia" w:ascii="Times New Roman" w:hAnsi="Times New Roman"/>
                <w:color w:val="auto"/>
                <w:sz w:val="26"/>
                <w:szCs w:val="26"/>
                <w:highlight w:val="none"/>
                <w:vertAlign w:val="baseline"/>
                <w:lang w:val="en-US" w:eastAsia="zh-CN"/>
              </w:rPr>
              <w:t>布袋除尘器</w:t>
            </w:r>
            <w:r>
              <w:rPr>
                <w:rFonts w:hint="eastAsia" w:ascii="Times New Roman" w:hAnsi="Times New Roman"/>
                <w:color w:val="auto"/>
                <w:sz w:val="26"/>
                <w:szCs w:val="26"/>
                <w:highlight w:val="none"/>
                <w:vertAlign w:val="baseline"/>
              </w:rPr>
              <w:t>收集粉尘，经布袋除尘器处理后经15m排气筒</w:t>
            </w:r>
            <w:r>
              <w:rPr>
                <w:rFonts w:hint="eastAsia" w:ascii="Times New Roman" w:hAnsi="Times New Roman"/>
                <w:color w:val="auto"/>
                <w:sz w:val="26"/>
                <w:szCs w:val="26"/>
                <w:highlight w:val="none"/>
                <w:vertAlign w:val="baseline"/>
                <w:lang w:val="en-US" w:eastAsia="zh-CN"/>
              </w:rPr>
              <w:t>有组织</w:t>
            </w:r>
            <w:r>
              <w:rPr>
                <w:rFonts w:hint="eastAsia" w:ascii="Times New Roman" w:hAnsi="Times New Roman"/>
                <w:color w:val="auto"/>
                <w:sz w:val="26"/>
                <w:szCs w:val="26"/>
                <w:highlight w:val="none"/>
                <w:vertAlign w:val="baseline"/>
              </w:rPr>
              <w:t>排放</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本项目设有2套布袋除尘器，其风量、内径、高度安装为一样的，故本次以1号破碎场地有组织排放为代表预测</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大气环境防护距离根据评价导则要求采用推荐模式计算，相关预测参数的取值如下表。</w:t>
            </w:r>
          </w:p>
          <w:p w14:paraId="67D6DA55">
            <w:pPr>
              <w:keepNext w:val="0"/>
              <w:keepLines w:val="0"/>
              <w:pageBreakBefore w:val="0"/>
              <w:widowControl w:val="0"/>
              <w:kinsoku/>
              <w:wordWrap/>
              <w:overflowPunct/>
              <w:topLinePunct w:val="0"/>
              <w:autoSpaceDE/>
              <w:autoSpaceDN/>
              <w:bidi w:val="0"/>
              <w:adjustRightInd/>
              <w:snapToGrid/>
              <w:spacing w:line="480" w:lineRule="exact"/>
              <w:ind w:left="0" w:right="0" w:firstLine="310" w:firstLineChars="200"/>
              <w:jc w:val="center"/>
              <w:textAlignment w:val="auto"/>
              <w:rPr>
                <w:b/>
                <w:color w:val="auto"/>
                <w:sz w:val="21"/>
                <w:highlight w:val="none"/>
              </w:rPr>
            </w:pPr>
            <w:r>
              <w:rPr>
                <w:b/>
                <w:color w:val="auto"/>
                <w:spacing w:val="-28"/>
                <w:sz w:val="21"/>
                <w:highlight w:val="none"/>
              </w:rPr>
              <w:t>表</w:t>
            </w:r>
            <w:r>
              <w:rPr>
                <w:rFonts w:hint="eastAsia"/>
                <w:b/>
                <w:color w:val="auto"/>
                <w:spacing w:val="-28"/>
                <w:sz w:val="21"/>
                <w:highlight w:val="none"/>
                <w:lang w:val="en-US" w:eastAsia="zh-CN"/>
              </w:rPr>
              <w:t>7-2</w:t>
            </w:r>
            <w:r>
              <w:rPr>
                <w:rFonts w:ascii="Times New Roman" w:eastAsia="Times New Roman"/>
                <w:b/>
                <w:color w:val="auto"/>
                <w:spacing w:val="52"/>
                <w:sz w:val="21"/>
                <w:highlight w:val="none"/>
              </w:rPr>
              <w:t xml:space="preserve"> </w:t>
            </w:r>
            <w:r>
              <w:rPr>
                <w:b/>
                <w:color w:val="auto"/>
                <w:sz w:val="21"/>
                <w:highlight w:val="none"/>
              </w:rPr>
              <w:t>无组织</w:t>
            </w:r>
            <w:r>
              <w:rPr>
                <w:rFonts w:hint="eastAsia"/>
                <w:b/>
                <w:color w:val="auto"/>
                <w:sz w:val="21"/>
                <w:highlight w:val="none"/>
                <w:lang w:val="en-US" w:eastAsia="zh-CN"/>
              </w:rPr>
              <w:t>气体</w:t>
            </w:r>
            <w:r>
              <w:rPr>
                <w:b/>
                <w:color w:val="auto"/>
                <w:sz w:val="21"/>
                <w:highlight w:val="none"/>
              </w:rPr>
              <w:t>参数调查清单</w:t>
            </w: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0"/>
              <w:gridCol w:w="994"/>
              <w:gridCol w:w="1037"/>
              <w:gridCol w:w="1407"/>
              <w:gridCol w:w="1115"/>
              <w:gridCol w:w="1420"/>
            </w:tblGrid>
            <w:tr w14:paraId="189F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398" w:type="pct"/>
                  <w:vMerge w:val="restart"/>
                  <w:vAlign w:val="center"/>
                </w:tcPr>
                <w:p w14:paraId="611CAE1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污染源名称</w:t>
                  </w:r>
                </w:p>
              </w:tc>
              <w:tc>
                <w:tcPr>
                  <w:tcW w:w="599" w:type="pct"/>
                  <w:vMerge w:val="restart"/>
                  <w:vAlign w:val="center"/>
                </w:tcPr>
                <w:p w14:paraId="79A0729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污染物</w:t>
                  </w:r>
                </w:p>
              </w:tc>
              <w:tc>
                <w:tcPr>
                  <w:tcW w:w="2145" w:type="pct"/>
                  <w:gridSpan w:val="3"/>
                  <w:vAlign w:val="center"/>
                </w:tcPr>
                <w:p w14:paraId="5370E94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矩形面源</w:t>
                  </w:r>
                </w:p>
              </w:tc>
              <w:tc>
                <w:tcPr>
                  <w:tcW w:w="855" w:type="pct"/>
                  <w:vMerge w:val="restart"/>
                  <w:vAlign w:val="center"/>
                </w:tcPr>
                <w:p w14:paraId="7AD30AD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排放速率</w:t>
                  </w:r>
                  <w:r>
                    <w:rPr>
                      <w:rFonts w:hint="eastAsia" w:ascii="Times New Roman" w:hAnsi="Times New Roman" w:eastAsia="宋体" w:cs="Times New Roman"/>
                      <w:b w:val="0"/>
                      <w:color w:val="auto"/>
                      <w:sz w:val="22"/>
                      <w:szCs w:val="22"/>
                      <w:highlight w:val="none"/>
                      <w:lang w:eastAsia="zh-CN"/>
                    </w:rPr>
                    <w:t>（</w:t>
                  </w:r>
                  <w:r>
                    <w:rPr>
                      <w:rFonts w:hint="eastAsia" w:ascii="Times New Roman" w:hAnsi="Times New Roman" w:eastAsia="宋体" w:cs="Times New Roman"/>
                      <w:b w:val="0"/>
                      <w:color w:val="auto"/>
                      <w:sz w:val="22"/>
                      <w:szCs w:val="22"/>
                      <w:highlight w:val="none"/>
                      <w:lang w:val="en-US" w:eastAsia="zh-CN"/>
                    </w:rPr>
                    <w:t>kg/h</w:t>
                  </w:r>
                  <w:r>
                    <w:rPr>
                      <w:rFonts w:hint="eastAsia" w:ascii="Times New Roman" w:hAnsi="Times New Roman" w:eastAsia="宋体" w:cs="Times New Roman"/>
                      <w:b w:val="0"/>
                      <w:color w:val="auto"/>
                      <w:sz w:val="22"/>
                      <w:szCs w:val="22"/>
                      <w:highlight w:val="none"/>
                      <w:lang w:eastAsia="zh-CN"/>
                    </w:rPr>
                    <w:t>）</w:t>
                  </w:r>
                </w:p>
              </w:tc>
            </w:tr>
            <w:tr w14:paraId="0BF3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398" w:type="pct"/>
                  <w:vMerge w:val="continue"/>
                  <w:tcBorders>
                    <w:top w:val="nil"/>
                  </w:tcBorders>
                  <w:vAlign w:val="center"/>
                </w:tcPr>
                <w:p w14:paraId="20D63B84">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c>
                <w:tcPr>
                  <w:tcW w:w="599" w:type="pct"/>
                  <w:vMerge w:val="continue"/>
                  <w:vAlign w:val="center"/>
                </w:tcPr>
                <w:p w14:paraId="6736EAED">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c>
                <w:tcPr>
                  <w:tcW w:w="625" w:type="pct"/>
                  <w:vAlign w:val="center"/>
                </w:tcPr>
                <w:p w14:paraId="528251F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长度(m)</w:t>
                  </w:r>
                </w:p>
              </w:tc>
              <w:tc>
                <w:tcPr>
                  <w:tcW w:w="848" w:type="pct"/>
                  <w:vAlign w:val="center"/>
                </w:tcPr>
                <w:p w14:paraId="4D51772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宽度(m)</w:t>
                  </w:r>
                </w:p>
              </w:tc>
              <w:tc>
                <w:tcPr>
                  <w:tcW w:w="672" w:type="pct"/>
                  <w:vAlign w:val="center"/>
                </w:tcPr>
                <w:p w14:paraId="622FBE3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有效高度(m)</w:t>
                  </w:r>
                </w:p>
              </w:tc>
              <w:tc>
                <w:tcPr>
                  <w:tcW w:w="855" w:type="pct"/>
                  <w:vMerge w:val="continue"/>
                  <w:tcBorders>
                    <w:top w:val="nil"/>
                  </w:tcBorders>
                  <w:vAlign w:val="center"/>
                </w:tcPr>
                <w:p w14:paraId="4FFF8331">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r>
            <w:tr w14:paraId="7181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398" w:type="pct"/>
                  <w:vAlign w:val="center"/>
                </w:tcPr>
                <w:p w14:paraId="00346FD4">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钻孔、装卸粉尘</w:t>
                  </w:r>
                </w:p>
              </w:tc>
              <w:tc>
                <w:tcPr>
                  <w:tcW w:w="599" w:type="pct"/>
                  <w:vAlign w:val="center"/>
                </w:tcPr>
                <w:p w14:paraId="76D16010">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TSP</w:t>
                  </w:r>
                </w:p>
              </w:tc>
              <w:tc>
                <w:tcPr>
                  <w:tcW w:w="625" w:type="pct"/>
                  <w:vAlign w:val="center"/>
                </w:tcPr>
                <w:p w14:paraId="7C4E807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20</w:t>
                  </w:r>
                </w:p>
              </w:tc>
              <w:tc>
                <w:tcPr>
                  <w:tcW w:w="848" w:type="pct"/>
                  <w:vAlign w:val="center"/>
                </w:tcPr>
                <w:p w14:paraId="53CC3E1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10</w:t>
                  </w:r>
                </w:p>
              </w:tc>
              <w:tc>
                <w:tcPr>
                  <w:tcW w:w="672" w:type="pct"/>
                  <w:vAlign w:val="center"/>
                </w:tcPr>
                <w:p w14:paraId="260F8A2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10</w:t>
                  </w:r>
                </w:p>
              </w:tc>
              <w:tc>
                <w:tcPr>
                  <w:tcW w:w="855" w:type="pct"/>
                  <w:vAlign w:val="center"/>
                </w:tcPr>
                <w:p w14:paraId="0D9D852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0.05</w:t>
                  </w:r>
                  <w:r>
                    <w:rPr>
                      <w:rFonts w:hint="eastAsia" w:ascii="Times New Roman" w:hAnsi="Times New Roman" w:cs="Times New Roman"/>
                      <w:b w:val="0"/>
                      <w:color w:val="auto"/>
                      <w:sz w:val="22"/>
                      <w:szCs w:val="22"/>
                      <w:highlight w:val="none"/>
                      <w:lang w:val="en-US" w:eastAsia="zh-CN"/>
                    </w:rPr>
                    <w:t>02</w:t>
                  </w:r>
                </w:p>
              </w:tc>
            </w:tr>
            <w:tr w14:paraId="1703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1398" w:type="pct"/>
                  <w:vAlign w:val="center"/>
                </w:tcPr>
                <w:p w14:paraId="7143691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w w:val="100"/>
                      <w:sz w:val="22"/>
                      <w:szCs w:val="22"/>
                      <w:highlight w:val="none"/>
                      <w:lang w:val="en-US" w:eastAsia="zh-CN"/>
                    </w:rPr>
                  </w:pPr>
                  <w:r>
                    <w:rPr>
                      <w:rFonts w:hint="eastAsia" w:ascii="Times New Roman" w:hAnsi="Times New Roman" w:cs="Times New Roman"/>
                      <w:b w:val="0"/>
                      <w:color w:val="auto"/>
                      <w:w w:val="100"/>
                      <w:sz w:val="22"/>
                      <w:szCs w:val="22"/>
                      <w:highlight w:val="none"/>
                      <w:lang w:val="en-US" w:eastAsia="zh-CN"/>
                    </w:rPr>
                    <w:t>1号破碎场地堆场粉尘</w:t>
                  </w:r>
                </w:p>
              </w:tc>
              <w:tc>
                <w:tcPr>
                  <w:tcW w:w="599" w:type="pct"/>
                  <w:vAlign w:val="center"/>
                </w:tcPr>
                <w:p w14:paraId="37D51DEA">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hint="eastAsia" w:ascii="Times New Roman" w:hAnsi="Times New Roman" w:cs="Times New Roman"/>
                      <w:b w:val="0"/>
                      <w:color w:val="auto"/>
                      <w:sz w:val="22"/>
                      <w:szCs w:val="22"/>
                      <w:highlight w:val="none"/>
                      <w:lang w:val="en-US" w:eastAsia="zh-CN"/>
                    </w:rPr>
                    <w:t>TSP</w:t>
                  </w:r>
                </w:p>
              </w:tc>
              <w:tc>
                <w:tcPr>
                  <w:tcW w:w="625" w:type="pct"/>
                  <w:vAlign w:val="center"/>
                </w:tcPr>
                <w:p w14:paraId="58FE63AD">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30</w:t>
                  </w:r>
                </w:p>
              </w:tc>
              <w:tc>
                <w:tcPr>
                  <w:tcW w:w="848" w:type="pct"/>
                  <w:vAlign w:val="center"/>
                </w:tcPr>
                <w:p w14:paraId="7F1D5D0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10</w:t>
                  </w:r>
                </w:p>
              </w:tc>
              <w:tc>
                <w:tcPr>
                  <w:tcW w:w="672" w:type="pct"/>
                  <w:vAlign w:val="center"/>
                </w:tcPr>
                <w:p w14:paraId="4B33443C">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5</w:t>
                  </w:r>
                </w:p>
              </w:tc>
              <w:tc>
                <w:tcPr>
                  <w:tcW w:w="855" w:type="pct"/>
                  <w:vAlign w:val="center"/>
                </w:tcPr>
                <w:p w14:paraId="3349FC75">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cs="Times New Roman"/>
                      <w:b w:val="0"/>
                      <w:color w:val="auto"/>
                      <w:sz w:val="22"/>
                      <w:szCs w:val="22"/>
                      <w:highlight w:val="none"/>
                      <w:lang w:val="en-US" w:eastAsia="zh-CN"/>
                    </w:rPr>
                  </w:pPr>
                  <w:r>
                    <w:rPr>
                      <w:rFonts w:hint="eastAsia" w:ascii="Times New Roman" w:cs="Times New Roman"/>
                      <w:b w:val="0"/>
                      <w:color w:val="auto"/>
                      <w:sz w:val="22"/>
                      <w:szCs w:val="22"/>
                      <w:highlight w:val="none"/>
                      <w:lang w:val="en-US" w:eastAsia="zh-CN"/>
                    </w:rPr>
                    <w:t>0.0099</w:t>
                  </w:r>
                </w:p>
              </w:tc>
            </w:tr>
            <w:tr w14:paraId="5FEF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1398" w:type="pct"/>
                  <w:vAlign w:val="center"/>
                </w:tcPr>
                <w:p w14:paraId="4B3A4C7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cs="Times New Roman"/>
                      <w:b w:val="0"/>
                      <w:color w:val="auto"/>
                      <w:w w:val="100"/>
                      <w:sz w:val="22"/>
                      <w:szCs w:val="22"/>
                      <w:highlight w:val="none"/>
                      <w:lang w:val="en-US" w:eastAsia="zh-CN"/>
                    </w:rPr>
                  </w:pPr>
                  <w:r>
                    <w:rPr>
                      <w:rFonts w:hint="eastAsia" w:ascii="Times New Roman" w:hAnsi="Times New Roman" w:cs="Times New Roman"/>
                      <w:b w:val="0"/>
                      <w:color w:val="auto"/>
                      <w:w w:val="100"/>
                      <w:sz w:val="22"/>
                      <w:szCs w:val="22"/>
                      <w:highlight w:val="none"/>
                      <w:lang w:val="en-US" w:eastAsia="zh-CN"/>
                    </w:rPr>
                    <w:t>1号破碎场地破碎加工无组织粉尘</w:t>
                  </w:r>
                </w:p>
              </w:tc>
              <w:tc>
                <w:tcPr>
                  <w:tcW w:w="599" w:type="pct"/>
                  <w:vAlign w:val="center"/>
                </w:tcPr>
                <w:p w14:paraId="698F3691">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TSP</w:t>
                  </w:r>
                </w:p>
              </w:tc>
              <w:tc>
                <w:tcPr>
                  <w:tcW w:w="625" w:type="pct"/>
                  <w:vAlign w:val="center"/>
                </w:tcPr>
                <w:p w14:paraId="42E57F1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40</w:t>
                  </w:r>
                </w:p>
              </w:tc>
              <w:tc>
                <w:tcPr>
                  <w:tcW w:w="848" w:type="pct"/>
                  <w:vAlign w:val="center"/>
                </w:tcPr>
                <w:p w14:paraId="545C67B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10</w:t>
                  </w:r>
                </w:p>
              </w:tc>
              <w:tc>
                <w:tcPr>
                  <w:tcW w:w="672" w:type="pct"/>
                  <w:vAlign w:val="center"/>
                </w:tcPr>
                <w:p w14:paraId="70C5225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10</w:t>
                  </w:r>
                </w:p>
              </w:tc>
              <w:tc>
                <w:tcPr>
                  <w:tcW w:w="855" w:type="pct"/>
                  <w:vAlign w:val="center"/>
                </w:tcPr>
                <w:p w14:paraId="12E71D1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cs="Times New Roman"/>
                      <w:b w:val="0"/>
                      <w:color w:val="auto"/>
                      <w:sz w:val="22"/>
                      <w:szCs w:val="22"/>
                      <w:highlight w:val="none"/>
                      <w:lang w:val="en-US" w:eastAsia="zh-CN"/>
                    </w:rPr>
                  </w:pPr>
                  <w:r>
                    <w:rPr>
                      <w:rFonts w:hint="eastAsia" w:ascii="Times New Roman" w:cs="Times New Roman"/>
                      <w:b w:val="0"/>
                      <w:color w:val="auto"/>
                      <w:sz w:val="22"/>
                      <w:szCs w:val="22"/>
                      <w:highlight w:val="none"/>
                      <w:lang w:val="en-US" w:eastAsia="zh-CN"/>
                    </w:rPr>
                    <w:t>0.0618</w:t>
                  </w:r>
                </w:p>
              </w:tc>
            </w:tr>
          </w:tbl>
          <w:p w14:paraId="05E86196">
            <w:pPr>
              <w:keepNext w:val="0"/>
              <w:keepLines w:val="0"/>
              <w:pageBreakBefore w:val="0"/>
              <w:widowControl w:val="0"/>
              <w:kinsoku/>
              <w:wordWrap/>
              <w:overflowPunct/>
              <w:topLinePunct w:val="0"/>
              <w:autoSpaceDE/>
              <w:autoSpaceDN/>
              <w:bidi w:val="0"/>
              <w:adjustRightInd/>
              <w:snapToGrid/>
              <w:spacing w:line="480" w:lineRule="exact"/>
              <w:ind w:left="0" w:right="0" w:firstLine="310" w:firstLineChars="200"/>
              <w:jc w:val="center"/>
              <w:textAlignment w:val="auto"/>
              <w:rPr>
                <w:b/>
                <w:color w:val="auto"/>
                <w:sz w:val="21"/>
                <w:highlight w:val="none"/>
              </w:rPr>
            </w:pPr>
            <w:r>
              <w:rPr>
                <w:b/>
                <w:color w:val="auto"/>
                <w:spacing w:val="-28"/>
                <w:sz w:val="21"/>
                <w:highlight w:val="none"/>
              </w:rPr>
              <w:t>表</w:t>
            </w:r>
            <w:r>
              <w:rPr>
                <w:rFonts w:hint="eastAsia"/>
                <w:b/>
                <w:color w:val="auto"/>
                <w:spacing w:val="-28"/>
                <w:sz w:val="21"/>
                <w:highlight w:val="none"/>
                <w:lang w:val="en-US" w:eastAsia="zh-CN"/>
              </w:rPr>
              <w:t>7-3</w:t>
            </w:r>
            <w:r>
              <w:rPr>
                <w:rFonts w:ascii="Times New Roman" w:eastAsia="Times New Roman"/>
                <w:b/>
                <w:color w:val="auto"/>
                <w:spacing w:val="52"/>
                <w:sz w:val="21"/>
                <w:highlight w:val="none"/>
              </w:rPr>
              <w:t xml:space="preserve"> </w:t>
            </w:r>
            <w:r>
              <w:rPr>
                <w:rFonts w:hint="eastAsia" w:eastAsia="宋体"/>
                <w:b/>
                <w:color w:val="auto"/>
                <w:sz w:val="21"/>
                <w:highlight w:val="none"/>
                <w:lang w:val="en-US" w:eastAsia="zh-CN"/>
              </w:rPr>
              <w:t>有</w:t>
            </w:r>
            <w:r>
              <w:rPr>
                <w:b/>
                <w:color w:val="auto"/>
                <w:sz w:val="21"/>
                <w:highlight w:val="none"/>
              </w:rPr>
              <w:t>组织</w:t>
            </w:r>
            <w:r>
              <w:rPr>
                <w:rFonts w:hint="eastAsia"/>
                <w:b/>
                <w:color w:val="auto"/>
                <w:sz w:val="21"/>
                <w:highlight w:val="none"/>
                <w:lang w:val="en-US" w:eastAsia="zh-CN"/>
              </w:rPr>
              <w:t>气体</w:t>
            </w:r>
            <w:r>
              <w:rPr>
                <w:b/>
                <w:color w:val="auto"/>
                <w:sz w:val="21"/>
                <w:highlight w:val="none"/>
              </w:rPr>
              <w:t>参数调查清单</w:t>
            </w:r>
          </w:p>
          <w:tbl>
            <w:tblPr>
              <w:tblStyle w:val="22"/>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17"/>
              <w:gridCol w:w="640"/>
              <w:gridCol w:w="1302"/>
              <w:gridCol w:w="826"/>
              <w:gridCol w:w="1439"/>
              <w:gridCol w:w="1084"/>
              <w:gridCol w:w="796"/>
              <w:gridCol w:w="884"/>
            </w:tblGrid>
            <w:tr w14:paraId="3C21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94" w:type="pct"/>
                  <w:vMerge w:val="restart"/>
                  <w:vAlign w:val="center"/>
                </w:tcPr>
                <w:p w14:paraId="62104F9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污染源名称</w:t>
                  </w:r>
                </w:p>
              </w:tc>
              <w:tc>
                <w:tcPr>
                  <w:tcW w:w="386" w:type="pct"/>
                  <w:vMerge w:val="restart"/>
                  <w:vAlign w:val="center"/>
                </w:tcPr>
                <w:p w14:paraId="3946FED3">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污染物</w:t>
                  </w:r>
                </w:p>
              </w:tc>
              <w:tc>
                <w:tcPr>
                  <w:tcW w:w="785" w:type="pct"/>
                  <w:vAlign w:val="center"/>
                </w:tcPr>
                <w:p w14:paraId="75977CCF">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废气量m</w:t>
                  </w:r>
                  <w:r>
                    <w:rPr>
                      <w:rFonts w:hint="eastAsia" w:ascii="Times New Roman" w:hAnsi="Times New Roman" w:eastAsia="宋体" w:cs="Times New Roman"/>
                      <w:b w:val="0"/>
                      <w:color w:val="auto"/>
                      <w:sz w:val="22"/>
                      <w:szCs w:val="22"/>
                      <w:highlight w:val="none"/>
                      <w:vertAlign w:val="superscript"/>
                      <w:lang w:val="en-US" w:eastAsia="zh-CN"/>
                    </w:rPr>
                    <w:t>3</w:t>
                  </w:r>
                  <w:r>
                    <w:rPr>
                      <w:rFonts w:hint="eastAsia" w:ascii="Times New Roman" w:hAnsi="Times New Roman" w:eastAsia="宋体" w:cs="Times New Roman"/>
                      <w:b w:val="0"/>
                      <w:color w:val="auto"/>
                      <w:sz w:val="22"/>
                      <w:szCs w:val="22"/>
                      <w:highlight w:val="none"/>
                      <w:lang w:val="en-US" w:eastAsia="zh-CN"/>
                    </w:rPr>
                    <w:t>/h</w:t>
                  </w:r>
                </w:p>
              </w:tc>
              <w:tc>
                <w:tcPr>
                  <w:tcW w:w="2020" w:type="pct"/>
                  <w:gridSpan w:val="3"/>
                  <w:vAlign w:val="center"/>
                </w:tcPr>
                <w:p w14:paraId="028FE20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lang w:val="en-US" w:eastAsia="zh-CN"/>
                    </w:rPr>
                    <w:t>点</w:t>
                  </w:r>
                  <w:r>
                    <w:rPr>
                      <w:rFonts w:ascii="Times New Roman" w:hAnsi="Times New Roman" w:eastAsia="宋体" w:cs="Times New Roman"/>
                      <w:b w:val="0"/>
                      <w:color w:val="auto"/>
                      <w:sz w:val="22"/>
                      <w:szCs w:val="22"/>
                      <w:highlight w:val="none"/>
                    </w:rPr>
                    <w:t>源</w:t>
                  </w:r>
                </w:p>
              </w:tc>
              <w:tc>
                <w:tcPr>
                  <w:tcW w:w="480" w:type="pct"/>
                  <w:vMerge w:val="restart"/>
                  <w:vAlign w:val="center"/>
                </w:tcPr>
                <w:p w14:paraId="09E275FD">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排放</w:t>
                  </w:r>
                  <w:r>
                    <w:rPr>
                      <w:rFonts w:hint="eastAsia" w:ascii="Times New Roman" w:hAnsi="Times New Roman" w:eastAsia="宋体" w:cs="Times New Roman"/>
                      <w:b w:val="0"/>
                      <w:color w:val="auto"/>
                      <w:sz w:val="22"/>
                      <w:szCs w:val="22"/>
                      <w:highlight w:val="none"/>
                      <w:lang w:val="en-US" w:eastAsia="zh-CN"/>
                    </w:rPr>
                    <w:t>量（t/a）</w:t>
                  </w:r>
                </w:p>
              </w:tc>
              <w:tc>
                <w:tcPr>
                  <w:tcW w:w="533" w:type="pct"/>
                  <w:vMerge w:val="restart"/>
                  <w:vAlign w:val="center"/>
                </w:tcPr>
                <w:p w14:paraId="7F7459FD">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排放速率</w:t>
                  </w:r>
                  <w:r>
                    <w:rPr>
                      <w:rFonts w:hint="eastAsia" w:ascii="Times New Roman" w:hAnsi="Times New Roman" w:eastAsia="宋体" w:cs="Times New Roman"/>
                      <w:b w:val="0"/>
                      <w:color w:val="auto"/>
                      <w:sz w:val="22"/>
                      <w:szCs w:val="22"/>
                      <w:highlight w:val="none"/>
                      <w:lang w:eastAsia="zh-CN"/>
                    </w:rPr>
                    <w:t>（</w:t>
                  </w:r>
                  <w:r>
                    <w:rPr>
                      <w:rFonts w:hint="eastAsia" w:ascii="Times New Roman" w:hAnsi="Times New Roman" w:eastAsia="宋体" w:cs="Times New Roman"/>
                      <w:b w:val="0"/>
                      <w:color w:val="auto"/>
                      <w:sz w:val="22"/>
                      <w:szCs w:val="22"/>
                      <w:highlight w:val="none"/>
                      <w:lang w:val="en-US" w:eastAsia="zh-CN"/>
                    </w:rPr>
                    <w:t>kg/h</w:t>
                  </w:r>
                  <w:r>
                    <w:rPr>
                      <w:rFonts w:hint="eastAsia" w:ascii="Times New Roman" w:hAnsi="Times New Roman" w:eastAsia="宋体" w:cs="Times New Roman"/>
                      <w:b w:val="0"/>
                      <w:color w:val="auto"/>
                      <w:sz w:val="22"/>
                      <w:szCs w:val="22"/>
                      <w:highlight w:val="none"/>
                      <w:lang w:eastAsia="zh-CN"/>
                    </w:rPr>
                    <w:t>）</w:t>
                  </w:r>
                </w:p>
              </w:tc>
            </w:tr>
            <w:tr w14:paraId="45F3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94" w:type="pct"/>
                  <w:vMerge w:val="continue"/>
                  <w:tcBorders>
                    <w:top w:val="nil"/>
                  </w:tcBorders>
                  <w:vAlign w:val="center"/>
                </w:tcPr>
                <w:p w14:paraId="255EC440">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c>
                <w:tcPr>
                  <w:tcW w:w="386" w:type="pct"/>
                  <w:vMerge w:val="continue"/>
                  <w:vAlign w:val="center"/>
                </w:tcPr>
                <w:p w14:paraId="7E9E2519">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c>
                <w:tcPr>
                  <w:tcW w:w="785" w:type="pct"/>
                  <w:vAlign w:val="center"/>
                </w:tcPr>
                <w:p w14:paraId="27C95D2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5000</w:t>
                  </w:r>
                </w:p>
              </w:tc>
              <w:tc>
                <w:tcPr>
                  <w:tcW w:w="498" w:type="pct"/>
                  <w:vAlign w:val="center"/>
                </w:tcPr>
                <w:p w14:paraId="6ED4BF22">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b w:val="0"/>
                      <w:color w:val="auto"/>
                      <w:sz w:val="22"/>
                      <w:szCs w:val="22"/>
                      <w:highlight w:val="none"/>
                      <w:lang w:eastAsia="zh-CN"/>
                    </w:rPr>
                  </w:pPr>
                  <w:r>
                    <w:rPr>
                      <w:rFonts w:hint="eastAsia" w:ascii="Times New Roman" w:hAnsi="Times New Roman" w:eastAsia="宋体" w:cs="Times New Roman"/>
                      <w:b w:val="0"/>
                      <w:color w:val="auto"/>
                      <w:sz w:val="22"/>
                      <w:szCs w:val="22"/>
                      <w:highlight w:val="none"/>
                      <w:lang w:val="en-US" w:eastAsia="zh-CN"/>
                    </w:rPr>
                    <w:t>内径</w:t>
                  </w:r>
                  <w:r>
                    <w:rPr>
                      <w:rFonts w:ascii="Times New Roman" w:hAnsi="Times New Roman" w:eastAsia="宋体" w:cs="Times New Roman"/>
                      <w:b w:val="0"/>
                      <w:color w:val="auto"/>
                      <w:sz w:val="22"/>
                      <w:szCs w:val="22"/>
                      <w:highlight w:val="none"/>
                    </w:rPr>
                    <w:t>(m)</w:t>
                  </w:r>
                </w:p>
              </w:tc>
              <w:tc>
                <w:tcPr>
                  <w:tcW w:w="868" w:type="pct"/>
                  <w:vAlign w:val="center"/>
                </w:tcPr>
                <w:p w14:paraId="067EE82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有效高度(m)</w:t>
                  </w:r>
                </w:p>
              </w:tc>
              <w:tc>
                <w:tcPr>
                  <w:tcW w:w="653" w:type="pct"/>
                  <w:vAlign w:val="center"/>
                </w:tcPr>
                <w:p w14:paraId="1C020FB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eastAsia"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温度°C</w:t>
                  </w:r>
                </w:p>
              </w:tc>
              <w:tc>
                <w:tcPr>
                  <w:tcW w:w="480" w:type="pct"/>
                  <w:vMerge w:val="continue"/>
                  <w:tcBorders>
                    <w:top w:val="nil"/>
                  </w:tcBorders>
                  <w:vAlign w:val="center"/>
                </w:tcPr>
                <w:p w14:paraId="4BA786A1">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c>
                <w:tcPr>
                  <w:tcW w:w="533" w:type="pct"/>
                  <w:vMerge w:val="continue"/>
                  <w:tcBorders>
                    <w:top w:val="nil"/>
                  </w:tcBorders>
                  <w:vAlign w:val="center"/>
                </w:tcPr>
                <w:p w14:paraId="0A8FBDC4">
                  <w:pPr>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ascii="Times New Roman" w:hAnsi="Times New Roman" w:eastAsia="宋体" w:cs="Times New Roman"/>
                      <w:b w:val="0"/>
                      <w:color w:val="auto"/>
                      <w:sz w:val="22"/>
                      <w:szCs w:val="22"/>
                      <w:highlight w:val="none"/>
                    </w:rPr>
                  </w:pPr>
                </w:p>
              </w:tc>
            </w:tr>
            <w:tr w14:paraId="5B84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center"/>
              </w:trPr>
              <w:tc>
                <w:tcPr>
                  <w:tcW w:w="794" w:type="pct"/>
                  <w:vAlign w:val="center"/>
                </w:tcPr>
                <w:p w14:paraId="188AF31E">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w w:val="100"/>
                      <w:sz w:val="22"/>
                      <w:szCs w:val="22"/>
                      <w:highlight w:val="none"/>
                      <w:lang w:val="en-US" w:eastAsia="zh-CN"/>
                    </w:rPr>
                  </w:pPr>
                  <w:r>
                    <w:rPr>
                      <w:rFonts w:hint="eastAsia" w:ascii="Times New Roman" w:hAnsi="Times New Roman" w:cs="Times New Roman"/>
                      <w:b w:val="0"/>
                      <w:color w:val="auto"/>
                      <w:w w:val="100"/>
                      <w:sz w:val="22"/>
                      <w:szCs w:val="22"/>
                      <w:highlight w:val="none"/>
                      <w:lang w:val="en-US" w:eastAsia="zh-CN"/>
                    </w:rPr>
                    <w:t>1号破碎场地破碎加工粉尘</w:t>
                  </w:r>
                </w:p>
              </w:tc>
              <w:tc>
                <w:tcPr>
                  <w:tcW w:w="386" w:type="pct"/>
                  <w:vAlign w:val="center"/>
                </w:tcPr>
                <w:p w14:paraId="066B4A9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TSP</w:t>
                  </w:r>
                </w:p>
              </w:tc>
              <w:tc>
                <w:tcPr>
                  <w:tcW w:w="785" w:type="pct"/>
                  <w:vAlign w:val="center"/>
                </w:tcPr>
                <w:p w14:paraId="084E05C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5000</w:t>
                  </w:r>
                </w:p>
              </w:tc>
              <w:tc>
                <w:tcPr>
                  <w:tcW w:w="498" w:type="pct"/>
                  <w:vAlign w:val="center"/>
                </w:tcPr>
                <w:p w14:paraId="38CA1A1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0.6</w:t>
                  </w:r>
                </w:p>
              </w:tc>
              <w:tc>
                <w:tcPr>
                  <w:tcW w:w="868" w:type="pct"/>
                  <w:vAlign w:val="center"/>
                </w:tcPr>
                <w:p w14:paraId="6E7D8EEB">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15</w:t>
                  </w:r>
                </w:p>
              </w:tc>
              <w:tc>
                <w:tcPr>
                  <w:tcW w:w="653" w:type="pct"/>
                  <w:vAlign w:val="center"/>
                </w:tcPr>
                <w:p w14:paraId="283A6288">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eastAsia="宋体" w:cs="Times New Roman"/>
                      <w:b w:val="0"/>
                      <w:color w:val="auto"/>
                      <w:sz w:val="22"/>
                      <w:szCs w:val="22"/>
                      <w:highlight w:val="none"/>
                      <w:lang w:val="en-US" w:eastAsia="zh-CN"/>
                    </w:rPr>
                    <w:t>30</w:t>
                  </w:r>
                </w:p>
              </w:tc>
              <w:tc>
                <w:tcPr>
                  <w:tcW w:w="480" w:type="pct"/>
                  <w:vAlign w:val="center"/>
                </w:tcPr>
                <w:p w14:paraId="551CEA77">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hAnsi="Times New Roman" w:eastAsia="宋体" w:cs="Times New Roman"/>
                      <w:b w:val="0"/>
                      <w:color w:val="auto"/>
                      <w:sz w:val="22"/>
                      <w:szCs w:val="22"/>
                      <w:highlight w:val="none"/>
                      <w:lang w:val="en-US" w:eastAsia="zh-CN"/>
                    </w:rPr>
                  </w:pPr>
                  <w:r>
                    <w:rPr>
                      <w:rFonts w:hint="eastAsia" w:ascii="Times New Roman" w:hAnsi="Times New Roman" w:cs="Times New Roman"/>
                      <w:b w:val="0"/>
                      <w:color w:val="auto"/>
                      <w:sz w:val="22"/>
                      <w:szCs w:val="22"/>
                      <w:highlight w:val="none"/>
                      <w:lang w:val="en-US" w:eastAsia="zh-CN"/>
                    </w:rPr>
                    <w:t>0.032</w:t>
                  </w:r>
                </w:p>
              </w:tc>
              <w:tc>
                <w:tcPr>
                  <w:tcW w:w="533" w:type="pct"/>
                  <w:vAlign w:val="center"/>
                </w:tcPr>
                <w:p w14:paraId="4D928439">
                  <w:pPr>
                    <w:pStyle w:val="36"/>
                    <w:keepNext w:val="0"/>
                    <w:keepLines w:val="0"/>
                    <w:pageBreakBefore w:val="0"/>
                    <w:widowControl w:val="0"/>
                    <w:kinsoku/>
                    <w:wordWrap/>
                    <w:overflowPunct/>
                    <w:topLinePunct w:val="0"/>
                    <w:autoSpaceDE/>
                    <w:autoSpaceDN/>
                    <w:bidi w:val="0"/>
                    <w:adjustRightInd/>
                    <w:snapToGrid/>
                    <w:spacing w:line="320" w:lineRule="exact"/>
                    <w:ind w:left="0" w:right="0" w:firstLine="0" w:firstLineChars="0"/>
                    <w:jc w:val="center"/>
                    <w:textAlignment w:val="auto"/>
                    <w:rPr>
                      <w:rFonts w:hint="default" w:ascii="Times New Roman" w:cs="Times New Roman"/>
                      <w:b w:val="0"/>
                      <w:color w:val="auto"/>
                      <w:sz w:val="22"/>
                      <w:szCs w:val="22"/>
                      <w:highlight w:val="none"/>
                      <w:lang w:val="en-US" w:eastAsia="zh-CN"/>
                    </w:rPr>
                  </w:pPr>
                  <w:r>
                    <w:rPr>
                      <w:rFonts w:hint="eastAsia" w:ascii="Times New Roman" w:cs="Times New Roman"/>
                      <w:b w:val="0"/>
                      <w:color w:val="auto"/>
                      <w:sz w:val="22"/>
                      <w:szCs w:val="22"/>
                      <w:highlight w:val="none"/>
                      <w:lang w:val="en-US" w:eastAsia="zh-CN"/>
                    </w:rPr>
                    <w:t>0.1333</w:t>
                  </w:r>
                </w:p>
              </w:tc>
            </w:tr>
          </w:tbl>
          <w:p w14:paraId="0AB7C98C">
            <w:pPr>
              <w:keepNext w:val="0"/>
              <w:keepLines w:val="0"/>
              <w:pageBreakBefore w:val="0"/>
              <w:widowControl w:val="0"/>
              <w:kinsoku/>
              <w:wordWrap/>
              <w:overflowPunct/>
              <w:topLinePunct w:val="0"/>
              <w:autoSpaceDE/>
              <w:autoSpaceDN/>
              <w:bidi w:val="0"/>
              <w:spacing w:line="480" w:lineRule="exact"/>
              <w:ind w:firstLine="520" w:firstLineChars="200"/>
              <w:jc w:val="both"/>
              <w:textAlignment w:val="auto"/>
              <w:rPr>
                <w:rFonts w:ascii="Times New Roman" w:hAnsi="Times New Roman"/>
                <w:bCs w:val="0"/>
                <w:color w:val="auto"/>
                <w:sz w:val="26"/>
                <w:szCs w:val="26"/>
                <w:highlight w:val="none"/>
              </w:rPr>
            </w:pPr>
            <w:r>
              <w:rPr>
                <w:rFonts w:hint="eastAsia" w:ascii="宋体" w:hAnsi="宋体" w:eastAsia="宋体" w:cs="宋体"/>
                <w:color w:val="auto"/>
                <w:sz w:val="26"/>
                <w:szCs w:val="26"/>
                <w:highlight w:val="none"/>
                <w:vertAlign w:val="baseline"/>
              </w:rPr>
              <w:t>②</w:t>
            </w:r>
            <w:r>
              <w:rPr>
                <w:rFonts w:hint="eastAsia" w:ascii="Times New Roman" w:hAnsi="Times New Roman"/>
                <w:bCs w:val="0"/>
                <w:color w:val="auto"/>
                <w:sz w:val="26"/>
                <w:szCs w:val="26"/>
                <w:highlight w:val="none"/>
              </w:rPr>
              <w:t>评价工作分级方法</w:t>
            </w:r>
          </w:p>
          <w:p w14:paraId="1EC71036">
            <w:pPr>
              <w:keepNext w:val="0"/>
              <w:keepLines w:val="0"/>
              <w:pageBreakBefore w:val="0"/>
              <w:widowControl w:val="0"/>
              <w:kinsoku/>
              <w:wordWrap/>
              <w:overflowPunct/>
              <w:topLinePunct w:val="0"/>
              <w:autoSpaceDE/>
              <w:autoSpaceDN/>
              <w:bidi w:val="0"/>
              <w:spacing w:line="480" w:lineRule="exact"/>
              <w:ind w:firstLine="520" w:firstLineChars="200"/>
              <w:jc w:val="both"/>
              <w:textAlignment w:val="auto"/>
              <w:rPr>
                <w:rFonts w:ascii="Times New Roman" w:hAnsi="Times New Roman"/>
                <w:bCs w:val="0"/>
                <w:color w:val="auto"/>
                <w:sz w:val="26"/>
                <w:szCs w:val="26"/>
                <w:highlight w:val="none"/>
              </w:rPr>
            </w:pPr>
            <w:r>
              <w:rPr>
                <w:rFonts w:hint="eastAsia" w:ascii="Times New Roman" w:hAnsi="Times New Roman"/>
                <w:bCs w:val="0"/>
                <w:color w:val="auto"/>
                <w:sz w:val="26"/>
                <w:szCs w:val="26"/>
                <w:highlight w:val="none"/>
              </w:rPr>
              <w:t>根据项目工程分析结果，选择主要污染物</w:t>
            </w:r>
            <w:r>
              <w:rPr>
                <w:rFonts w:hint="eastAsia" w:ascii="Times New Roman" w:hAnsi="Times New Roman"/>
                <w:bCs w:val="0"/>
                <w:color w:val="auto"/>
                <w:sz w:val="26"/>
                <w:szCs w:val="26"/>
                <w:highlight w:val="none"/>
                <w:lang w:val="en-US" w:eastAsia="zh-CN"/>
              </w:rPr>
              <w:t>TSP</w:t>
            </w:r>
            <w:r>
              <w:rPr>
                <w:rFonts w:hint="eastAsia" w:ascii="Times New Roman" w:hAnsi="Times New Roman"/>
                <w:bCs w:val="0"/>
                <w:color w:val="auto"/>
                <w:sz w:val="26"/>
                <w:szCs w:val="26"/>
                <w:highlight w:val="none"/>
              </w:rPr>
              <w:t>作为评价因子，计算所有废气排放源的最大地面浓度占标率</w:t>
            </w:r>
            <w:r>
              <w:rPr>
                <w:rFonts w:ascii="Times New Roman" w:hAnsi="Times New Roman"/>
                <w:bCs w:val="0"/>
                <w:color w:val="auto"/>
                <w:sz w:val="26"/>
                <w:szCs w:val="26"/>
                <w:highlight w:val="none"/>
              </w:rPr>
              <w:t>Pi</w:t>
            </w:r>
            <w:r>
              <w:rPr>
                <w:rFonts w:hint="eastAsia" w:ascii="Times New Roman" w:hAnsi="Times New Roman"/>
                <w:bCs w:val="0"/>
                <w:color w:val="auto"/>
                <w:sz w:val="26"/>
                <w:szCs w:val="26"/>
                <w:highlight w:val="none"/>
              </w:rPr>
              <w:t>（第</w:t>
            </w:r>
            <w:r>
              <w:rPr>
                <w:rFonts w:ascii="Times New Roman" w:hAnsi="Times New Roman"/>
                <w:bCs w:val="0"/>
                <w:color w:val="auto"/>
                <w:sz w:val="26"/>
                <w:szCs w:val="26"/>
                <w:highlight w:val="none"/>
              </w:rPr>
              <w:t>i</w:t>
            </w:r>
            <w:r>
              <w:rPr>
                <w:rFonts w:hint="eastAsia" w:ascii="Times New Roman" w:hAnsi="Times New Roman"/>
                <w:bCs w:val="0"/>
                <w:color w:val="auto"/>
                <w:sz w:val="26"/>
                <w:szCs w:val="26"/>
                <w:highlight w:val="none"/>
              </w:rPr>
              <w:t>个污染物）。</w:t>
            </w:r>
          </w:p>
          <w:p w14:paraId="1B93F6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宋体"/>
                <w:b/>
                <w:bCs/>
                <w:color w:val="auto"/>
                <w:sz w:val="21"/>
                <w:szCs w:val="21"/>
                <w:highlight w:val="none"/>
              </w:rPr>
            </w:pPr>
            <w:r>
              <w:rPr>
                <w:rFonts w:hint="eastAsia" w:ascii="Times New Roman" w:hAnsi="Times New Roman" w:eastAsia="宋体"/>
                <w:b/>
                <w:bCs/>
                <w:color w:val="auto"/>
                <w:sz w:val="21"/>
                <w:szCs w:val="21"/>
                <w:highlight w:val="none"/>
              </w:rPr>
              <w:t>表</w:t>
            </w:r>
            <w:r>
              <w:rPr>
                <w:rFonts w:ascii="Times New Roman" w:hAnsi="Times New Roman" w:eastAsia="宋体"/>
                <w:b/>
                <w:bCs/>
                <w:color w:val="auto"/>
                <w:sz w:val="21"/>
                <w:szCs w:val="21"/>
                <w:highlight w:val="none"/>
              </w:rPr>
              <w:t>7-</w:t>
            </w:r>
            <w:r>
              <w:rPr>
                <w:rFonts w:hint="eastAsia"/>
                <w:b/>
                <w:bCs/>
                <w:color w:val="auto"/>
                <w:sz w:val="21"/>
                <w:szCs w:val="21"/>
                <w:highlight w:val="none"/>
                <w:lang w:val="en-US" w:eastAsia="zh-CN"/>
              </w:rPr>
              <w:t>4</w:t>
            </w:r>
            <w:r>
              <w:rPr>
                <w:rFonts w:ascii="Times New Roman" w:hAnsi="Times New Roman" w:eastAsia="宋体"/>
                <w:b/>
                <w:bCs/>
                <w:color w:val="auto"/>
                <w:sz w:val="21"/>
                <w:szCs w:val="21"/>
                <w:highlight w:val="none"/>
              </w:rPr>
              <w:t xml:space="preserve">   </w:t>
            </w:r>
            <w:r>
              <w:rPr>
                <w:rFonts w:hint="eastAsia" w:ascii="Times New Roman" w:hAnsi="Times New Roman" w:eastAsia="宋体"/>
                <w:b/>
                <w:bCs/>
                <w:color w:val="auto"/>
                <w:sz w:val="21"/>
                <w:szCs w:val="21"/>
                <w:highlight w:val="none"/>
              </w:rPr>
              <w:t>大气环境评价工作等级判定表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9"/>
              <w:gridCol w:w="3625"/>
            </w:tblGrid>
            <w:tr w14:paraId="500A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14" w:type="pct"/>
                  <w:vAlign w:val="center"/>
                </w:tcPr>
                <w:p w14:paraId="57917B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评价工作等级</w:t>
                  </w:r>
                </w:p>
              </w:tc>
              <w:tc>
                <w:tcPr>
                  <w:tcW w:w="2185" w:type="pct"/>
                  <w:vAlign w:val="center"/>
                </w:tcPr>
                <w:p w14:paraId="22FCFF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评价工作等级判据</w:t>
                  </w:r>
                </w:p>
              </w:tc>
            </w:tr>
            <w:tr w14:paraId="611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814" w:type="pct"/>
                  <w:vAlign w:val="center"/>
                </w:tcPr>
                <w:p w14:paraId="0544EB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一级评价</w:t>
                  </w:r>
                </w:p>
              </w:tc>
              <w:tc>
                <w:tcPr>
                  <w:tcW w:w="2185" w:type="pct"/>
                  <w:vAlign w:val="center"/>
                </w:tcPr>
                <w:p w14:paraId="02183E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P</w:t>
                  </w:r>
                  <w:r>
                    <w:rPr>
                      <w:rFonts w:ascii="Times New Roman" w:hAnsi="Times New Roman" w:eastAsia="宋体" w:cs="Times New Roman"/>
                      <w:color w:val="auto"/>
                      <w:sz w:val="22"/>
                      <w:szCs w:val="22"/>
                      <w:highlight w:val="none"/>
                      <w:vertAlign w:val="subscript"/>
                    </w:rPr>
                    <w:t>max</w:t>
                  </w:r>
                  <w:r>
                    <w:rPr>
                      <w:rFonts w:hint="eastAsia" w:ascii="Times New Roman" w:hAnsi="Times New Roman" w:eastAsia="宋体" w:cs="Times New Roman"/>
                      <w:color w:val="auto"/>
                      <w:sz w:val="22"/>
                      <w:szCs w:val="22"/>
                      <w:highlight w:val="none"/>
                    </w:rPr>
                    <w:t>≥</w:t>
                  </w:r>
                  <w:r>
                    <w:rPr>
                      <w:rFonts w:ascii="Times New Roman" w:hAnsi="Times New Roman" w:eastAsia="宋体" w:cs="Times New Roman"/>
                      <w:color w:val="auto"/>
                      <w:sz w:val="22"/>
                      <w:szCs w:val="22"/>
                      <w:highlight w:val="none"/>
                    </w:rPr>
                    <w:t>10%</w:t>
                  </w:r>
                </w:p>
              </w:tc>
            </w:tr>
            <w:tr w14:paraId="055D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814" w:type="pct"/>
                  <w:vAlign w:val="center"/>
                </w:tcPr>
                <w:p w14:paraId="5F089C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二级评价</w:t>
                  </w:r>
                </w:p>
              </w:tc>
              <w:tc>
                <w:tcPr>
                  <w:tcW w:w="2185" w:type="pct"/>
                  <w:vAlign w:val="center"/>
                </w:tcPr>
                <w:p w14:paraId="763BD9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rPr>
                    <w:t>≤</w:t>
                  </w:r>
                  <w:r>
                    <w:rPr>
                      <w:rFonts w:ascii="Times New Roman" w:hAnsi="Times New Roman" w:eastAsia="宋体" w:cs="Times New Roman"/>
                      <w:color w:val="auto"/>
                      <w:sz w:val="22"/>
                      <w:szCs w:val="22"/>
                      <w:highlight w:val="none"/>
                    </w:rPr>
                    <w:t>P</w:t>
                  </w:r>
                  <w:r>
                    <w:rPr>
                      <w:rFonts w:ascii="Times New Roman" w:hAnsi="Times New Roman" w:eastAsia="宋体" w:cs="Times New Roman"/>
                      <w:color w:val="auto"/>
                      <w:sz w:val="22"/>
                      <w:szCs w:val="22"/>
                      <w:highlight w:val="none"/>
                      <w:vertAlign w:val="subscript"/>
                    </w:rPr>
                    <w:t>max</w:t>
                  </w:r>
                  <w:r>
                    <w:rPr>
                      <w:rFonts w:ascii="Times New Roman" w:hAnsi="Times New Roman" w:eastAsia="宋体" w:cs="Times New Roman"/>
                      <w:color w:val="auto"/>
                      <w:sz w:val="22"/>
                      <w:szCs w:val="22"/>
                      <w:highlight w:val="none"/>
                    </w:rPr>
                    <w:t>&lt;10%</w:t>
                  </w:r>
                </w:p>
              </w:tc>
            </w:tr>
            <w:tr w14:paraId="743E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4" w:type="pct"/>
                  <w:vAlign w:val="center"/>
                </w:tcPr>
                <w:p w14:paraId="55CC13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三级评价</w:t>
                  </w:r>
                </w:p>
              </w:tc>
              <w:tc>
                <w:tcPr>
                  <w:tcW w:w="2185" w:type="pct"/>
                  <w:vAlign w:val="center"/>
                </w:tcPr>
                <w:p w14:paraId="08701E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P</w:t>
                  </w:r>
                  <w:r>
                    <w:rPr>
                      <w:rFonts w:ascii="Times New Roman" w:hAnsi="Times New Roman" w:eastAsia="宋体" w:cs="Times New Roman"/>
                      <w:color w:val="auto"/>
                      <w:sz w:val="22"/>
                      <w:szCs w:val="22"/>
                      <w:highlight w:val="none"/>
                      <w:vertAlign w:val="subscript"/>
                    </w:rPr>
                    <w:t>max</w:t>
                  </w:r>
                  <w:r>
                    <w:rPr>
                      <w:rFonts w:ascii="Times New Roman" w:hAnsi="Times New Roman" w:eastAsia="宋体" w:cs="Times New Roman"/>
                      <w:color w:val="auto"/>
                      <w:sz w:val="22"/>
                      <w:szCs w:val="22"/>
                      <w:highlight w:val="none"/>
                    </w:rPr>
                    <w:t>&lt;1%</w:t>
                  </w:r>
                </w:p>
              </w:tc>
            </w:tr>
          </w:tbl>
          <w:p w14:paraId="6CE42476">
            <w:pPr>
              <w:keepNext w:val="0"/>
              <w:keepLines w:val="0"/>
              <w:pageBreakBefore w:val="0"/>
              <w:widowControl w:val="0"/>
              <w:kinsoku/>
              <w:wordWrap/>
              <w:overflowPunct/>
              <w:topLinePunct w:val="0"/>
              <w:autoSpaceDE/>
              <w:autoSpaceDN/>
              <w:bidi w:val="0"/>
              <w:adjustRightInd w:val="0"/>
              <w:snapToGrid w:val="0"/>
              <w:spacing w:line="480" w:lineRule="exact"/>
              <w:ind w:firstLine="520" w:firstLineChars="200"/>
              <w:jc w:val="both"/>
              <w:textAlignment w:val="auto"/>
              <w:rPr>
                <w:rFonts w:ascii="Times New Roman" w:hAnsi="Times New Roman"/>
                <w:bCs w:val="0"/>
                <w:color w:val="auto"/>
                <w:sz w:val="26"/>
                <w:szCs w:val="26"/>
                <w:highlight w:val="none"/>
              </w:rPr>
            </w:pPr>
            <w:r>
              <w:rPr>
                <w:rFonts w:hint="eastAsia" w:ascii="宋体" w:hAnsi="宋体" w:eastAsia="宋体" w:cs="宋体"/>
                <w:bCs w:val="0"/>
                <w:color w:val="auto"/>
                <w:sz w:val="26"/>
                <w:szCs w:val="26"/>
                <w:highlight w:val="none"/>
                <w:lang w:val="en-US" w:eastAsia="zh-CN"/>
              </w:rPr>
              <w:t>③</w:t>
            </w:r>
            <w:r>
              <w:rPr>
                <w:rFonts w:hint="eastAsia" w:ascii="Times New Roman" w:hAnsi="Times New Roman"/>
                <w:bCs w:val="0"/>
                <w:color w:val="auto"/>
                <w:sz w:val="26"/>
                <w:szCs w:val="26"/>
                <w:highlight w:val="none"/>
              </w:rPr>
              <w:t>评价等级筛选计算结果</w:t>
            </w:r>
          </w:p>
          <w:p w14:paraId="23FD5CB1">
            <w:pPr>
              <w:keepNext w:val="0"/>
              <w:keepLines w:val="0"/>
              <w:pageBreakBefore w:val="0"/>
              <w:widowControl w:val="0"/>
              <w:kinsoku/>
              <w:wordWrap/>
              <w:overflowPunct/>
              <w:topLinePunct w:val="0"/>
              <w:autoSpaceDE/>
              <w:autoSpaceDN/>
              <w:bidi w:val="0"/>
              <w:adjustRightInd w:val="0"/>
              <w:snapToGrid w:val="0"/>
              <w:spacing w:line="480" w:lineRule="exact"/>
              <w:ind w:firstLine="520" w:firstLineChars="200"/>
              <w:jc w:val="both"/>
              <w:textAlignment w:val="auto"/>
              <w:rPr>
                <w:rFonts w:ascii="Times New Roman" w:hAnsi="Times New Roman"/>
                <w:bCs w:val="0"/>
                <w:color w:val="auto"/>
                <w:sz w:val="26"/>
                <w:szCs w:val="26"/>
                <w:highlight w:val="none"/>
              </w:rPr>
            </w:pPr>
            <w:r>
              <w:rPr>
                <w:rFonts w:hint="eastAsia" w:ascii="Times New Roman" w:hAnsi="Times New Roman"/>
                <w:bCs w:val="0"/>
                <w:color w:val="auto"/>
                <w:sz w:val="26"/>
                <w:szCs w:val="26"/>
                <w:highlight w:val="none"/>
                <w:lang w:val="en-US" w:eastAsia="zh-CN"/>
              </w:rPr>
              <w:t>1）、</w:t>
            </w:r>
            <w:r>
              <w:rPr>
                <w:rFonts w:hint="eastAsia" w:ascii="Times New Roman" w:hAnsi="Times New Roman"/>
                <w:bCs w:val="0"/>
                <w:color w:val="auto"/>
                <w:sz w:val="26"/>
                <w:szCs w:val="26"/>
                <w:highlight w:val="none"/>
              </w:rPr>
              <w:t>估算模式及参数</w:t>
            </w:r>
          </w:p>
          <w:p w14:paraId="6A280A48">
            <w:pPr>
              <w:keepNext w:val="0"/>
              <w:keepLines w:val="0"/>
              <w:pageBreakBefore w:val="0"/>
              <w:widowControl w:val="0"/>
              <w:kinsoku/>
              <w:wordWrap/>
              <w:overflowPunct/>
              <w:topLinePunct w:val="0"/>
              <w:autoSpaceDE/>
              <w:autoSpaceDN/>
              <w:bidi w:val="0"/>
              <w:adjustRightInd w:val="0"/>
              <w:snapToGrid w:val="0"/>
              <w:spacing w:line="480" w:lineRule="exact"/>
              <w:ind w:firstLine="520" w:firstLineChars="200"/>
              <w:jc w:val="both"/>
              <w:textAlignment w:val="auto"/>
              <w:rPr>
                <w:rFonts w:ascii="Times New Roman" w:hAnsi="Times New Roman"/>
                <w:bCs w:val="0"/>
                <w:color w:val="auto"/>
                <w:sz w:val="26"/>
                <w:szCs w:val="26"/>
                <w:highlight w:val="none"/>
              </w:rPr>
            </w:pPr>
            <w:r>
              <w:rPr>
                <w:rFonts w:hint="eastAsia" w:ascii="Times New Roman" w:hAnsi="Times New Roman"/>
                <w:bCs w:val="0"/>
                <w:color w:val="auto"/>
                <w:sz w:val="26"/>
                <w:szCs w:val="26"/>
                <w:highlight w:val="none"/>
              </w:rPr>
              <w:t>本项目废气排放预测采用《环境影响评价技术导则大气环境》（</w:t>
            </w:r>
            <w:r>
              <w:rPr>
                <w:rFonts w:ascii="Times New Roman" w:hAnsi="Times New Roman"/>
                <w:bCs w:val="0"/>
                <w:color w:val="auto"/>
                <w:sz w:val="26"/>
                <w:szCs w:val="26"/>
                <w:highlight w:val="none"/>
              </w:rPr>
              <w:t>HJ2.2-2018</w:t>
            </w:r>
            <w:r>
              <w:rPr>
                <w:rFonts w:hint="eastAsia" w:ascii="Times New Roman" w:hAnsi="Times New Roman"/>
                <w:bCs w:val="0"/>
                <w:color w:val="auto"/>
                <w:sz w:val="26"/>
                <w:szCs w:val="26"/>
                <w:highlight w:val="none"/>
              </w:rPr>
              <w:t>）推荐的</w:t>
            </w:r>
            <w:r>
              <w:rPr>
                <w:rFonts w:ascii="Times New Roman" w:hAnsi="Times New Roman"/>
                <w:bCs w:val="0"/>
                <w:color w:val="auto"/>
                <w:sz w:val="26"/>
                <w:szCs w:val="26"/>
                <w:highlight w:val="none"/>
              </w:rPr>
              <w:t>AERSCREEN</w:t>
            </w:r>
            <w:r>
              <w:rPr>
                <w:rFonts w:hint="eastAsia" w:ascii="Times New Roman" w:hAnsi="Times New Roman"/>
                <w:bCs w:val="0"/>
                <w:color w:val="auto"/>
                <w:sz w:val="26"/>
                <w:szCs w:val="26"/>
                <w:highlight w:val="none"/>
              </w:rPr>
              <w:t>估算模式，具体参数见下表。</w:t>
            </w:r>
          </w:p>
          <w:p w14:paraId="31A934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b/>
                <w:bCs/>
                <w:color w:val="auto"/>
                <w:szCs w:val="21"/>
                <w:highlight w:val="none"/>
              </w:rPr>
            </w:pPr>
            <w:r>
              <w:rPr>
                <w:rFonts w:hint="eastAsia" w:ascii="Times New Roman" w:hAnsi="Times New Roman" w:eastAsia="宋体"/>
                <w:b/>
                <w:bCs/>
                <w:color w:val="auto"/>
                <w:sz w:val="21"/>
                <w:szCs w:val="21"/>
                <w:highlight w:val="none"/>
              </w:rPr>
              <w:t>表7-</w:t>
            </w:r>
            <w:r>
              <w:rPr>
                <w:rFonts w:hint="eastAsia"/>
                <w:b/>
                <w:bCs/>
                <w:color w:val="auto"/>
                <w:sz w:val="21"/>
                <w:szCs w:val="21"/>
                <w:highlight w:val="none"/>
                <w:lang w:val="en-US" w:eastAsia="zh-CN"/>
              </w:rPr>
              <w:t>5</w:t>
            </w:r>
            <w:r>
              <w:rPr>
                <w:rFonts w:hint="eastAsia" w:ascii="Times New Roman" w:hAnsi="Times New Roman" w:eastAsia="宋体"/>
                <w:b/>
                <w:bCs/>
                <w:color w:val="auto"/>
                <w:sz w:val="21"/>
                <w:szCs w:val="21"/>
                <w:highlight w:val="none"/>
              </w:rPr>
              <w:t xml:space="preserve">   估算模型参数表</w:t>
            </w:r>
          </w:p>
          <w:tbl>
            <w:tblPr>
              <w:tblStyle w:val="22"/>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2"/>
              <w:gridCol w:w="1311"/>
              <w:gridCol w:w="1311"/>
              <w:gridCol w:w="3763"/>
            </w:tblGrid>
            <w:tr w14:paraId="77C7D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trPr>
              <w:tc>
                <w:tcPr>
                  <w:tcW w:w="3453" w:type="dxa"/>
                  <w:gridSpan w:val="2"/>
                  <w:vAlign w:val="center"/>
                </w:tcPr>
                <w:p w14:paraId="1017CD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参数</w:t>
                  </w:r>
                </w:p>
              </w:tc>
              <w:tc>
                <w:tcPr>
                  <w:tcW w:w="5074" w:type="dxa"/>
                  <w:gridSpan w:val="2"/>
                  <w:vAlign w:val="center"/>
                </w:tcPr>
                <w:p w14:paraId="44C954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取值</w:t>
                  </w:r>
                </w:p>
              </w:tc>
            </w:tr>
            <w:tr w14:paraId="19D26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 w:hRule="atLeast"/>
              </w:trPr>
              <w:tc>
                <w:tcPr>
                  <w:tcW w:w="2142" w:type="dxa"/>
                  <w:vMerge w:val="restart"/>
                  <w:vAlign w:val="center"/>
                </w:tcPr>
                <w:p w14:paraId="64F3147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城市/农村选项</w:t>
                  </w:r>
                </w:p>
              </w:tc>
              <w:tc>
                <w:tcPr>
                  <w:tcW w:w="2622" w:type="dxa"/>
                  <w:gridSpan w:val="2"/>
                  <w:vAlign w:val="center"/>
                </w:tcPr>
                <w:p w14:paraId="0096B5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城市/农村</w:t>
                  </w:r>
                </w:p>
              </w:tc>
              <w:tc>
                <w:tcPr>
                  <w:tcW w:w="3763" w:type="dxa"/>
                  <w:vAlign w:val="center"/>
                </w:tcPr>
                <w:p w14:paraId="618D57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城市</w:t>
                  </w:r>
                </w:p>
              </w:tc>
            </w:tr>
            <w:tr w14:paraId="3D07D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 w:hRule="atLeast"/>
              </w:trPr>
              <w:tc>
                <w:tcPr>
                  <w:tcW w:w="2142" w:type="dxa"/>
                  <w:vMerge w:val="continue"/>
                  <w:vAlign w:val="center"/>
                </w:tcPr>
                <w:p w14:paraId="3CC3F7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p>
              </w:tc>
              <w:tc>
                <w:tcPr>
                  <w:tcW w:w="2622" w:type="dxa"/>
                  <w:gridSpan w:val="2"/>
                  <w:vAlign w:val="center"/>
                </w:tcPr>
                <w:p w14:paraId="360FEE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人口数(城市人口数)</w:t>
                  </w:r>
                </w:p>
              </w:tc>
              <w:tc>
                <w:tcPr>
                  <w:tcW w:w="3763" w:type="dxa"/>
                  <w:vAlign w:val="center"/>
                </w:tcPr>
                <w:p w14:paraId="1D0B32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60000</w:t>
                  </w:r>
                </w:p>
              </w:tc>
            </w:tr>
            <w:tr w14:paraId="46F37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453" w:type="dxa"/>
                  <w:gridSpan w:val="2"/>
                  <w:vAlign w:val="center"/>
                </w:tcPr>
                <w:p w14:paraId="43183C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最高环境温度</w:t>
                  </w:r>
                </w:p>
              </w:tc>
              <w:tc>
                <w:tcPr>
                  <w:tcW w:w="5074" w:type="dxa"/>
                  <w:gridSpan w:val="2"/>
                  <w:vAlign w:val="center"/>
                </w:tcPr>
                <w:p w14:paraId="45A065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lang w:val="en-US" w:eastAsia="zh-CN"/>
                    </w:rPr>
                  </w:pPr>
                  <w:r>
                    <w:rPr>
                      <w:rFonts w:hint="eastAsia"/>
                      <w:b w:val="0"/>
                      <w:color w:val="auto"/>
                      <w:sz w:val="22"/>
                      <w:szCs w:val="22"/>
                      <w:highlight w:val="none"/>
                      <w:lang w:val="en-US" w:eastAsia="zh-CN"/>
                    </w:rPr>
                    <w:t>42</w:t>
                  </w:r>
                </w:p>
              </w:tc>
            </w:tr>
            <w:tr w14:paraId="522C1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453" w:type="dxa"/>
                  <w:gridSpan w:val="2"/>
                  <w:vAlign w:val="center"/>
                </w:tcPr>
                <w:p w14:paraId="22FC56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最低环境温度</w:t>
                  </w:r>
                </w:p>
              </w:tc>
              <w:tc>
                <w:tcPr>
                  <w:tcW w:w="5074" w:type="dxa"/>
                  <w:gridSpan w:val="2"/>
                  <w:vAlign w:val="center"/>
                </w:tcPr>
                <w:p w14:paraId="2262C3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-7.8</w:t>
                  </w:r>
                </w:p>
              </w:tc>
            </w:tr>
            <w:tr w14:paraId="56716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 w:hRule="atLeast"/>
              </w:trPr>
              <w:tc>
                <w:tcPr>
                  <w:tcW w:w="3453" w:type="dxa"/>
                  <w:gridSpan w:val="2"/>
                  <w:vAlign w:val="center"/>
                </w:tcPr>
                <w:p w14:paraId="6E651A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土地利用类型</w:t>
                  </w:r>
                </w:p>
              </w:tc>
              <w:tc>
                <w:tcPr>
                  <w:tcW w:w="5074" w:type="dxa"/>
                  <w:gridSpan w:val="2"/>
                  <w:vAlign w:val="center"/>
                </w:tcPr>
                <w:p w14:paraId="0209B25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olor w:val="auto"/>
                      <w:sz w:val="22"/>
                      <w:szCs w:val="22"/>
                      <w:highlight w:val="none"/>
                      <w:lang w:eastAsia="zh-CN"/>
                    </w:rPr>
                  </w:pPr>
                  <w:r>
                    <w:rPr>
                      <w:rFonts w:hint="eastAsia"/>
                      <w:b w:val="0"/>
                      <w:color w:val="auto"/>
                      <w:sz w:val="22"/>
                      <w:szCs w:val="22"/>
                      <w:highlight w:val="none"/>
                      <w:lang w:val="en-US" w:eastAsia="zh-CN"/>
                    </w:rPr>
                    <w:t>农村</w:t>
                  </w:r>
                </w:p>
              </w:tc>
            </w:tr>
            <w:tr w14:paraId="43269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453" w:type="dxa"/>
                  <w:gridSpan w:val="2"/>
                  <w:vAlign w:val="center"/>
                </w:tcPr>
                <w:p w14:paraId="7278D0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区域湿度条件</w:t>
                  </w:r>
                </w:p>
              </w:tc>
              <w:tc>
                <w:tcPr>
                  <w:tcW w:w="5074" w:type="dxa"/>
                  <w:gridSpan w:val="2"/>
                  <w:vAlign w:val="center"/>
                </w:tcPr>
                <w:p w14:paraId="2FD1CD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潮湿</w:t>
                  </w:r>
                </w:p>
              </w:tc>
            </w:tr>
            <w:tr w14:paraId="3A911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142" w:type="dxa"/>
                  <w:vMerge w:val="restart"/>
                  <w:vAlign w:val="center"/>
                </w:tcPr>
                <w:p w14:paraId="636A8C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是否考虑地形</w:t>
                  </w:r>
                </w:p>
              </w:tc>
              <w:tc>
                <w:tcPr>
                  <w:tcW w:w="2622" w:type="dxa"/>
                  <w:gridSpan w:val="2"/>
                  <w:vAlign w:val="center"/>
                </w:tcPr>
                <w:p w14:paraId="41DBA6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考虑地形</w:t>
                  </w:r>
                </w:p>
              </w:tc>
              <w:tc>
                <w:tcPr>
                  <w:tcW w:w="3763" w:type="dxa"/>
                  <w:vAlign w:val="center"/>
                </w:tcPr>
                <w:p w14:paraId="31A087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否</w:t>
                  </w:r>
                </w:p>
              </w:tc>
            </w:tr>
            <w:tr w14:paraId="29E34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142" w:type="dxa"/>
                  <w:vMerge w:val="continue"/>
                  <w:vAlign w:val="center"/>
                </w:tcPr>
                <w:p w14:paraId="2DB6C7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p>
              </w:tc>
              <w:tc>
                <w:tcPr>
                  <w:tcW w:w="2622" w:type="dxa"/>
                  <w:gridSpan w:val="2"/>
                  <w:vAlign w:val="center"/>
                </w:tcPr>
                <w:p w14:paraId="256170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地形数据分辨率(m)</w:t>
                  </w:r>
                </w:p>
              </w:tc>
              <w:tc>
                <w:tcPr>
                  <w:tcW w:w="3763" w:type="dxa"/>
                  <w:vAlign w:val="center"/>
                </w:tcPr>
                <w:p w14:paraId="48982D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w:t>
                  </w:r>
                </w:p>
              </w:tc>
            </w:tr>
            <w:tr w14:paraId="3B816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 w:hRule="atLeast"/>
              </w:trPr>
              <w:tc>
                <w:tcPr>
                  <w:tcW w:w="2142" w:type="dxa"/>
                  <w:vMerge w:val="restart"/>
                  <w:vAlign w:val="center"/>
                </w:tcPr>
                <w:p w14:paraId="067FCF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是否考虑岸线熏烟</w:t>
                  </w:r>
                </w:p>
              </w:tc>
              <w:tc>
                <w:tcPr>
                  <w:tcW w:w="2622" w:type="dxa"/>
                  <w:gridSpan w:val="2"/>
                  <w:vAlign w:val="center"/>
                </w:tcPr>
                <w:p w14:paraId="1798E5A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考虑岸线熏烟</w:t>
                  </w:r>
                </w:p>
              </w:tc>
              <w:tc>
                <w:tcPr>
                  <w:tcW w:w="3763" w:type="dxa"/>
                  <w:vAlign w:val="center"/>
                </w:tcPr>
                <w:p w14:paraId="76240C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否</w:t>
                  </w:r>
                </w:p>
              </w:tc>
            </w:tr>
            <w:tr w14:paraId="15076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142" w:type="dxa"/>
                  <w:vMerge w:val="continue"/>
                  <w:vAlign w:val="center"/>
                </w:tcPr>
                <w:p w14:paraId="3A1D35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p>
              </w:tc>
              <w:tc>
                <w:tcPr>
                  <w:tcW w:w="2622" w:type="dxa"/>
                  <w:gridSpan w:val="2"/>
                  <w:vAlign w:val="center"/>
                </w:tcPr>
                <w:p w14:paraId="679996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岸线距离/m</w:t>
                  </w:r>
                </w:p>
              </w:tc>
              <w:tc>
                <w:tcPr>
                  <w:tcW w:w="3763" w:type="dxa"/>
                  <w:vAlign w:val="center"/>
                </w:tcPr>
                <w:p w14:paraId="6E137B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w:t>
                  </w:r>
                </w:p>
              </w:tc>
            </w:tr>
            <w:tr w14:paraId="29ACF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 w:hRule="atLeast"/>
              </w:trPr>
              <w:tc>
                <w:tcPr>
                  <w:tcW w:w="2142" w:type="dxa"/>
                  <w:vMerge w:val="continue"/>
                  <w:vAlign w:val="center"/>
                </w:tcPr>
                <w:p w14:paraId="6B70D9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p>
              </w:tc>
              <w:tc>
                <w:tcPr>
                  <w:tcW w:w="2622" w:type="dxa"/>
                  <w:gridSpan w:val="2"/>
                  <w:vAlign w:val="center"/>
                </w:tcPr>
                <w:p w14:paraId="621AC9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岸线方向/°</w:t>
                  </w:r>
                </w:p>
              </w:tc>
              <w:tc>
                <w:tcPr>
                  <w:tcW w:w="3763" w:type="dxa"/>
                  <w:vAlign w:val="center"/>
                </w:tcPr>
                <w:p w14:paraId="0F65E8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rPr>
                  </w:pPr>
                  <w:r>
                    <w:rPr>
                      <w:rFonts w:ascii="Times New Roman" w:hAnsi="Times New Roman" w:eastAsia="宋体"/>
                      <w:b w:val="0"/>
                      <w:color w:val="auto"/>
                      <w:sz w:val="22"/>
                      <w:szCs w:val="22"/>
                      <w:highlight w:val="none"/>
                    </w:rPr>
                    <w:t>/</w:t>
                  </w:r>
                </w:p>
              </w:tc>
            </w:tr>
          </w:tbl>
          <w:p w14:paraId="1F5438DA">
            <w:pPr>
              <w:keepNext w:val="0"/>
              <w:keepLines w:val="0"/>
              <w:pageBreakBefore w:val="0"/>
              <w:widowControl w:val="0"/>
              <w:kinsoku/>
              <w:wordWrap/>
              <w:overflowPunct/>
              <w:topLinePunct w:val="0"/>
              <w:bidi w:val="0"/>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lang w:val="en-US" w:eastAsia="zh-CN"/>
              </w:rPr>
              <w:t>2）、</w:t>
            </w:r>
            <w:r>
              <w:rPr>
                <w:rFonts w:hint="eastAsia" w:ascii="Times New Roman" w:hAnsi="Times New Roman"/>
                <w:color w:val="auto"/>
                <w:sz w:val="26"/>
                <w:szCs w:val="26"/>
                <w:highlight w:val="none"/>
              </w:rPr>
              <w:t>预测结果</w:t>
            </w:r>
          </w:p>
          <w:p w14:paraId="72E78937">
            <w:pPr>
              <w:keepNext w:val="0"/>
              <w:keepLines w:val="0"/>
              <w:pageBreakBefore w:val="0"/>
              <w:widowControl w:val="0"/>
              <w:kinsoku/>
              <w:wordWrap/>
              <w:overflowPunct/>
              <w:topLinePunct w:val="0"/>
              <w:bidi w:val="0"/>
              <w:spacing w:line="480" w:lineRule="exact"/>
              <w:ind w:firstLine="52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利用 AERSCREEN 模式计算了</w:t>
            </w:r>
            <w:r>
              <w:rPr>
                <w:rFonts w:hint="eastAsia" w:ascii="Times New Roman" w:hAnsi="Times New Roman"/>
                <w:color w:val="auto"/>
                <w:sz w:val="26"/>
                <w:szCs w:val="26"/>
                <w:highlight w:val="none"/>
                <w:lang w:val="en-US" w:eastAsia="zh-CN"/>
              </w:rPr>
              <w:t>本项目污染物的</w:t>
            </w:r>
            <w:r>
              <w:rPr>
                <w:rFonts w:hint="eastAsia" w:ascii="Times New Roman" w:hAnsi="Times New Roman"/>
                <w:color w:val="auto"/>
                <w:sz w:val="26"/>
                <w:szCs w:val="26"/>
                <w:highlight w:val="none"/>
              </w:rPr>
              <w:t>最大落地浓度及出现距离以及相应的占标率，估算结果分别见表</w:t>
            </w:r>
            <w:r>
              <w:rPr>
                <w:rFonts w:hint="eastAsia" w:ascii="Times New Roman" w:hAnsi="Times New Roman"/>
                <w:color w:val="auto"/>
                <w:sz w:val="26"/>
                <w:szCs w:val="26"/>
                <w:highlight w:val="none"/>
                <w:lang w:val="en-US" w:eastAsia="zh-CN"/>
              </w:rPr>
              <w:t>7-</w:t>
            </w:r>
            <w:r>
              <w:rPr>
                <w:rFonts w:hint="eastAsia"/>
                <w:color w:val="auto"/>
                <w:sz w:val="26"/>
                <w:szCs w:val="26"/>
                <w:highlight w:val="none"/>
                <w:lang w:val="en-US" w:eastAsia="zh-CN"/>
              </w:rPr>
              <w:t>6</w:t>
            </w:r>
            <w:r>
              <w:rPr>
                <w:rFonts w:hint="eastAsia" w:ascii="Times New Roman" w:hAnsi="Times New Roman"/>
                <w:color w:val="auto"/>
                <w:sz w:val="26"/>
                <w:szCs w:val="26"/>
                <w:highlight w:val="none"/>
              </w:rPr>
              <w:t>。</w:t>
            </w:r>
          </w:p>
          <w:p w14:paraId="10869323">
            <w:pPr>
              <w:keepNext w:val="0"/>
              <w:keepLines w:val="0"/>
              <w:pageBreakBefore w:val="0"/>
              <w:widowControl w:val="0"/>
              <w:kinsoku/>
              <w:wordWrap/>
              <w:overflowPunct/>
              <w:topLinePunct w:val="0"/>
              <w:bidi w:val="0"/>
              <w:spacing w:line="480" w:lineRule="exact"/>
              <w:ind w:firstLine="422" w:firstLineChars="200"/>
              <w:jc w:val="center"/>
              <w:textAlignment w:val="auto"/>
              <w:rPr>
                <w:rFonts w:hint="eastAsia" w:ascii="Times New Roman" w:hAnsi="Times New Roman" w:eastAsia="宋体" w:cs="Times New Roman"/>
                <w:color w:val="auto"/>
                <w:sz w:val="26"/>
                <w:szCs w:val="26"/>
                <w:highlight w:val="none"/>
              </w:rPr>
            </w:pPr>
            <w:r>
              <w:rPr>
                <w:rFonts w:hint="eastAsia" w:ascii="Times New Roman" w:hAnsi="Times New Roman"/>
                <w:b/>
                <w:bCs/>
                <w:color w:val="auto"/>
                <w:sz w:val="21"/>
                <w:szCs w:val="21"/>
                <w:highlight w:val="none"/>
              </w:rPr>
              <w:t>表</w:t>
            </w:r>
            <w:r>
              <w:rPr>
                <w:rFonts w:hint="eastAsia" w:ascii="Times New Roman" w:hAnsi="Times New Roman"/>
                <w:b/>
                <w:bCs/>
                <w:color w:val="auto"/>
                <w:sz w:val="21"/>
                <w:szCs w:val="21"/>
                <w:highlight w:val="none"/>
                <w:lang w:val="en-US" w:eastAsia="zh-CN"/>
              </w:rPr>
              <w:t>7-</w:t>
            </w:r>
            <w:r>
              <w:rPr>
                <w:rFonts w:hint="eastAsia"/>
                <w:b/>
                <w:bCs/>
                <w:color w:val="auto"/>
                <w:sz w:val="21"/>
                <w:szCs w:val="21"/>
                <w:highlight w:val="none"/>
                <w:lang w:val="en-US" w:eastAsia="zh-CN"/>
              </w:rPr>
              <w:t>6</w:t>
            </w:r>
            <w:r>
              <w:rPr>
                <w:rFonts w:hint="eastAsia" w:ascii="Times New Roman" w:hAnsi="Times New Roman"/>
                <w:b/>
                <w:bCs/>
                <w:color w:val="auto"/>
                <w:sz w:val="21"/>
                <w:szCs w:val="21"/>
                <w:highlight w:val="none"/>
              </w:rPr>
              <w:t xml:space="preserve"> </w:t>
            </w:r>
            <w:r>
              <w:rPr>
                <w:rFonts w:hint="eastAsia"/>
                <w:b/>
                <w:bCs/>
                <w:color w:val="auto"/>
                <w:sz w:val="21"/>
                <w:szCs w:val="21"/>
                <w:highlight w:val="none"/>
                <w:lang w:val="en-US" w:eastAsia="zh-CN"/>
              </w:rPr>
              <w:t>项目无组织</w:t>
            </w:r>
            <w:r>
              <w:rPr>
                <w:rFonts w:hint="eastAsia" w:ascii="Times New Roman" w:hAnsi="Times New Roman"/>
                <w:b/>
                <w:bCs/>
                <w:color w:val="auto"/>
                <w:sz w:val="21"/>
                <w:szCs w:val="21"/>
                <w:highlight w:val="none"/>
              </w:rPr>
              <w:t>计算结果表</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0" w:type="dxa"/>
                <w:bottom w:w="0" w:type="dxa"/>
                <w:right w:w="0" w:type="dxa"/>
              </w:tblCellMar>
            </w:tblPr>
            <w:tblGrid>
              <w:gridCol w:w="907"/>
              <w:gridCol w:w="1254"/>
              <w:gridCol w:w="1036"/>
              <w:gridCol w:w="1282"/>
              <w:gridCol w:w="1350"/>
              <w:gridCol w:w="1305"/>
              <w:gridCol w:w="1167"/>
            </w:tblGrid>
            <w:tr w14:paraId="49D061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vMerge w:val="restart"/>
                  <w:tcBorders>
                    <w:top w:val="single" w:color="auto" w:sz="2" w:space="0"/>
                    <w:left w:val="single" w:color="auto" w:sz="2" w:space="0"/>
                    <w:bottom w:val="single" w:color="auto" w:sz="6" w:space="0"/>
                    <w:right w:val="single" w:color="auto" w:sz="6" w:space="0"/>
                  </w:tcBorders>
                  <w:vAlign w:val="center"/>
                </w:tcPr>
                <w:p w14:paraId="6BD9F88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下风向距离</w:t>
                  </w:r>
                </w:p>
                <w:p w14:paraId="3288197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D/m</w:t>
                  </w:r>
                </w:p>
              </w:tc>
              <w:tc>
                <w:tcPr>
                  <w:tcW w:w="2290" w:type="dxa"/>
                  <w:gridSpan w:val="2"/>
                  <w:tcBorders>
                    <w:top w:val="single" w:color="auto" w:sz="2" w:space="0"/>
                    <w:left w:val="single" w:color="auto" w:sz="6" w:space="0"/>
                    <w:bottom w:val="single" w:color="auto" w:sz="6" w:space="0"/>
                    <w:right w:val="single" w:color="auto" w:sz="2" w:space="0"/>
                  </w:tcBorders>
                  <w:vAlign w:val="center"/>
                </w:tcPr>
                <w:p w14:paraId="719C1CF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钻孔、装卸粉尘</w:t>
                  </w:r>
                </w:p>
              </w:tc>
              <w:tc>
                <w:tcPr>
                  <w:tcW w:w="2632" w:type="dxa"/>
                  <w:gridSpan w:val="2"/>
                  <w:tcBorders>
                    <w:top w:val="single" w:color="auto" w:sz="2" w:space="0"/>
                    <w:left w:val="single" w:color="auto" w:sz="6" w:space="0"/>
                    <w:bottom w:val="single" w:color="auto" w:sz="6" w:space="0"/>
                    <w:right w:val="single" w:color="auto" w:sz="2" w:space="0"/>
                  </w:tcBorders>
                  <w:vAlign w:val="center"/>
                </w:tcPr>
                <w:p w14:paraId="66D4D4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1号破碎场地堆场粉尘</w:t>
                  </w:r>
                </w:p>
              </w:tc>
              <w:tc>
                <w:tcPr>
                  <w:tcW w:w="2472" w:type="dxa"/>
                  <w:gridSpan w:val="2"/>
                  <w:tcBorders>
                    <w:top w:val="single" w:color="auto" w:sz="2" w:space="0"/>
                    <w:left w:val="single" w:color="auto" w:sz="6" w:space="0"/>
                    <w:bottom w:val="single" w:color="auto" w:sz="6" w:space="0"/>
                    <w:right w:val="single" w:color="auto" w:sz="2" w:space="0"/>
                  </w:tcBorders>
                  <w:vAlign w:val="center"/>
                </w:tcPr>
                <w:p w14:paraId="6CB48F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sz w:val="22"/>
                      <w:szCs w:val="22"/>
                      <w:highlight w:val="none"/>
                      <w:lang w:val="en-US" w:eastAsia="zh-CN"/>
                    </w:rPr>
                  </w:pPr>
                  <w:r>
                    <w:rPr>
                      <w:rFonts w:hint="eastAsia" w:ascii="Times New Roman" w:hAnsi="Times New Roman" w:cs="Times New Roman"/>
                      <w:b w:val="0"/>
                      <w:color w:val="auto"/>
                      <w:w w:val="100"/>
                      <w:sz w:val="22"/>
                      <w:szCs w:val="22"/>
                      <w:highlight w:val="none"/>
                      <w:lang w:val="en-US" w:eastAsia="zh-CN"/>
                    </w:rPr>
                    <w:t>1号破碎场地破碎加工无组织粉尘</w:t>
                  </w:r>
                </w:p>
              </w:tc>
            </w:tr>
            <w:tr w14:paraId="6FE5619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vMerge w:val="continue"/>
                  <w:tcBorders>
                    <w:top w:val="single" w:color="auto" w:sz="2" w:space="0"/>
                    <w:left w:val="single" w:color="auto" w:sz="2" w:space="0"/>
                    <w:bottom w:val="single" w:color="auto" w:sz="6" w:space="0"/>
                    <w:right w:val="single" w:color="auto" w:sz="6" w:space="0"/>
                  </w:tcBorders>
                  <w:vAlign w:val="center"/>
                </w:tcPr>
                <w:p w14:paraId="530CF9C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254" w:type="dxa"/>
                  <w:tcBorders>
                    <w:top w:val="single" w:color="auto" w:sz="6" w:space="0"/>
                    <w:left w:val="single" w:color="auto" w:sz="6" w:space="0"/>
                    <w:bottom w:val="single" w:color="auto" w:sz="6" w:space="0"/>
                    <w:right w:val="single" w:color="auto" w:sz="6" w:space="0"/>
                  </w:tcBorders>
                  <w:vAlign w:val="center"/>
                </w:tcPr>
                <w:p w14:paraId="700BBAD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下风向浓度c</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r>
                    <w:rPr>
                      <w:rFonts w:hint="eastAsia" w:ascii="Times New Roman" w:hAnsi="Times New Roman" w:cs="Times New Roman"/>
                      <w:color w:val="auto"/>
                      <w:sz w:val="22"/>
                      <w:szCs w:val="22"/>
                      <w:highlight w:val="none"/>
                      <w:lang w:val="en-US" w:eastAsia="zh-CN"/>
                    </w:rPr>
                    <w:t>u</w:t>
                  </w:r>
                  <w:r>
                    <w:rPr>
                      <w:rFonts w:ascii="Times New Roman" w:hAnsi="Times New Roman" w:cs="Times New Roman"/>
                      <w:color w:val="auto"/>
                      <w:sz w:val="22"/>
                      <w:szCs w:val="22"/>
                      <w:highlight w:val="none"/>
                    </w:rPr>
                    <w:t>g/m</w:t>
                  </w:r>
                  <w:r>
                    <w:rPr>
                      <w:rFonts w:ascii="Times New Roman" w:hAnsi="Times New Roman" w:cs="Times New Roman"/>
                      <w:color w:val="auto"/>
                      <w:sz w:val="22"/>
                      <w:szCs w:val="22"/>
                      <w:highlight w:val="none"/>
                      <w:vertAlign w:val="superscript"/>
                    </w:rPr>
                    <w:t>3</w:t>
                  </w:r>
                  <w:r>
                    <w:rPr>
                      <w:rFonts w:ascii="Times New Roman" w:hAnsi="Times New Roman" w:cs="Times New Roman"/>
                      <w:color w:val="auto"/>
                      <w:sz w:val="22"/>
                      <w:szCs w:val="22"/>
                      <w:highlight w:val="none"/>
                    </w:rPr>
                    <w:t>)</w:t>
                  </w:r>
                </w:p>
              </w:tc>
              <w:tc>
                <w:tcPr>
                  <w:tcW w:w="1036" w:type="dxa"/>
                  <w:tcBorders>
                    <w:top w:val="single" w:color="auto" w:sz="6" w:space="0"/>
                    <w:left w:val="single" w:color="auto" w:sz="6" w:space="0"/>
                    <w:bottom w:val="single" w:color="auto" w:sz="6" w:space="0"/>
                    <w:right w:val="single" w:color="auto" w:sz="2" w:space="0"/>
                  </w:tcBorders>
                  <w:vAlign w:val="center"/>
                </w:tcPr>
                <w:p w14:paraId="04AAED5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占标率P</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p>
              </w:tc>
              <w:tc>
                <w:tcPr>
                  <w:tcW w:w="1282" w:type="dxa"/>
                  <w:tcBorders>
                    <w:top w:val="single" w:color="auto" w:sz="6" w:space="0"/>
                    <w:left w:val="single" w:color="auto" w:sz="6" w:space="0"/>
                    <w:bottom w:val="single" w:color="auto" w:sz="6" w:space="0"/>
                    <w:right w:val="single" w:color="auto" w:sz="4" w:space="0"/>
                  </w:tcBorders>
                  <w:vAlign w:val="center"/>
                </w:tcPr>
                <w:p w14:paraId="3D1E93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下风向浓度c</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r>
                    <w:rPr>
                      <w:rFonts w:hint="eastAsia" w:ascii="Times New Roman" w:hAnsi="Times New Roman" w:cs="Times New Roman"/>
                      <w:color w:val="auto"/>
                      <w:sz w:val="22"/>
                      <w:szCs w:val="22"/>
                      <w:highlight w:val="none"/>
                      <w:lang w:val="en-US" w:eastAsia="zh-CN"/>
                    </w:rPr>
                    <w:t>u</w:t>
                  </w:r>
                  <w:r>
                    <w:rPr>
                      <w:rFonts w:ascii="Times New Roman" w:hAnsi="Times New Roman" w:cs="Times New Roman"/>
                      <w:color w:val="auto"/>
                      <w:sz w:val="22"/>
                      <w:szCs w:val="22"/>
                      <w:highlight w:val="none"/>
                    </w:rPr>
                    <w:t>g/m</w:t>
                  </w:r>
                  <w:r>
                    <w:rPr>
                      <w:rFonts w:ascii="Times New Roman" w:hAnsi="Times New Roman" w:cs="Times New Roman"/>
                      <w:color w:val="auto"/>
                      <w:sz w:val="22"/>
                      <w:szCs w:val="22"/>
                      <w:highlight w:val="none"/>
                      <w:vertAlign w:val="superscript"/>
                    </w:rPr>
                    <w:t>3</w:t>
                  </w:r>
                  <w:r>
                    <w:rPr>
                      <w:rFonts w:ascii="Times New Roman" w:hAnsi="Times New Roman" w:cs="Times New Roman"/>
                      <w:color w:val="auto"/>
                      <w:sz w:val="22"/>
                      <w:szCs w:val="22"/>
                      <w:highlight w:val="none"/>
                    </w:rPr>
                    <w:t>)</w:t>
                  </w:r>
                </w:p>
              </w:tc>
              <w:tc>
                <w:tcPr>
                  <w:tcW w:w="1350" w:type="dxa"/>
                  <w:tcBorders>
                    <w:top w:val="single" w:color="auto" w:sz="6" w:space="0"/>
                    <w:left w:val="single" w:color="auto" w:sz="4" w:space="0"/>
                    <w:bottom w:val="single" w:color="auto" w:sz="6" w:space="0"/>
                    <w:right w:val="single" w:color="auto" w:sz="2" w:space="0"/>
                  </w:tcBorders>
                  <w:vAlign w:val="center"/>
                </w:tcPr>
                <w:p w14:paraId="6333C4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占标率P</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p>
              </w:tc>
              <w:tc>
                <w:tcPr>
                  <w:tcW w:w="1305" w:type="dxa"/>
                  <w:tcBorders>
                    <w:top w:val="single" w:color="auto" w:sz="6" w:space="0"/>
                    <w:left w:val="single" w:color="auto" w:sz="4" w:space="0"/>
                    <w:bottom w:val="single" w:color="auto" w:sz="6" w:space="0"/>
                    <w:right w:val="single" w:color="auto" w:sz="2" w:space="0"/>
                  </w:tcBorders>
                  <w:vAlign w:val="center"/>
                </w:tcPr>
                <w:p w14:paraId="231C03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下风向浓度c</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r>
                    <w:rPr>
                      <w:rFonts w:hint="eastAsia" w:ascii="Times New Roman" w:hAnsi="Times New Roman" w:cs="Times New Roman"/>
                      <w:color w:val="auto"/>
                      <w:sz w:val="22"/>
                      <w:szCs w:val="22"/>
                      <w:highlight w:val="none"/>
                      <w:lang w:val="en-US" w:eastAsia="zh-CN"/>
                    </w:rPr>
                    <w:t>u</w:t>
                  </w:r>
                  <w:r>
                    <w:rPr>
                      <w:rFonts w:ascii="Times New Roman" w:hAnsi="Times New Roman" w:cs="Times New Roman"/>
                      <w:color w:val="auto"/>
                      <w:sz w:val="22"/>
                      <w:szCs w:val="22"/>
                      <w:highlight w:val="none"/>
                    </w:rPr>
                    <w:t>g/m</w:t>
                  </w:r>
                  <w:r>
                    <w:rPr>
                      <w:rFonts w:ascii="Times New Roman" w:hAnsi="Times New Roman" w:cs="Times New Roman"/>
                      <w:color w:val="auto"/>
                      <w:sz w:val="22"/>
                      <w:szCs w:val="22"/>
                      <w:highlight w:val="none"/>
                      <w:vertAlign w:val="superscript"/>
                    </w:rPr>
                    <w:t>3</w:t>
                  </w:r>
                  <w:r>
                    <w:rPr>
                      <w:rFonts w:ascii="Times New Roman" w:hAnsi="Times New Roman" w:cs="Times New Roman"/>
                      <w:color w:val="auto"/>
                      <w:sz w:val="22"/>
                      <w:szCs w:val="22"/>
                      <w:highlight w:val="none"/>
                    </w:rPr>
                    <w:t>)</w:t>
                  </w:r>
                </w:p>
              </w:tc>
              <w:tc>
                <w:tcPr>
                  <w:tcW w:w="0" w:type="auto"/>
                  <w:tcBorders>
                    <w:top w:val="single" w:color="auto" w:sz="6" w:space="0"/>
                    <w:left w:val="single" w:color="auto" w:sz="4" w:space="0"/>
                    <w:bottom w:val="single" w:color="auto" w:sz="6" w:space="0"/>
                    <w:right w:val="single" w:color="auto" w:sz="2" w:space="0"/>
                  </w:tcBorders>
                  <w:vAlign w:val="center"/>
                </w:tcPr>
                <w:p w14:paraId="33D1CE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占标率P</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p>
              </w:tc>
            </w:tr>
            <w:tr w14:paraId="39DB68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7616A1B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50.0</w:t>
                  </w:r>
                </w:p>
              </w:tc>
              <w:tc>
                <w:tcPr>
                  <w:tcW w:w="1254" w:type="dxa"/>
                  <w:tcBorders>
                    <w:top w:val="single" w:color="auto" w:sz="6" w:space="0"/>
                    <w:left w:val="single" w:color="auto" w:sz="6" w:space="0"/>
                    <w:bottom w:val="single" w:color="auto" w:sz="6" w:space="0"/>
                    <w:right w:val="single" w:color="auto" w:sz="6" w:space="0"/>
                  </w:tcBorders>
                  <w:vAlign w:val="center"/>
                </w:tcPr>
                <w:p w14:paraId="7063FB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63.3420</w:t>
                  </w:r>
                </w:p>
              </w:tc>
              <w:tc>
                <w:tcPr>
                  <w:tcW w:w="1036" w:type="dxa"/>
                  <w:tcBorders>
                    <w:top w:val="single" w:color="auto" w:sz="6" w:space="0"/>
                    <w:left w:val="single" w:color="auto" w:sz="6" w:space="0"/>
                    <w:bottom w:val="single" w:color="auto" w:sz="6" w:space="0"/>
                    <w:right w:val="single" w:color="auto" w:sz="2" w:space="0"/>
                  </w:tcBorders>
                  <w:vAlign w:val="center"/>
                </w:tcPr>
                <w:p w14:paraId="48346F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7.0380</w:t>
                  </w:r>
                </w:p>
              </w:tc>
              <w:tc>
                <w:tcPr>
                  <w:tcW w:w="1282" w:type="dxa"/>
                  <w:tcBorders>
                    <w:top w:val="single" w:color="auto" w:sz="6" w:space="0"/>
                    <w:left w:val="single" w:color="auto" w:sz="6" w:space="0"/>
                    <w:bottom w:val="single" w:color="auto" w:sz="6" w:space="0"/>
                    <w:right w:val="single" w:color="auto" w:sz="4" w:space="0"/>
                  </w:tcBorders>
                  <w:vAlign w:val="center"/>
                </w:tcPr>
                <w:p w14:paraId="5A2F7C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22.9120</w:t>
                  </w:r>
                </w:p>
              </w:tc>
              <w:tc>
                <w:tcPr>
                  <w:tcW w:w="1350" w:type="dxa"/>
                  <w:tcBorders>
                    <w:top w:val="single" w:color="auto" w:sz="6" w:space="0"/>
                    <w:left w:val="single" w:color="auto" w:sz="4" w:space="0"/>
                    <w:bottom w:val="single" w:color="auto" w:sz="6" w:space="0"/>
                    <w:right w:val="single" w:color="auto" w:sz="2" w:space="0"/>
                  </w:tcBorders>
                  <w:vAlign w:val="center"/>
                </w:tcPr>
                <w:p w14:paraId="163F62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2.5458</w:t>
                  </w:r>
                </w:p>
              </w:tc>
              <w:tc>
                <w:tcPr>
                  <w:tcW w:w="1305" w:type="dxa"/>
                  <w:tcBorders>
                    <w:top w:val="single" w:color="auto" w:sz="6" w:space="0"/>
                    <w:left w:val="single" w:color="auto" w:sz="4" w:space="0"/>
                    <w:bottom w:val="single" w:color="auto" w:sz="6" w:space="0"/>
                    <w:right w:val="single" w:color="auto" w:sz="2" w:space="0"/>
                  </w:tcBorders>
                  <w:vAlign w:val="center"/>
                </w:tcPr>
                <w:p w14:paraId="6B9E8E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75.8780</w:t>
                  </w:r>
                </w:p>
              </w:tc>
              <w:tc>
                <w:tcPr>
                  <w:tcW w:w="1167" w:type="dxa"/>
                  <w:tcBorders>
                    <w:top w:val="single" w:color="auto" w:sz="6" w:space="0"/>
                    <w:left w:val="single" w:color="auto" w:sz="4" w:space="0"/>
                    <w:bottom w:val="single" w:color="auto" w:sz="6" w:space="0"/>
                    <w:right w:val="single" w:color="auto" w:sz="2" w:space="0"/>
                  </w:tcBorders>
                  <w:vAlign w:val="center"/>
                </w:tcPr>
                <w:p w14:paraId="22E601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8.4309</w:t>
                  </w:r>
                </w:p>
              </w:tc>
            </w:tr>
            <w:tr w14:paraId="1704329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61D6DD8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100.0</w:t>
                  </w:r>
                </w:p>
              </w:tc>
              <w:tc>
                <w:tcPr>
                  <w:tcW w:w="1254" w:type="dxa"/>
                  <w:tcBorders>
                    <w:top w:val="single" w:color="auto" w:sz="6" w:space="0"/>
                    <w:left w:val="single" w:color="auto" w:sz="6" w:space="0"/>
                    <w:bottom w:val="single" w:color="auto" w:sz="6" w:space="0"/>
                    <w:right w:val="single" w:color="auto" w:sz="6" w:space="0"/>
                  </w:tcBorders>
                  <w:vAlign w:val="center"/>
                </w:tcPr>
                <w:p w14:paraId="2B98CC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46.3670</w:t>
                  </w:r>
                </w:p>
              </w:tc>
              <w:tc>
                <w:tcPr>
                  <w:tcW w:w="1036" w:type="dxa"/>
                  <w:tcBorders>
                    <w:top w:val="single" w:color="auto" w:sz="6" w:space="0"/>
                    <w:left w:val="single" w:color="auto" w:sz="6" w:space="0"/>
                    <w:bottom w:val="single" w:color="auto" w:sz="6" w:space="0"/>
                    <w:right w:val="single" w:color="auto" w:sz="2" w:space="0"/>
                  </w:tcBorders>
                  <w:vAlign w:val="center"/>
                </w:tcPr>
                <w:p w14:paraId="69DC7E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5.1519</w:t>
                  </w:r>
                </w:p>
              </w:tc>
              <w:tc>
                <w:tcPr>
                  <w:tcW w:w="1282" w:type="dxa"/>
                  <w:tcBorders>
                    <w:top w:val="single" w:color="auto" w:sz="6" w:space="0"/>
                    <w:left w:val="single" w:color="auto" w:sz="6" w:space="0"/>
                    <w:bottom w:val="single" w:color="auto" w:sz="6" w:space="0"/>
                    <w:right w:val="single" w:color="auto" w:sz="4" w:space="0"/>
                  </w:tcBorders>
                  <w:vAlign w:val="center"/>
                </w:tcPr>
                <w:p w14:paraId="29FA99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15.3560</w:t>
                  </w:r>
                </w:p>
              </w:tc>
              <w:tc>
                <w:tcPr>
                  <w:tcW w:w="1350" w:type="dxa"/>
                  <w:tcBorders>
                    <w:top w:val="single" w:color="auto" w:sz="6" w:space="0"/>
                    <w:left w:val="single" w:color="auto" w:sz="4" w:space="0"/>
                    <w:bottom w:val="single" w:color="auto" w:sz="6" w:space="0"/>
                    <w:right w:val="single" w:color="auto" w:sz="2" w:space="0"/>
                  </w:tcBorders>
                  <w:vAlign w:val="center"/>
                </w:tcPr>
                <w:p w14:paraId="42FCFA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1.7062</w:t>
                  </w:r>
                </w:p>
              </w:tc>
              <w:tc>
                <w:tcPr>
                  <w:tcW w:w="1305" w:type="dxa"/>
                  <w:tcBorders>
                    <w:top w:val="single" w:color="auto" w:sz="6" w:space="0"/>
                    <w:left w:val="single" w:color="auto" w:sz="4" w:space="0"/>
                    <w:bottom w:val="single" w:color="auto" w:sz="6" w:space="0"/>
                    <w:right w:val="single" w:color="auto" w:sz="2" w:space="0"/>
                  </w:tcBorders>
                  <w:vAlign w:val="center"/>
                </w:tcPr>
                <w:p w14:paraId="33A946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57.0860</w:t>
                  </w:r>
                </w:p>
              </w:tc>
              <w:tc>
                <w:tcPr>
                  <w:tcW w:w="1167" w:type="dxa"/>
                  <w:tcBorders>
                    <w:top w:val="single" w:color="auto" w:sz="6" w:space="0"/>
                    <w:left w:val="single" w:color="auto" w:sz="4" w:space="0"/>
                    <w:bottom w:val="single" w:color="auto" w:sz="6" w:space="0"/>
                    <w:right w:val="single" w:color="auto" w:sz="2" w:space="0"/>
                  </w:tcBorders>
                  <w:vAlign w:val="center"/>
                </w:tcPr>
                <w:p w14:paraId="00EEC19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6.3429</w:t>
                  </w:r>
                </w:p>
              </w:tc>
            </w:tr>
            <w:tr w14:paraId="6FA9654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62D66DA3">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200.0</w:t>
                  </w:r>
                </w:p>
              </w:tc>
              <w:tc>
                <w:tcPr>
                  <w:tcW w:w="1254" w:type="dxa"/>
                  <w:tcBorders>
                    <w:top w:val="single" w:color="auto" w:sz="6" w:space="0"/>
                    <w:left w:val="single" w:color="auto" w:sz="6" w:space="0"/>
                    <w:bottom w:val="single" w:color="auto" w:sz="6" w:space="0"/>
                    <w:right w:val="single" w:color="auto" w:sz="6" w:space="0"/>
                  </w:tcBorders>
                  <w:vAlign w:val="center"/>
                </w:tcPr>
                <w:p w14:paraId="3DA589A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27.9740</w:t>
                  </w:r>
                </w:p>
              </w:tc>
              <w:tc>
                <w:tcPr>
                  <w:tcW w:w="1036" w:type="dxa"/>
                  <w:tcBorders>
                    <w:top w:val="single" w:color="auto" w:sz="6" w:space="0"/>
                    <w:left w:val="single" w:color="auto" w:sz="6" w:space="0"/>
                    <w:bottom w:val="single" w:color="auto" w:sz="6" w:space="0"/>
                    <w:right w:val="single" w:color="auto" w:sz="2" w:space="0"/>
                  </w:tcBorders>
                  <w:vAlign w:val="center"/>
                </w:tcPr>
                <w:p w14:paraId="3A4C4C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3.1082</w:t>
                  </w:r>
                </w:p>
              </w:tc>
              <w:tc>
                <w:tcPr>
                  <w:tcW w:w="1282" w:type="dxa"/>
                  <w:tcBorders>
                    <w:top w:val="single" w:color="auto" w:sz="6" w:space="0"/>
                    <w:left w:val="single" w:color="auto" w:sz="6" w:space="0"/>
                    <w:bottom w:val="single" w:color="auto" w:sz="6" w:space="0"/>
                    <w:right w:val="single" w:color="auto" w:sz="4" w:space="0"/>
                  </w:tcBorders>
                  <w:vAlign w:val="center"/>
                </w:tcPr>
                <w:p w14:paraId="6F7EEF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12.2370</w:t>
                  </w:r>
                </w:p>
              </w:tc>
              <w:tc>
                <w:tcPr>
                  <w:tcW w:w="1350" w:type="dxa"/>
                  <w:tcBorders>
                    <w:top w:val="single" w:color="auto" w:sz="6" w:space="0"/>
                    <w:left w:val="single" w:color="auto" w:sz="4" w:space="0"/>
                    <w:bottom w:val="single" w:color="auto" w:sz="6" w:space="0"/>
                    <w:right w:val="single" w:color="auto" w:sz="2" w:space="0"/>
                  </w:tcBorders>
                  <w:vAlign w:val="center"/>
                </w:tcPr>
                <w:p w14:paraId="147C62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1.3597</w:t>
                  </w:r>
                </w:p>
              </w:tc>
              <w:tc>
                <w:tcPr>
                  <w:tcW w:w="1305" w:type="dxa"/>
                  <w:tcBorders>
                    <w:top w:val="single" w:color="auto" w:sz="6" w:space="0"/>
                    <w:left w:val="single" w:color="auto" w:sz="4" w:space="0"/>
                    <w:bottom w:val="single" w:color="auto" w:sz="6" w:space="0"/>
                    <w:right w:val="single" w:color="auto" w:sz="2" w:space="0"/>
                  </w:tcBorders>
                  <w:vAlign w:val="center"/>
                </w:tcPr>
                <w:p w14:paraId="08911A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34.4420</w:t>
                  </w:r>
                </w:p>
              </w:tc>
              <w:tc>
                <w:tcPr>
                  <w:tcW w:w="1167" w:type="dxa"/>
                  <w:tcBorders>
                    <w:top w:val="single" w:color="auto" w:sz="6" w:space="0"/>
                    <w:left w:val="single" w:color="auto" w:sz="4" w:space="0"/>
                    <w:bottom w:val="single" w:color="auto" w:sz="6" w:space="0"/>
                    <w:right w:val="single" w:color="auto" w:sz="2" w:space="0"/>
                  </w:tcBorders>
                  <w:vAlign w:val="center"/>
                </w:tcPr>
                <w:p w14:paraId="69F4DA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3.8269</w:t>
                  </w:r>
                </w:p>
              </w:tc>
            </w:tr>
            <w:tr w14:paraId="7419B43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14DFDEFE">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300.0</w:t>
                  </w:r>
                </w:p>
              </w:tc>
              <w:tc>
                <w:tcPr>
                  <w:tcW w:w="1254" w:type="dxa"/>
                  <w:tcBorders>
                    <w:top w:val="single" w:color="auto" w:sz="6" w:space="0"/>
                    <w:left w:val="single" w:color="auto" w:sz="6" w:space="0"/>
                    <w:bottom w:val="single" w:color="auto" w:sz="6" w:space="0"/>
                    <w:right w:val="single" w:color="auto" w:sz="6" w:space="0"/>
                  </w:tcBorders>
                  <w:vAlign w:val="center"/>
                </w:tcPr>
                <w:p w14:paraId="5E319E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20.9760</w:t>
                  </w:r>
                </w:p>
              </w:tc>
              <w:tc>
                <w:tcPr>
                  <w:tcW w:w="1036" w:type="dxa"/>
                  <w:tcBorders>
                    <w:top w:val="single" w:color="auto" w:sz="6" w:space="0"/>
                    <w:left w:val="single" w:color="auto" w:sz="6" w:space="0"/>
                    <w:bottom w:val="single" w:color="auto" w:sz="6" w:space="0"/>
                    <w:right w:val="single" w:color="auto" w:sz="2" w:space="0"/>
                  </w:tcBorders>
                  <w:vAlign w:val="center"/>
                </w:tcPr>
                <w:p w14:paraId="5313A0E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2.3307</w:t>
                  </w:r>
                </w:p>
              </w:tc>
              <w:tc>
                <w:tcPr>
                  <w:tcW w:w="1282" w:type="dxa"/>
                  <w:tcBorders>
                    <w:top w:val="single" w:color="auto" w:sz="6" w:space="0"/>
                    <w:left w:val="single" w:color="auto" w:sz="6" w:space="0"/>
                    <w:bottom w:val="single" w:color="auto" w:sz="6" w:space="0"/>
                    <w:right w:val="single" w:color="auto" w:sz="4" w:space="0"/>
                  </w:tcBorders>
                  <w:vAlign w:val="center"/>
                </w:tcPr>
                <w:p w14:paraId="6673EB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10.3600</w:t>
                  </w:r>
                </w:p>
              </w:tc>
              <w:tc>
                <w:tcPr>
                  <w:tcW w:w="1350" w:type="dxa"/>
                  <w:tcBorders>
                    <w:top w:val="single" w:color="auto" w:sz="6" w:space="0"/>
                    <w:left w:val="single" w:color="auto" w:sz="4" w:space="0"/>
                    <w:bottom w:val="single" w:color="auto" w:sz="6" w:space="0"/>
                    <w:right w:val="single" w:color="auto" w:sz="2" w:space="0"/>
                  </w:tcBorders>
                  <w:vAlign w:val="center"/>
                </w:tcPr>
                <w:p w14:paraId="371475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1.1511</w:t>
                  </w:r>
                </w:p>
              </w:tc>
              <w:tc>
                <w:tcPr>
                  <w:tcW w:w="1305" w:type="dxa"/>
                  <w:tcBorders>
                    <w:top w:val="single" w:color="auto" w:sz="6" w:space="0"/>
                    <w:left w:val="single" w:color="auto" w:sz="4" w:space="0"/>
                    <w:bottom w:val="single" w:color="auto" w:sz="6" w:space="0"/>
                    <w:right w:val="single" w:color="auto" w:sz="2" w:space="0"/>
                  </w:tcBorders>
                  <w:vAlign w:val="center"/>
                </w:tcPr>
                <w:p w14:paraId="073C9B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25.8260</w:t>
                  </w:r>
                </w:p>
              </w:tc>
              <w:tc>
                <w:tcPr>
                  <w:tcW w:w="1167" w:type="dxa"/>
                  <w:tcBorders>
                    <w:top w:val="single" w:color="auto" w:sz="6" w:space="0"/>
                    <w:left w:val="single" w:color="auto" w:sz="4" w:space="0"/>
                    <w:bottom w:val="single" w:color="auto" w:sz="6" w:space="0"/>
                    <w:right w:val="single" w:color="auto" w:sz="2" w:space="0"/>
                  </w:tcBorders>
                  <w:vAlign w:val="center"/>
                </w:tcPr>
                <w:p w14:paraId="5B85D2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2.8696</w:t>
                  </w:r>
                </w:p>
              </w:tc>
            </w:tr>
            <w:tr w14:paraId="266031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6B96F02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400.0</w:t>
                  </w:r>
                </w:p>
              </w:tc>
              <w:tc>
                <w:tcPr>
                  <w:tcW w:w="1254" w:type="dxa"/>
                  <w:tcBorders>
                    <w:top w:val="single" w:color="auto" w:sz="6" w:space="0"/>
                    <w:left w:val="single" w:color="auto" w:sz="6" w:space="0"/>
                    <w:bottom w:val="single" w:color="auto" w:sz="6" w:space="0"/>
                    <w:right w:val="single" w:color="auto" w:sz="6" w:space="0"/>
                  </w:tcBorders>
                  <w:vAlign w:val="center"/>
                </w:tcPr>
                <w:p w14:paraId="0F4718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17.1150</w:t>
                  </w:r>
                </w:p>
              </w:tc>
              <w:tc>
                <w:tcPr>
                  <w:tcW w:w="1036" w:type="dxa"/>
                  <w:tcBorders>
                    <w:top w:val="single" w:color="auto" w:sz="6" w:space="0"/>
                    <w:left w:val="single" w:color="auto" w:sz="6" w:space="0"/>
                    <w:bottom w:val="single" w:color="auto" w:sz="6" w:space="0"/>
                    <w:right w:val="single" w:color="auto" w:sz="2" w:space="0"/>
                  </w:tcBorders>
                  <w:vAlign w:val="center"/>
                </w:tcPr>
                <w:p w14:paraId="196D9C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1.9017</w:t>
                  </w:r>
                </w:p>
              </w:tc>
              <w:tc>
                <w:tcPr>
                  <w:tcW w:w="1282" w:type="dxa"/>
                  <w:tcBorders>
                    <w:top w:val="single" w:color="auto" w:sz="6" w:space="0"/>
                    <w:left w:val="single" w:color="auto" w:sz="6" w:space="0"/>
                    <w:bottom w:val="single" w:color="auto" w:sz="6" w:space="0"/>
                    <w:right w:val="single" w:color="auto" w:sz="4" w:space="0"/>
                  </w:tcBorders>
                  <w:vAlign w:val="center"/>
                </w:tcPr>
                <w:p w14:paraId="6DD99C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9.0124</w:t>
                  </w:r>
                </w:p>
              </w:tc>
              <w:tc>
                <w:tcPr>
                  <w:tcW w:w="1350" w:type="dxa"/>
                  <w:tcBorders>
                    <w:top w:val="single" w:color="auto" w:sz="6" w:space="0"/>
                    <w:left w:val="single" w:color="auto" w:sz="4" w:space="0"/>
                    <w:bottom w:val="single" w:color="auto" w:sz="6" w:space="0"/>
                    <w:right w:val="single" w:color="auto" w:sz="2" w:space="0"/>
                  </w:tcBorders>
                  <w:vAlign w:val="center"/>
                </w:tcPr>
                <w:p w14:paraId="5A8D1B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1.0014</w:t>
                  </w:r>
                </w:p>
              </w:tc>
              <w:tc>
                <w:tcPr>
                  <w:tcW w:w="1305" w:type="dxa"/>
                  <w:tcBorders>
                    <w:top w:val="single" w:color="auto" w:sz="6" w:space="0"/>
                    <w:left w:val="single" w:color="auto" w:sz="4" w:space="0"/>
                    <w:bottom w:val="single" w:color="auto" w:sz="6" w:space="0"/>
                    <w:right w:val="single" w:color="auto" w:sz="2" w:space="0"/>
                  </w:tcBorders>
                  <w:vAlign w:val="center"/>
                </w:tcPr>
                <w:p w14:paraId="41007D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21.0720</w:t>
                  </w:r>
                </w:p>
              </w:tc>
              <w:tc>
                <w:tcPr>
                  <w:tcW w:w="1167" w:type="dxa"/>
                  <w:tcBorders>
                    <w:top w:val="single" w:color="auto" w:sz="6" w:space="0"/>
                    <w:left w:val="single" w:color="auto" w:sz="4" w:space="0"/>
                    <w:bottom w:val="single" w:color="auto" w:sz="6" w:space="0"/>
                    <w:right w:val="single" w:color="auto" w:sz="2" w:space="0"/>
                  </w:tcBorders>
                  <w:vAlign w:val="center"/>
                </w:tcPr>
                <w:p w14:paraId="5B7E5C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2.3413</w:t>
                  </w:r>
                </w:p>
              </w:tc>
            </w:tr>
            <w:tr w14:paraId="2FD9E0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6071CA6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500.0</w:t>
                  </w:r>
                </w:p>
              </w:tc>
              <w:tc>
                <w:tcPr>
                  <w:tcW w:w="1254" w:type="dxa"/>
                  <w:tcBorders>
                    <w:top w:val="single" w:color="auto" w:sz="6" w:space="0"/>
                    <w:left w:val="single" w:color="auto" w:sz="6" w:space="0"/>
                    <w:bottom w:val="single" w:color="auto" w:sz="6" w:space="0"/>
                    <w:right w:val="single" w:color="auto" w:sz="6" w:space="0"/>
                  </w:tcBorders>
                  <w:vAlign w:val="center"/>
                </w:tcPr>
                <w:p w14:paraId="6430C4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14.6210</w:t>
                  </w:r>
                </w:p>
              </w:tc>
              <w:tc>
                <w:tcPr>
                  <w:tcW w:w="1036" w:type="dxa"/>
                  <w:tcBorders>
                    <w:top w:val="single" w:color="auto" w:sz="6" w:space="0"/>
                    <w:left w:val="single" w:color="auto" w:sz="6" w:space="0"/>
                    <w:bottom w:val="single" w:color="auto" w:sz="6" w:space="0"/>
                    <w:right w:val="single" w:color="auto" w:sz="2" w:space="0"/>
                  </w:tcBorders>
                  <w:vAlign w:val="center"/>
                </w:tcPr>
                <w:p w14:paraId="61E626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1.6246</w:t>
                  </w:r>
                </w:p>
              </w:tc>
              <w:tc>
                <w:tcPr>
                  <w:tcW w:w="1282" w:type="dxa"/>
                  <w:tcBorders>
                    <w:top w:val="single" w:color="auto" w:sz="6" w:space="0"/>
                    <w:left w:val="single" w:color="auto" w:sz="6" w:space="0"/>
                    <w:bottom w:val="single" w:color="auto" w:sz="6" w:space="0"/>
                    <w:right w:val="single" w:color="auto" w:sz="4" w:space="0"/>
                  </w:tcBorders>
                  <w:vAlign w:val="center"/>
                </w:tcPr>
                <w:p w14:paraId="7CDA51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7.9236</w:t>
                  </w:r>
                </w:p>
              </w:tc>
              <w:tc>
                <w:tcPr>
                  <w:tcW w:w="1350" w:type="dxa"/>
                  <w:tcBorders>
                    <w:top w:val="single" w:color="auto" w:sz="6" w:space="0"/>
                    <w:left w:val="single" w:color="auto" w:sz="4" w:space="0"/>
                    <w:bottom w:val="single" w:color="auto" w:sz="6" w:space="0"/>
                    <w:right w:val="single" w:color="auto" w:sz="2" w:space="0"/>
                  </w:tcBorders>
                  <w:vAlign w:val="center"/>
                </w:tcPr>
                <w:p w14:paraId="37136C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0.8804</w:t>
                  </w:r>
                </w:p>
              </w:tc>
              <w:tc>
                <w:tcPr>
                  <w:tcW w:w="1305" w:type="dxa"/>
                  <w:tcBorders>
                    <w:top w:val="single" w:color="auto" w:sz="6" w:space="0"/>
                    <w:left w:val="single" w:color="auto" w:sz="4" w:space="0"/>
                    <w:bottom w:val="single" w:color="auto" w:sz="6" w:space="0"/>
                    <w:right w:val="single" w:color="auto" w:sz="2" w:space="0"/>
                  </w:tcBorders>
                  <w:vAlign w:val="center"/>
                </w:tcPr>
                <w:p w14:paraId="2A7197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18.0020</w:t>
                  </w:r>
                </w:p>
              </w:tc>
              <w:tc>
                <w:tcPr>
                  <w:tcW w:w="1167" w:type="dxa"/>
                  <w:tcBorders>
                    <w:top w:val="single" w:color="auto" w:sz="6" w:space="0"/>
                    <w:left w:val="single" w:color="auto" w:sz="4" w:space="0"/>
                    <w:bottom w:val="single" w:color="auto" w:sz="6" w:space="0"/>
                    <w:right w:val="single" w:color="auto" w:sz="2" w:space="0"/>
                  </w:tcBorders>
                  <w:vAlign w:val="center"/>
                </w:tcPr>
                <w:p w14:paraId="52A2A5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2.0002</w:t>
                  </w:r>
                </w:p>
              </w:tc>
            </w:tr>
            <w:tr w14:paraId="7702A5B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2BA5E46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600.0</w:t>
                  </w:r>
                </w:p>
              </w:tc>
              <w:tc>
                <w:tcPr>
                  <w:tcW w:w="1254" w:type="dxa"/>
                  <w:tcBorders>
                    <w:top w:val="single" w:color="auto" w:sz="6" w:space="0"/>
                    <w:left w:val="single" w:color="auto" w:sz="6" w:space="0"/>
                    <w:bottom w:val="single" w:color="auto" w:sz="6" w:space="0"/>
                    <w:right w:val="single" w:color="auto" w:sz="6" w:space="0"/>
                  </w:tcBorders>
                  <w:vAlign w:val="center"/>
                </w:tcPr>
                <w:p w14:paraId="1EA947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12.8590</w:t>
                  </w:r>
                </w:p>
              </w:tc>
              <w:tc>
                <w:tcPr>
                  <w:tcW w:w="1036" w:type="dxa"/>
                  <w:tcBorders>
                    <w:top w:val="single" w:color="auto" w:sz="6" w:space="0"/>
                    <w:left w:val="single" w:color="auto" w:sz="6" w:space="0"/>
                    <w:bottom w:val="single" w:color="auto" w:sz="6" w:space="0"/>
                    <w:right w:val="single" w:color="auto" w:sz="2" w:space="0"/>
                  </w:tcBorders>
                  <w:vAlign w:val="center"/>
                </w:tcPr>
                <w:p w14:paraId="59A6E5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1.4288</w:t>
                  </w:r>
                </w:p>
              </w:tc>
              <w:tc>
                <w:tcPr>
                  <w:tcW w:w="1282" w:type="dxa"/>
                  <w:tcBorders>
                    <w:top w:val="single" w:color="auto" w:sz="6" w:space="0"/>
                    <w:left w:val="single" w:color="auto" w:sz="6" w:space="0"/>
                    <w:bottom w:val="single" w:color="auto" w:sz="6" w:space="0"/>
                    <w:right w:val="single" w:color="auto" w:sz="4" w:space="0"/>
                  </w:tcBorders>
                  <w:vAlign w:val="center"/>
                </w:tcPr>
                <w:p w14:paraId="459692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7.0501</w:t>
                  </w:r>
                </w:p>
              </w:tc>
              <w:tc>
                <w:tcPr>
                  <w:tcW w:w="1350" w:type="dxa"/>
                  <w:tcBorders>
                    <w:top w:val="single" w:color="auto" w:sz="6" w:space="0"/>
                    <w:left w:val="single" w:color="auto" w:sz="4" w:space="0"/>
                    <w:bottom w:val="single" w:color="auto" w:sz="6" w:space="0"/>
                    <w:right w:val="single" w:color="auto" w:sz="2" w:space="0"/>
                  </w:tcBorders>
                  <w:vAlign w:val="center"/>
                </w:tcPr>
                <w:p w14:paraId="5EC7F4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0.7833</w:t>
                  </w:r>
                </w:p>
              </w:tc>
              <w:tc>
                <w:tcPr>
                  <w:tcW w:w="1305" w:type="dxa"/>
                  <w:tcBorders>
                    <w:top w:val="single" w:color="auto" w:sz="6" w:space="0"/>
                    <w:left w:val="single" w:color="auto" w:sz="4" w:space="0"/>
                    <w:bottom w:val="single" w:color="auto" w:sz="6" w:space="0"/>
                    <w:right w:val="single" w:color="auto" w:sz="2" w:space="0"/>
                  </w:tcBorders>
                  <w:vAlign w:val="center"/>
                </w:tcPr>
                <w:p w14:paraId="61A967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15.8320</w:t>
                  </w:r>
                </w:p>
              </w:tc>
              <w:tc>
                <w:tcPr>
                  <w:tcW w:w="1167" w:type="dxa"/>
                  <w:tcBorders>
                    <w:top w:val="single" w:color="auto" w:sz="6" w:space="0"/>
                    <w:left w:val="single" w:color="auto" w:sz="4" w:space="0"/>
                    <w:bottom w:val="single" w:color="auto" w:sz="6" w:space="0"/>
                    <w:right w:val="single" w:color="auto" w:sz="2" w:space="0"/>
                  </w:tcBorders>
                  <w:vAlign w:val="center"/>
                </w:tcPr>
                <w:p w14:paraId="09F620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1.7591</w:t>
                  </w:r>
                </w:p>
              </w:tc>
            </w:tr>
            <w:tr w14:paraId="44CA083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6697CCE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700.0</w:t>
                  </w:r>
                </w:p>
              </w:tc>
              <w:tc>
                <w:tcPr>
                  <w:tcW w:w="1254" w:type="dxa"/>
                  <w:tcBorders>
                    <w:top w:val="single" w:color="auto" w:sz="6" w:space="0"/>
                    <w:left w:val="single" w:color="auto" w:sz="6" w:space="0"/>
                    <w:bottom w:val="single" w:color="auto" w:sz="6" w:space="0"/>
                    <w:right w:val="single" w:color="auto" w:sz="6" w:space="0"/>
                  </w:tcBorders>
                  <w:vAlign w:val="center"/>
                </w:tcPr>
                <w:p w14:paraId="750509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11.5370</w:t>
                  </w:r>
                </w:p>
              </w:tc>
              <w:tc>
                <w:tcPr>
                  <w:tcW w:w="1036" w:type="dxa"/>
                  <w:tcBorders>
                    <w:top w:val="single" w:color="auto" w:sz="6" w:space="0"/>
                    <w:left w:val="single" w:color="auto" w:sz="6" w:space="0"/>
                    <w:bottom w:val="single" w:color="auto" w:sz="6" w:space="0"/>
                    <w:right w:val="single" w:color="auto" w:sz="2" w:space="0"/>
                  </w:tcBorders>
                  <w:vAlign w:val="center"/>
                </w:tcPr>
                <w:p w14:paraId="7FDC31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1.2819</w:t>
                  </w:r>
                </w:p>
              </w:tc>
              <w:tc>
                <w:tcPr>
                  <w:tcW w:w="1282" w:type="dxa"/>
                  <w:tcBorders>
                    <w:top w:val="single" w:color="auto" w:sz="6" w:space="0"/>
                    <w:left w:val="single" w:color="auto" w:sz="6" w:space="0"/>
                    <w:bottom w:val="single" w:color="auto" w:sz="6" w:space="0"/>
                    <w:right w:val="single" w:color="auto" w:sz="4" w:space="0"/>
                  </w:tcBorders>
                  <w:vAlign w:val="center"/>
                </w:tcPr>
                <w:p w14:paraId="665EE9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6.3352</w:t>
                  </w:r>
                </w:p>
              </w:tc>
              <w:tc>
                <w:tcPr>
                  <w:tcW w:w="1350" w:type="dxa"/>
                  <w:tcBorders>
                    <w:top w:val="single" w:color="auto" w:sz="6" w:space="0"/>
                    <w:left w:val="single" w:color="auto" w:sz="4" w:space="0"/>
                    <w:bottom w:val="single" w:color="auto" w:sz="6" w:space="0"/>
                    <w:right w:val="single" w:color="auto" w:sz="2" w:space="0"/>
                  </w:tcBorders>
                  <w:vAlign w:val="center"/>
                </w:tcPr>
                <w:p w14:paraId="0A02F9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0.7039</w:t>
                  </w:r>
                </w:p>
              </w:tc>
              <w:tc>
                <w:tcPr>
                  <w:tcW w:w="1305" w:type="dxa"/>
                  <w:tcBorders>
                    <w:top w:val="single" w:color="auto" w:sz="6" w:space="0"/>
                    <w:left w:val="single" w:color="auto" w:sz="4" w:space="0"/>
                    <w:bottom w:val="single" w:color="auto" w:sz="6" w:space="0"/>
                    <w:right w:val="single" w:color="auto" w:sz="2" w:space="0"/>
                  </w:tcBorders>
                  <w:vAlign w:val="center"/>
                </w:tcPr>
                <w:p w14:paraId="0BDFC7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14.2040</w:t>
                  </w:r>
                </w:p>
              </w:tc>
              <w:tc>
                <w:tcPr>
                  <w:tcW w:w="1167" w:type="dxa"/>
                  <w:tcBorders>
                    <w:top w:val="single" w:color="auto" w:sz="6" w:space="0"/>
                    <w:left w:val="single" w:color="auto" w:sz="4" w:space="0"/>
                    <w:bottom w:val="single" w:color="auto" w:sz="6" w:space="0"/>
                    <w:right w:val="single" w:color="auto" w:sz="2" w:space="0"/>
                  </w:tcBorders>
                  <w:vAlign w:val="center"/>
                </w:tcPr>
                <w:p w14:paraId="28ED34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1.5782</w:t>
                  </w:r>
                </w:p>
              </w:tc>
            </w:tr>
            <w:tr w14:paraId="3BC5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11C2F74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800.0</w:t>
                  </w:r>
                </w:p>
              </w:tc>
              <w:tc>
                <w:tcPr>
                  <w:tcW w:w="1254" w:type="dxa"/>
                  <w:tcBorders>
                    <w:top w:val="single" w:color="auto" w:sz="6" w:space="0"/>
                    <w:left w:val="single" w:color="auto" w:sz="6" w:space="0"/>
                    <w:bottom w:val="single" w:color="auto" w:sz="6" w:space="0"/>
                    <w:right w:val="single" w:color="auto" w:sz="6" w:space="0"/>
                  </w:tcBorders>
                  <w:vAlign w:val="center"/>
                </w:tcPr>
                <w:p w14:paraId="00FFE2E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10.5020</w:t>
                  </w:r>
                </w:p>
              </w:tc>
              <w:tc>
                <w:tcPr>
                  <w:tcW w:w="1036" w:type="dxa"/>
                  <w:tcBorders>
                    <w:top w:val="single" w:color="auto" w:sz="6" w:space="0"/>
                    <w:left w:val="single" w:color="auto" w:sz="6" w:space="0"/>
                    <w:bottom w:val="single" w:color="auto" w:sz="6" w:space="0"/>
                    <w:right w:val="single" w:color="auto" w:sz="2" w:space="0"/>
                  </w:tcBorders>
                  <w:vAlign w:val="center"/>
                </w:tcPr>
                <w:p w14:paraId="183417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1.1669</w:t>
                  </w:r>
                </w:p>
              </w:tc>
              <w:tc>
                <w:tcPr>
                  <w:tcW w:w="1282" w:type="dxa"/>
                  <w:tcBorders>
                    <w:top w:val="single" w:color="auto" w:sz="6" w:space="0"/>
                    <w:left w:val="single" w:color="auto" w:sz="6" w:space="0"/>
                    <w:bottom w:val="single" w:color="auto" w:sz="6" w:space="0"/>
                    <w:right w:val="single" w:color="auto" w:sz="4" w:space="0"/>
                  </w:tcBorders>
                  <w:vAlign w:val="center"/>
                </w:tcPr>
                <w:p w14:paraId="3CFE00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5.7407</w:t>
                  </w:r>
                </w:p>
              </w:tc>
              <w:tc>
                <w:tcPr>
                  <w:tcW w:w="1350" w:type="dxa"/>
                  <w:tcBorders>
                    <w:top w:val="single" w:color="auto" w:sz="6" w:space="0"/>
                    <w:left w:val="single" w:color="auto" w:sz="4" w:space="0"/>
                    <w:bottom w:val="single" w:color="auto" w:sz="6" w:space="0"/>
                    <w:right w:val="single" w:color="auto" w:sz="2" w:space="0"/>
                  </w:tcBorders>
                  <w:vAlign w:val="center"/>
                </w:tcPr>
                <w:p w14:paraId="465EAC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0.6379</w:t>
                  </w:r>
                </w:p>
              </w:tc>
              <w:tc>
                <w:tcPr>
                  <w:tcW w:w="1305" w:type="dxa"/>
                  <w:tcBorders>
                    <w:top w:val="single" w:color="auto" w:sz="6" w:space="0"/>
                    <w:left w:val="single" w:color="auto" w:sz="4" w:space="0"/>
                    <w:bottom w:val="single" w:color="auto" w:sz="6" w:space="0"/>
                    <w:right w:val="single" w:color="auto" w:sz="2" w:space="0"/>
                  </w:tcBorders>
                  <w:vAlign w:val="center"/>
                </w:tcPr>
                <w:p w14:paraId="4E2C01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12.9310</w:t>
                  </w:r>
                </w:p>
              </w:tc>
              <w:tc>
                <w:tcPr>
                  <w:tcW w:w="1167" w:type="dxa"/>
                  <w:tcBorders>
                    <w:top w:val="single" w:color="auto" w:sz="6" w:space="0"/>
                    <w:left w:val="single" w:color="auto" w:sz="4" w:space="0"/>
                    <w:bottom w:val="single" w:color="auto" w:sz="6" w:space="0"/>
                    <w:right w:val="single" w:color="auto" w:sz="2" w:space="0"/>
                  </w:tcBorders>
                  <w:vAlign w:val="center"/>
                </w:tcPr>
                <w:p w14:paraId="071D6F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1.4368</w:t>
                  </w:r>
                </w:p>
              </w:tc>
            </w:tr>
            <w:tr w14:paraId="72F53F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7E8FF86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900.0</w:t>
                  </w:r>
                </w:p>
              </w:tc>
              <w:tc>
                <w:tcPr>
                  <w:tcW w:w="1254" w:type="dxa"/>
                  <w:tcBorders>
                    <w:top w:val="single" w:color="auto" w:sz="6" w:space="0"/>
                    <w:left w:val="single" w:color="auto" w:sz="6" w:space="0"/>
                    <w:bottom w:val="single" w:color="auto" w:sz="6" w:space="0"/>
                    <w:right w:val="single" w:color="auto" w:sz="6" w:space="0"/>
                  </w:tcBorders>
                  <w:vAlign w:val="center"/>
                </w:tcPr>
                <w:p w14:paraId="466D65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9.6678</w:t>
                  </w:r>
                </w:p>
              </w:tc>
              <w:tc>
                <w:tcPr>
                  <w:tcW w:w="1036" w:type="dxa"/>
                  <w:tcBorders>
                    <w:top w:val="single" w:color="auto" w:sz="6" w:space="0"/>
                    <w:left w:val="single" w:color="auto" w:sz="6" w:space="0"/>
                    <w:bottom w:val="single" w:color="auto" w:sz="6" w:space="0"/>
                    <w:right w:val="single" w:color="auto" w:sz="2" w:space="0"/>
                  </w:tcBorders>
                  <w:vAlign w:val="center"/>
                </w:tcPr>
                <w:p w14:paraId="2D07E1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1.0742</w:t>
                  </w:r>
                </w:p>
              </w:tc>
              <w:tc>
                <w:tcPr>
                  <w:tcW w:w="1282" w:type="dxa"/>
                  <w:tcBorders>
                    <w:top w:val="single" w:color="auto" w:sz="6" w:space="0"/>
                    <w:left w:val="single" w:color="auto" w:sz="6" w:space="0"/>
                    <w:bottom w:val="single" w:color="auto" w:sz="6" w:space="0"/>
                    <w:right w:val="single" w:color="auto" w:sz="4" w:space="0"/>
                  </w:tcBorders>
                  <w:vAlign w:val="center"/>
                </w:tcPr>
                <w:p w14:paraId="59432DA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5.2396</w:t>
                  </w:r>
                </w:p>
              </w:tc>
              <w:tc>
                <w:tcPr>
                  <w:tcW w:w="1350" w:type="dxa"/>
                  <w:tcBorders>
                    <w:top w:val="single" w:color="auto" w:sz="6" w:space="0"/>
                    <w:left w:val="single" w:color="auto" w:sz="4" w:space="0"/>
                    <w:bottom w:val="single" w:color="auto" w:sz="6" w:space="0"/>
                    <w:right w:val="single" w:color="auto" w:sz="2" w:space="0"/>
                  </w:tcBorders>
                  <w:vAlign w:val="center"/>
                </w:tcPr>
                <w:p w14:paraId="53628F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0.5822</w:t>
                  </w:r>
                </w:p>
              </w:tc>
              <w:tc>
                <w:tcPr>
                  <w:tcW w:w="1305" w:type="dxa"/>
                  <w:tcBorders>
                    <w:top w:val="single" w:color="auto" w:sz="6" w:space="0"/>
                    <w:left w:val="single" w:color="auto" w:sz="4" w:space="0"/>
                    <w:bottom w:val="single" w:color="auto" w:sz="6" w:space="0"/>
                    <w:right w:val="single" w:color="auto" w:sz="2" w:space="0"/>
                  </w:tcBorders>
                  <w:vAlign w:val="center"/>
                </w:tcPr>
                <w:p w14:paraId="5B4086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11.9030</w:t>
                  </w:r>
                </w:p>
              </w:tc>
              <w:tc>
                <w:tcPr>
                  <w:tcW w:w="1167" w:type="dxa"/>
                  <w:tcBorders>
                    <w:top w:val="single" w:color="auto" w:sz="6" w:space="0"/>
                    <w:left w:val="single" w:color="auto" w:sz="4" w:space="0"/>
                    <w:bottom w:val="single" w:color="auto" w:sz="6" w:space="0"/>
                    <w:right w:val="single" w:color="auto" w:sz="2" w:space="0"/>
                  </w:tcBorders>
                  <w:vAlign w:val="center"/>
                </w:tcPr>
                <w:p w14:paraId="063BB3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1.3226</w:t>
                  </w:r>
                </w:p>
              </w:tc>
            </w:tr>
            <w:tr w14:paraId="218C44D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05EB68F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1000.0</w:t>
                  </w:r>
                </w:p>
              </w:tc>
              <w:tc>
                <w:tcPr>
                  <w:tcW w:w="1254" w:type="dxa"/>
                  <w:tcBorders>
                    <w:top w:val="single" w:color="auto" w:sz="6" w:space="0"/>
                    <w:left w:val="single" w:color="auto" w:sz="6" w:space="0"/>
                    <w:bottom w:val="single" w:color="auto" w:sz="6" w:space="0"/>
                    <w:right w:val="single" w:color="auto" w:sz="6" w:space="0"/>
                  </w:tcBorders>
                  <w:vAlign w:val="center"/>
                </w:tcPr>
                <w:p w14:paraId="6FC6E3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8.9779</w:t>
                  </w:r>
                </w:p>
              </w:tc>
              <w:tc>
                <w:tcPr>
                  <w:tcW w:w="1036" w:type="dxa"/>
                  <w:tcBorders>
                    <w:top w:val="single" w:color="auto" w:sz="6" w:space="0"/>
                    <w:left w:val="single" w:color="auto" w:sz="6" w:space="0"/>
                    <w:bottom w:val="single" w:color="auto" w:sz="6" w:space="0"/>
                    <w:right w:val="single" w:color="auto" w:sz="2" w:space="0"/>
                  </w:tcBorders>
                  <w:vAlign w:val="center"/>
                </w:tcPr>
                <w:p w14:paraId="057706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0.9975</w:t>
                  </w:r>
                </w:p>
              </w:tc>
              <w:tc>
                <w:tcPr>
                  <w:tcW w:w="1282" w:type="dxa"/>
                  <w:tcBorders>
                    <w:top w:val="single" w:color="auto" w:sz="6" w:space="0"/>
                    <w:left w:val="single" w:color="auto" w:sz="6" w:space="0"/>
                    <w:bottom w:val="single" w:color="auto" w:sz="6" w:space="0"/>
                    <w:right w:val="single" w:color="auto" w:sz="4" w:space="0"/>
                  </w:tcBorders>
                  <w:vAlign w:val="center"/>
                </w:tcPr>
                <w:p w14:paraId="0A077F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4.8456</w:t>
                  </w:r>
                </w:p>
              </w:tc>
              <w:tc>
                <w:tcPr>
                  <w:tcW w:w="1350" w:type="dxa"/>
                  <w:tcBorders>
                    <w:top w:val="single" w:color="auto" w:sz="6" w:space="0"/>
                    <w:left w:val="single" w:color="auto" w:sz="4" w:space="0"/>
                    <w:bottom w:val="single" w:color="auto" w:sz="6" w:space="0"/>
                    <w:right w:val="single" w:color="auto" w:sz="2" w:space="0"/>
                  </w:tcBorders>
                  <w:vAlign w:val="center"/>
                </w:tcPr>
                <w:p w14:paraId="32351A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0.5384</w:t>
                  </w:r>
                </w:p>
              </w:tc>
              <w:tc>
                <w:tcPr>
                  <w:tcW w:w="1305" w:type="dxa"/>
                  <w:tcBorders>
                    <w:top w:val="single" w:color="auto" w:sz="6" w:space="0"/>
                    <w:left w:val="single" w:color="auto" w:sz="4" w:space="0"/>
                    <w:bottom w:val="single" w:color="auto" w:sz="6" w:space="0"/>
                    <w:right w:val="single" w:color="auto" w:sz="2" w:space="0"/>
                  </w:tcBorders>
                  <w:vAlign w:val="center"/>
                </w:tcPr>
                <w:p w14:paraId="39E11C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11.0540</w:t>
                  </w:r>
                </w:p>
              </w:tc>
              <w:tc>
                <w:tcPr>
                  <w:tcW w:w="1167" w:type="dxa"/>
                  <w:tcBorders>
                    <w:top w:val="single" w:color="auto" w:sz="6" w:space="0"/>
                    <w:left w:val="single" w:color="auto" w:sz="4" w:space="0"/>
                    <w:bottom w:val="single" w:color="auto" w:sz="6" w:space="0"/>
                    <w:right w:val="single" w:color="auto" w:sz="2" w:space="0"/>
                  </w:tcBorders>
                  <w:vAlign w:val="center"/>
                </w:tcPr>
                <w:p w14:paraId="3DFC9E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1.2282</w:t>
                  </w:r>
                </w:p>
              </w:tc>
            </w:tr>
            <w:tr w14:paraId="30A10EA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78D48DC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1200.0</w:t>
                  </w:r>
                </w:p>
              </w:tc>
              <w:tc>
                <w:tcPr>
                  <w:tcW w:w="1254" w:type="dxa"/>
                  <w:tcBorders>
                    <w:top w:val="single" w:color="auto" w:sz="6" w:space="0"/>
                    <w:left w:val="single" w:color="auto" w:sz="6" w:space="0"/>
                    <w:bottom w:val="single" w:color="auto" w:sz="6" w:space="0"/>
                    <w:right w:val="single" w:color="auto" w:sz="6" w:space="0"/>
                  </w:tcBorders>
                  <w:vAlign w:val="center"/>
                </w:tcPr>
                <w:p w14:paraId="7387DC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7.8989</w:t>
                  </w:r>
                </w:p>
              </w:tc>
              <w:tc>
                <w:tcPr>
                  <w:tcW w:w="1036" w:type="dxa"/>
                  <w:tcBorders>
                    <w:top w:val="single" w:color="auto" w:sz="6" w:space="0"/>
                    <w:left w:val="single" w:color="auto" w:sz="6" w:space="0"/>
                    <w:bottom w:val="single" w:color="auto" w:sz="6" w:space="0"/>
                    <w:right w:val="single" w:color="auto" w:sz="2" w:space="0"/>
                  </w:tcBorders>
                  <w:vAlign w:val="center"/>
                </w:tcPr>
                <w:p w14:paraId="5A7068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0.8777</w:t>
                  </w:r>
                </w:p>
              </w:tc>
              <w:tc>
                <w:tcPr>
                  <w:tcW w:w="1282" w:type="dxa"/>
                  <w:tcBorders>
                    <w:top w:val="single" w:color="auto" w:sz="6" w:space="0"/>
                    <w:left w:val="single" w:color="auto" w:sz="6" w:space="0"/>
                    <w:bottom w:val="single" w:color="auto" w:sz="6" w:space="0"/>
                    <w:right w:val="single" w:color="auto" w:sz="4" w:space="0"/>
                  </w:tcBorders>
                  <w:vAlign w:val="center"/>
                </w:tcPr>
                <w:p w14:paraId="5D9798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4.2165</w:t>
                  </w:r>
                </w:p>
              </w:tc>
              <w:tc>
                <w:tcPr>
                  <w:tcW w:w="1350" w:type="dxa"/>
                  <w:tcBorders>
                    <w:top w:val="single" w:color="auto" w:sz="6" w:space="0"/>
                    <w:left w:val="single" w:color="auto" w:sz="4" w:space="0"/>
                    <w:bottom w:val="single" w:color="auto" w:sz="6" w:space="0"/>
                    <w:right w:val="single" w:color="auto" w:sz="2" w:space="0"/>
                  </w:tcBorders>
                  <w:vAlign w:val="center"/>
                </w:tcPr>
                <w:p w14:paraId="055752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0.4685</w:t>
                  </w:r>
                </w:p>
              </w:tc>
              <w:tc>
                <w:tcPr>
                  <w:tcW w:w="1305" w:type="dxa"/>
                  <w:tcBorders>
                    <w:top w:val="single" w:color="auto" w:sz="6" w:space="0"/>
                    <w:left w:val="single" w:color="auto" w:sz="4" w:space="0"/>
                    <w:bottom w:val="single" w:color="auto" w:sz="6" w:space="0"/>
                    <w:right w:val="single" w:color="auto" w:sz="2" w:space="0"/>
                  </w:tcBorders>
                  <w:vAlign w:val="center"/>
                </w:tcPr>
                <w:p w14:paraId="70155C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9.7252</w:t>
                  </w:r>
                </w:p>
              </w:tc>
              <w:tc>
                <w:tcPr>
                  <w:tcW w:w="1167" w:type="dxa"/>
                  <w:tcBorders>
                    <w:top w:val="single" w:color="auto" w:sz="6" w:space="0"/>
                    <w:left w:val="single" w:color="auto" w:sz="4" w:space="0"/>
                    <w:bottom w:val="single" w:color="auto" w:sz="6" w:space="0"/>
                    <w:right w:val="single" w:color="auto" w:sz="2" w:space="0"/>
                  </w:tcBorders>
                  <w:vAlign w:val="center"/>
                </w:tcPr>
                <w:p w14:paraId="627549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1.0806</w:t>
                  </w:r>
                </w:p>
              </w:tc>
            </w:tr>
            <w:tr w14:paraId="6071C5C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41EA017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1400.0</w:t>
                  </w:r>
                </w:p>
              </w:tc>
              <w:tc>
                <w:tcPr>
                  <w:tcW w:w="1254" w:type="dxa"/>
                  <w:tcBorders>
                    <w:top w:val="single" w:color="auto" w:sz="6" w:space="0"/>
                    <w:left w:val="single" w:color="auto" w:sz="6" w:space="0"/>
                    <w:bottom w:val="single" w:color="auto" w:sz="6" w:space="0"/>
                    <w:right w:val="single" w:color="auto" w:sz="6" w:space="0"/>
                  </w:tcBorders>
                  <w:vAlign w:val="center"/>
                </w:tcPr>
                <w:p w14:paraId="3E76DD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7.0888</w:t>
                  </w:r>
                </w:p>
              </w:tc>
              <w:tc>
                <w:tcPr>
                  <w:tcW w:w="1036" w:type="dxa"/>
                  <w:tcBorders>
                    <w:top w:val="single" w:color="auto" w:sz="6" w:space="0"/>
                    <w:left w:val="single" w:color="auto" w:sz="6" w:space="0"/>
                    <w:bottom w:val="single" w:color="auto" w:sz="6" w:space="0"/>
                    <w:right w:val="single" w:color="auto" w:sz="2" w:space="0"/>
                  </w:tcBorders>
                  <w:vAlign w:val="center"/>
                </w:tcPr>
                <w:p w14:paraId="0A21B9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0.7876</w:t>
                  </w:r>
                </w:p>
              </w:tc>
              <w:tc>
                <w:tcPr>
                  <w:tcW w:w="1282" w:type="dxa"/>
                  <w:tcBorders>
                    <w:top w:val="single" w:color="auto" w:sz="6" w:space="0"/>
                    <w:left w:val="single" w:color="auto" w:sz="6" w:space="0"/>
                    <w:bottom w:val="single" w:color="auto" w:sz="6" w:space="0"/>
                    <w:right w:val="single" w:color="auto" w:sz="4" w:space="0"/>
                  </w:tcBorders>
                  <w:vAlign w:val="center"/>
                </w:tcPr>
                <w:p w14:paraId="5DE2E0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3.7281</w:t>
                  </w:r>
                </w:p>
              </w:tc>
              <w:tc>
                <w:tcPr>
                  <w:tcW w:w="1350" w:type="dxa"/>
                  <w:tcBorders>
                    <w:top w:val="single" w:color="auto" w:sz="6" w:space="0"/>
                    <w:left w:val="single" w:color="auto" w:sz="4" w:space="0"/>
                    <w:bottom w:val="single" w:color="auto" w:sz="6" w:space="0"/>
                    <w:right w:val="single" w:color="auto" w:sz="2" w:space="0"/>
                  </w:tcBorders>
                  <w:vAlign w:val="center"/>
                </w:tcPr>
                <w:p w14:paraId="51A4603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0.4142</w:t>
                  </w:r>
                </w:p>
              </w:tc>
              <w:tc>
                <w:tcPr>
                  <w:tcW w:w="1305" w:type="dxa"/>
                  <w:tcBorders>
                    <w:top w:val="single" w:color="auto" w:sz="6" w:space="0"/>
                    <w:left w:val="single" w:color="auto" w:sz="4" w:space="0"/>
                    <w:bottom w:val="single" w:color="auto" w:sz="6" w:space="0"/>
                    <w:right w:val="single" w:color="auto" w:sz="2" w:space="0"/>
                  </w:tcBorders>
                  <w:vAlign w:val="center"/>
                </w:tcPr>
                <w:p w14:paraId="37679E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8.7278</w:t>
                  </w:r>
                </w:p>
              </w:tc>
              <w:tc>
                <w:tcPr>
                  <w:tcW w:w="1167" w:type="dxa"/>
                  <w:tcBorders>
                    <w:top w:val="single" w:color="auto" w:sz="6" w:space="0"/>
                    <w:left w:val="single" w:color="auto" w:sz="4" w:space="0"/>
                    <w:bottom w:val="single" w:color="auto" w:sz="6" w:space="0"/>
                    <w:right w:val="single" w:color="auto" w:sz="2" w:space="0"/>
                  </w:tcBorders>
                  <w:vAlign w:val="center"/>
                </w:tcPr>
                <w:p w14:paraId="2FD042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0.9698</w:t>
                  </w:r>
                </w:p>
              </w:tc>
            </w:tr>
            <w:tr w14:paraId="2EC07BF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0F85DD3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1600.0</w:t>
                  </w:r>
                </w:p>
              </w:tc>
              <w:tc>
                <w:tcPr>
                  <w:tcW w:w="1254" w:type="dxa"/>
                  <w:tcBorders>
                    <w:top w:val="single" w:color="auto" w:sz="6" w:space="0"/>
                    <w:left w:val="single" w:color="auto" w:sz="6" w:space="0"/>
                    <w:bottom w:val="single" w:color="auto" w:sz="6" w:space="0"/>
                    <w:right w:val="single" w:color="auto" w:sz="6" w:space="0"/>
                  </w:tcBorders>
                  <w:vAlign w:val="center"/>
                </w:tcPr>
                <w:p w14:paraId="239938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6.4548</w:t>
                  </w:r>
                </w:p>
              </w:tc>
              <w:tc>
                <w:tcPr>
                  <w:tcW w:w="1036" w:type="dxa"/>
                  <w:tcBorders>
                    <w:top w:val="single" w:color="auto" w:sz="6" w:space="0"/>
                    <w:left w:val="single" w:color="auto" w:sz="6" w:space="0"/>
                    <w:bottom w:val="single" w:color="auto" w:sz="6" w:space="0"/>
                    <w:right w:val="single" w:color="auto" w:sz="2" w:space="0"/>
                  </w:tcBorders>
                  <w:vAlign w:val="center"/>
                </w:tcPr>
                <w:p w14:paraId="3D419B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0.7172</w:t>
                  </w:r>
                </w:p>
              </w:tc>
              <w:tc>
                <w:tcPr>
                  <w:tcW w:w="1282" w:type="dxa"/>
                  <w:tcBorders>
                    <w:top w:val="single" w:color="auto" w:sz="6" w:space="0"/>
                    <w:left w:val="single" w:color="auto" w:sz="6" w:space="0"/>
                    <w:bottom w:val="single" w:color="auto" w:sz="6" w:space="0"/>
                    <w:right w:val="single" w:color="auto" w:sz="4" w:space="0"/>
                  </w:tcBorders>
                  <w:vAlign w:val="center"/>
                </w:tcPr>
                <w:p w14:paraId="30602B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3.3332</w:t>
                  </w:r>
                </w:p>
              </w:tc>
              <w:tc>
                <w:tcPr>
                  <w:tcW w:w="1350" w:type="dxa"/>
                  <w:tcBorders>
                    <w:top w:val="single" w:color="auto" w:sz="6" w:space="0"/>
                    <w:left w:val="single" w:color="auto" w:sz="4" w:space="0"/>
                    <w:bottom w:val="single" w:color="auto" w:sz="6" w:space="0"/>
                    <w:right w:val="single" w:color="auto" w:sz="2" w:space="0"/>
                  </w:tcBorders>
                  <w:vAlign w:val="center"/>
                </w:tcPr>
                <w:p w14:paraId="3E26C2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0.3704</w:t>
                  </w:r>
                </w:p>
              </w:tc>
              <w:tc>
                <w:tcPr>
                  <w:tcW w:w="1305" w:type="dxa"/>
                  <w:tcBorders>
                    <w:top w:val="single" w:color="auto" w:sz="6" w:space="0"/>
                    <w:left w:val="single" w:color="auto" w:sz="4" w:space="0"/>
                    <w:bottom w:val="single" w:color="auto" w:sz="6" w:space="0"/>
                    <w:right w:val="single" w:color="auto" w:sz="2" w:space="0"/>
                  </w:tcBorders>
                  <w:vAlign w:val="center"/>
                </w:tcPr>
                <w:p w14:paraId="7D542E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7.9472</w:t>
                  </w:r>
                </w:p>
              </w:tc>
              <w:tc>
                <w:tcPr>
                  <w:tcW w:w="1167" w:type="dxa"/>
                  <w:tcBorders>
                    <w:top w:val="single" w:color="auto" w:sz="6" w:space="0"/>
                    <w:left w:val="single" w:color="auto" w:sz="4" w:space="0"/>
                    <w:bottom w:val="single" w:color="auto" w:sz="6" w:space="0"/>
                    <w:right w:val="single" w:color="auto" w:sz="2" w:space="0"/>
                  </w:tcBorders>
                  <w:vAlign w:val="center"/>
                </w:tcPr>
                <w:p w14:paraId="6D7EE5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0.8830</w:t>
                  </w:r>
                </w:p>
              </w:tc>
            </w:tr>
            <w:tr w14:paraId="0946A8B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0F1D0A3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1800.0</w:t>
                  </w:r>
                </w:p>
              </w:tc>
              <w:tc>
                <w:tcPr>
                  <w:tcW w:w="1254" w:type="dxa"/>
                  <w:tcBorders>
                    <w:top w:val="single" w:color="auto" w:sz="6" w:space="0"/>
                    <w:left w:val="single" w:color="auto" w:sz="6" w:space="0"/>
                    <w:bottom w:val="single" w:color="auto" w:sz="6" w:space="0"/>
                    <w:right w:val="single" w:color="auto" w:sz="6" w:space="0"/>
                  </w:tcBorders>
                  <w:vAlign w:val="center"/>
                </w:tcPr>
                <w:p w14:paraId="6A385D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5.9429</w:t>
                  </w:r>
                </w:p>
              </w:tc>
              <w:tc>
                <w:tcPr>
                  <w:tcW w:w="1036" w:type="dxa"/>
                  <w:tcBorders>
                    <w:top w:val="single" w:color="auto" w:sz="6" w:space="0"/>
                    <w:left w:val="single" w:color="auto" w:sz="6" w:space="0"/>
                    <w:bottom w:val="single" w:color="auto" w:sz="6" w:space="0"/>
                    <w:right w:val="single" w:color="auto" w:sz="2" w:space="0"/>
                  </w:tcBorders>
                  <w:vAlign w:val="center"/>
                </w:tcPr>
                <w:p w14:paraId="6676FC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0.6603</w:t>
                  </w:r>
                </w:p>
              </w:tc>
              <w:tc>
                <w:tcPr>
                  <w:tcW w:w="1282" w:type="dxa"/>
                  <w:tcBorders>
                    <w:top w:val="single" w:color="auto" w:sz="6" w:space="0"/>
                    <w:left w:val="single" w:color="auto" w:sz="6" w:space="0"/>
                    <w:bottom w:val="single" w:color="auto" w:sz="6" w:space="0"/>
                    <w:right w:val="single" w:color="auto" w:sz="4" w:space="0"/>
                  </w:tcBorders>
                  <w:vAlign w:val="center"/>
                </w:tcPr>
                <w:p w14:paraId="6634A3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3.0309</w:t>
                  </w:r>
                </w:p>
              </w:tc>
              <w:tc>
                <w:tcPr>
                  <w:tcW w:w="1350" w:type="dxa"/>
                  <w:tcBorders>
                    <w:top w:val="single" w:color="auto" w:sz="6" w:space="0"/>
                    <w:left w:val="single" w:color="auto" w:sz="4" w:space="0"/>
                    <w:bottom w:val="single" w:color="auto" w:sz="6" w:space="0"/>
                    <w:right w:val="single" w:color="auto" w:sz="2" w:space="0"/>
                  </w:tcBorders>
                  <w:vAlign w:val="center"/>
                </w:tcPr>
                <w:p w14:paraId="4CCC54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0.3368</w:t>
                  </w:r>
                </w:p>
              </w:tc>
              <w:tc>
                <w:tcPr>
                  <w:tcW w:w="1305" w:type="dxa"/>
                  <w:tcBorders>
                    <w:top w:val="single" w:color="auto" w:sz="6" w:space="0"/>
                    <w:left w:val="single" w:color="auto" w:sz="4" w:space="0"/>
                    <w:bottom w:val="single" w:color="auto" w:sz="6" w:space="0"/>
                    <w:right w:val="single" w:color="auto" w:sz="2" w:space="0"/>
                  </w:tcBorders>
                  <w:vAlign w:val="center"/>
                </w:tcPr>
                <w:p w14:paraId="41ECBB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7.3170</w:t>
                  </w:r>
                </w:p>
              </w:tc>
              <w:tc>
                <w:tcPr>
                  <w:tcW w:w="1167" w:type="dxa"/>
                  <w:tcBorders>
                    <w:top w:val="single" w:color="auto" w:sz="6" w:space="0"/>
                    <w:left w:val="single" w:color="auto" w:sz="4" w:space="0"/>
                    <w:bottom w:val="single" w:color="auto" w:sz="6" w:space="0"/>
                    <w:right w:val="single" w:color="auto" w:sz="2" w:space="0"/>
                  </w:tcBorders>
                  <w:vAlign w:val="center"/>
                </w:tcPr>
                <w:p w14:paraId="705B7C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0.8130</w:t>
                  </w:r>
                </w:p>
              </w:tc>
            </w:tr>
            <w:tr w14:paraId="7ED0B1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00A8258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2000.0</w:t>
                  </w:r>
                </w:p>
              </w:tc>
              <w:tc>
                <w:tcPr>
                  <w:tcW w:w="1254" w:type="dxa"/>
                  <w:tcBorders>
                    <w:top w:val="single" w:color="auto" w:sz="6" w:space="0"/>
                    <w:left w:val="single" w:color="auto" w:sz="6" w:space="0"/>
                    <w:bottom w:val="single" w:color="auto" w:sz="6" w:space="0"/>
                    <w:right w:val="single" w:color="auto" w:sz="6" w:space="0"/>
                  </w:tcBorders>
                  <w:vAlign w:val="center"/>
                </w:tcPr>
                <w:p w14:paraId="5ECD22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5.5196</w:t>
                  </w:r>
                </w:p>
              </w:tc>
              <w:tc>
                <w:tcPr>
                  <w:tcW w:w="1036" w:type="dxa"/>
                  <w:tcBorders>
                    <w:top w:val="single" w:color="auto" w:sz="6" w:space="0"/>
                    <w:left w:val="single" w:color="auto" w:sz="6" w:space="0"/>
                    <w:bottom w:val="single" w:color="auto" w:sz="6" w:space="0"/>
                    <w:right w:val="single" w:color="auto" w:sz="2" w:space="0"/>
                  </w:tcBorders>
                  <w:vAlign w:val="center"/>
                </w:tcPr>
                <w:p w14:paraId="74F428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0.6133</w:t>
                  </w:r>
                </w:p>
              </w:tc>
              <w:tc>
                <w:tcPr>
                  <w:tcW w:w="1282" w:type="dxa"/>
                  <w:tcBorders>
                    <w:top w:val="single" w:color="auto" w:sz="6" w:space="0"/>
                    <w:left w:val="single" w:color="auto" w:sz="6" w:space="0"/>
                    <w:bottom w:val="single" w:color="auto" w:sz="6" w:space="0"/>
                    <w:right w:val="single" w:color="auto" w:sz="4" w:space="0"/>
                  </w:tcBorders>
                  <w:vAlign w:val="center"/>
                </w:tcPr>
                <w:p w14:paraId="512C99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2.8216</w:t>
                  </w:r>
                </w:p>
              </w:tc>
              <w:tc>
                <w:tcPr>
                  <w:tcW w:w="1350" w:type="dxa"/>
                  <w:tcBorders>
                    <w:top w:val="single" w:color="auto" w:sz="6" w:space="0"/>
                    <w:left w:val="single" w:color="auto" w:sz="4" w:space="0"/>
                    <w:bottom w:val="single" w:color="auto" w:sz="6" w:space="0"/>
                    <w:right w:val="single" w:color="auto" w:sz="2" w:space="0"/>
                  </w:tcBorders>
                  <w:vAlign w:val="center"/>
                </w:tcPr>
                <w:p w14:paraId="5A2D4A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0.3135</w:t>
                  </w:r>
                </w:p>
              </w:tc>
              <w:tc>
                <w:tcPr>
                  <w:tcW w:w="1305" w:type="dxa"/>
                  <w:tcBorders>
                    <w:top w:val="single" w:color="auto" w:sz="6" w:space="0"/>
                    <w:left w:val="single" w:color="auto" w:sz="4" w:space="0"/>
                    <w:bottom w:val="single" w:color="auto" w:sz="6" w:space="0"/>
                    <w:right w:val="single" w:color="auto" w:sz="2" w:space="0"/>
                  </w:tcBorders>
                  <w:vAlign w:val="center"/>
                </w:tcPr>
                <w:p w14:paraId="757E75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6.7958</w:t>
                  </w:r>
                </w:p>
              </w:tc>
              <w:tc>
                <w:tcPr>
                  <w:tcW w:w="1167" w:type="dxa"/>
                  <w:tcBorders>
                    <w:top w:val="single" w:color="auto" w:sz="6" w:space="0"/>
                    <w:left w:val="single" w:color="auto" w:sz="4" w:space="0"/>
                    <w:bottom w:val="single" w:color="auto" w:sz="6" w:space="0"/>
                    <w:right w:val="single" w:color="auto" w:sz="2" w:space="0"/>
                  </w:tcBorders>
                  <w:vAlign w:val="center"/>
                </w:tcPr>
                <w:p w14:paraId="63A419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0.7551</w:t>
                  </w:r>
                </w:p>
              </w:tc>
            </w:tr>
            <w:tr w14:paraId="57EF34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6" w:space="0"/>
                    <w:right w:val="single" w:color="auto" w:sz="6" w:space="0"/>
                  </w:tcBorders>
                  <w:vAlign w:val="center"/>
                </w:tcPr>
                <w:p w14:paraId="2FF177B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C</w:t>
                  </w:r>
                  <w:r>
                    <w:rPr>
                      <w:rFonts w:ascii="Times New Roman" w:hAnsi="Times New Roman" w:cs="Times New Roman"/>
                      <w:color w:val="auto"/>
                      <w:sz w:val="22"/>
                      <w:szCs w:val="22"/>
                      <w:highlight w:val="none"/>
                      <w:vertAlign w:val="subscript"/>
                    </w:rPr>
                    <w:t>max</w:t>
                  </w:r>
                  <w:r>
                    <w:rPr>
                      <w:rFonts w:ascii="Times New Roman" w:hAnsi="Times New Roman" w:cs="Times New Roman"/>
                      <w:color w:val="auto"/>
                      <w:sz w:val="22"/>
                      <w:szCs w:val="22"/>
                      <w:highlight w:val="none"/>
                    </w:rPr>
                    <w:t>及P</w:t>
                  </w:r>
                  <w:r>
                    <w:rPr>
                      <w:rFonts w:ascii="Times New Roman" w:hAnsi="Times New Roman" w:cs="Times New Roman"/>
                      <w:color w:val="auto"/>
                      <w:sz w:val="22"/>
                      <w:szCs w:val="22"/>
                      <w:highlight w:val="none"/>
                      <w:vertAlign w:val="subscript"/>
                    </w:rPr>
                    <w:t>max</w:t>
                  </w:r>
                </w:p>
              </w:tc>
              <w:tc>
                <w:tcPr>
                  <w:tcW w:w="1254" w:type="dxa"/>
                  <w:tcBorders>
                    <w:top w:val="single" w:color="auto" w:sz="6" w:space="0"/>
                    <w:left w:val="single" w:color="auto" w:sz="6" w:space="0"/>
                    <w:bottom w:val="single" w:color="auto" w:sz="6" w:space="0"/>
                    <w:right w:val="single" w:color="auto" w:sz="6" w:space="0"/>
                  </w:tcBorders>
                  <w:vAlign w:val="center"/>
                </w:tcPr>
                <w:p w14:paraId="21034A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74.3050</w:t>
                  </w:r>
                </w:p>
              </w:tc>
              <w:tc>
                <w:tcPr>
                  <w:tcW w:w="1036" w:type="dxa"/>
                  <w:tcBorders>
                    <w:top w:val="single" w:color="auto" w:sz="6" w:space="0"/>
                    <w:left w:val="single" w:color="auto" w:sz="6" w:space="0"/>
                    <w:bottom w:val="single" w:color="auto" w:sz="6" w:space="0"/>
                    <w:right w:val="single" w:color="auto" w:sz="2" w:space="0"/>
                  </w:tcBorders>
                  <w:vAlign w:val="center"/>
                </w:tcPr>
                <w:p w14:paraId="74E213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8.2561</w:t>
                  </w:r>
                </w:p>
              </w:tc>
              <w:tc>
                <w:tcPr>
                  <w:tcW w:w="1282" w:type="dxa"/>
                  <w:tcBorders>
                    <w:top w:val="single" w:color="auto" w:sz="6" w:space="0"/>
                    <w:left w:val="single" w:color="auto" w:sz="6" w:space="0"/>
                    <w:bottom w:val="single" w:color="auto" w:sz="6" w:space="0"/>
                    <w:right w:val="single" w:color="auto" w:sz="4" w:space="0"/>
                  </w:tcBorders>
                  <w:vAlign w:val="center"/>
                </w:tcPr>
                <w:p w14:paraId="26F20D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33.1940</w:t>
                  </w:r>
                </w:p>
              </w:tc>
              <w:tc>
                <w:tcPr>
                  <w:tcW w:w="1350" w:type="dxa"/>
                  <w:tcBorders>
                    <w:top w:val="single" w:color="auto" w:sz="6" w:space="0"/>
                    <w:left w:val="single" w:color="auto" w:sz="4" w:space="0"/>
                    <w:bottom w:val="single" w:color="auto" w:sz="6" w:space="0"/>
                    <w:right w:val="single" w:color="auto" w:sz="2" w:space="0"/>
                  </w:tcBorders>
                  <w:vAlign w:val="center"/>
                </w:tcPr>
                <w:p w14:paraId="38A349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3.6882</w:t>
                  </w:r>
                </w:p>
              </w:tc>
              <w:tc>
                <w:tcPr>
                  <w:tcW w:w="1305" w:type="dxa"/>
                  <w:tcBorders>
                    <w:top w:val="single" w:color="auto" w:sz="6" w:space="0"/>
                    <w:left w:val="single" w:color="auto" w:sz="4" w:space="0"/>
                    <w:bottom w:val="single" w:color="auto" w:sz="6" w:space="0"/>
                    <w:right w:val="single" w:color="auto" w:sz="2" w:space="0"/>
                  </w:tcBorders>
                  <w:vAlign w:val="center"/>
                </w:tcPr>
                <w:p w14:paraId="113117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75.9210</w:t>
                  </w:r>
                </w:p>
              </w:tc>
              <w:tc>
                <w:tcPr>
                  <w:tcW w:w="1167" w:type="dxa"/>
                  <w:tcBorders>
                    <w:top w:val="single" w:color="auto" w:sz="6" w:space="0"/>
                    <w:left w:val="single" w:color="auto" w:sz="4" w:space="0"/>
                    <w:bottom w:val="single" w:color="auto" w:sz="6" w:space="0"/>
                    <w:right w:val="single" w:color="auto" w:sz="2" w:space="0"/>
                  </w:tcBorders>
                  <w:vAlign w:val="center"/>
                </w:tcPr>
                <w:p w14:paraId="16D580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8.4357</w:t>
                  </w:r>
                </w:p>
              </w:tc>
            </w:tr>
            <w:tr w14:paraId="627FAA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907" w:type="dxa"/>
                  <w:tcBorders>
                    <w:top w:val="single" w:color="auto" w:sz="6" w:space="0"/>
                    <w:left w:val="single" w:color="auto" w:sz="2" w:space="0"/>
                    <w:bottom w:val="single" w:color="auto" w:sz="2" w:space="0"/>
                    <w:right w:val="single" w:color="auto" w:sz="6" w:space="0"/>
                  </w:tcBorders>
                  <w:vAlign w:val="center"/>
                </w:tcPr>
                <w:p w14:paraId="74D5160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最大浓度距离（m）</w:t>
                  </w:r>
                </w:p>
              </w:tc>
              <w:tc>
                <w:tcPr>
                  <w:tcW w:w="1254" w:type="dxa"/>
                  <w:tcBorders>
                    <w:top w:val="single" w:color="auto" w:sz="6" w:space="0"/>
                    <w:left w:val="single" w:color="auto" w:sz="6" w:space="0"/>
                    <w:bottom w:val="single" w:color="auto" w:sz="2" w:space="0"/>
                    <w:right w:val="single" w:color="auto" w:sz="2" w:space="0"/>
                  </w:tcBorders>
                  <w:vAlign w:val="center"/>
                </w:tcPr>
                <w:p w14:paraId="395ADC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13.0</w:t>
                  </w:r>
                </w:p>
              </w:tc>
              <w:tc>
                <w:tcPr>
                  <w:tcW w:w="1036" w:type="dxa"/>
                  <w:tcBorders>
                    <w:top w:val="single" w:color="auto" w:sz="6" w:space="0"/>
                    <w:left w:val="single" w:color="auto" w:sz="6" w:space="0"/>
                    <w:bottom w:val="single" w:color="auto" w:sz="2" w:space="0"/>
                    <w:right w:val="single" w:color="auto" w:sz="6" w:space="0"/>
                  </w:tcBorders>
                  <w:vAlign w:val="center"/>
                </w:tcPr>
                <w:p w14:paraId="11F963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13.0</w:t>
                  </w:r>
                </w:p>
              </w:tc>
              <w:tc>
                <w:tcPr>
                  <w:tcW w:w="1282" w:type="dxa"/>
                  <w:tcBorders>
                    <w:top w:val="single" w:color="auto" w:sz="6" w:space="0"/>
                    <w:left w:val="single" w:color="auto" w:sz="6" w:space="0"/>
                    <w:bottom w:val="single" w:color="auto" w:sz="2" w:space="0"/>
                    <w:right w:val="single" w:color="auto" w:sz="6" w:space="0"/>
                  </w:tcBorders>
                  <w:vAlign w:val="center"/>
                </w:tcPr>
                <w:p w14:paraId="6A72A5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24.0</w:t>
                  </w:r>
                </w:p>
              </w:tc>
              <w:tc>
                <w:tcPr>
                  <w:tcW w:w="1350" w:type="dxa"/>
                  <w:tcBorders>
                    <w:top w:val="single" w:color="auto" w:sz="6" w:space="0"/>
                    <w:left w:val="single" w:color="auto" w:sz="6" w:space="0"/>
                    <w:bottom w:val="single" w:color="auto" w:sz="2" w:space="0"/>
                    <w:right w:val="single" w:color="auto" w:sz="6" w:space="0"/>
                  </w:tcBorders>
                  <w:vAlign w:val="center"/>
                </w:tcPr>
                <w:p w14:paraId="41DCA8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b w:val="0"/>
                      <w:color w:val="auto"/>
                      <w:sz w:val="22"/>
                      <w:szCs w:val="22"/>
                      <w:highlight w:val="none"/>
                    </w:rPr>
                    <w:t>24.0</w:t>
                  </w:r>
                </w:p>
              </w:tc>
              <w:tc>
                <w:tcPr>
                  <w:tcW w:w="1305" w:type="dxa"/>
                  <w:tcBorders>
                    <w:top w:val="single" w:color="auto" w:sz="6" w:space="0"/>
                    <w:left w:val="single" w:color="auto" w:sz="6" w:space="0"/>
                    <w:bottom w:val="single" w:color="auto" w:sz="2" w:space="0"/>
                    <w:right w:val="single" w:color="auto" w:sz="6" w:space="0"/>
                  </w:tcBorders>
                  <w:vAlign w:val="center"/>
                </w:tcPr>
                <w:p w14:paraId="168260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51.0</w:t>
                  </w:r>
                </w:p>
              </w:tc>
              <w:tc>
                <w:tcPr>
                  <w:tcW w:w="1167" w:type="dxa"/>
                  <w:tcBorders>
                    <w:top w:val="single" w:color="auto" w:sz="6" w:space="0"/>
                    <w:left w:val="single" w:color="auto" w:sz="6" w:space="0"/>
                    <w:bottom w:val="single" w:color="auto" w:sz="2" w:space="0"/>
                    <w:right w:val="single" w:color="auto" w:sz="6" w:space="0"/>
                  </w:tcBorders>
                  <w:vAlign w:val="center"/>
                </w:tcPr>
                <w:p w14:paraId="53E59D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b w:val="0"/>
                      <w:color w:val="auto"/>
                      <w:sz w:val="22"/>
                      <w:szCs w:val="22"/>
                      <w:highlight w:val="none"/>
                    </w:rPr>
                  </w:pPr>
                  <w:r>
                    <w:rPr>
                      <w:rFonts w:ascii="Times New Roman" w:hAnsi="Times New Roman" w:eastAsia="宋体" w:cs="Times New Roman"/>
                      <w:b w:val="0"/>
                      <w:color w:val="auto"/>
                      <w:sz w:val="22"/>
                      <w:szCs w:val="22"/>
                      <w:highlight w:val="none"/>
                    </w:rPr>
                    <w:t>51.0</w:t>
                  </w:r>
                </w:p>
              </w:tc>
            </w:tr>
          </w:tbl>
          <w:p w14:paraId="55B5DBEF">
            <w:pPr>
              <w:keepNext w:val="0"/>
              <w:keepLines w:val="0"/>
              <w:pageBreakBefore w:val="0"/>
              <w:widowControl w:val="0"/>
              <w:kinsoku/>
              <w:wordWrap/>
              <w:overflowPunct/>
              <w:topLinePunct w:val="0"/>
              <w:bidi w:val="0"/>
              <w:spacing w:line="480" w:lineRule="exact"/>
              <w:ind w:firstLine="422" w:firstLineChars="200"/>
              <w:jc w:val="center"/>
              <w:textAlignment w:val="auto"/>
              <w:rPr>
                <w:rFonts w:hint="eastAsia" w:ascii="Times New Roman" w:hAnsi="Times New Roman" w:eastAsia="宋体" w:cs="Times New Roman"/>
                <w:color w:val="auto"/>
                <w:sz w:val="26"/>
                <w:szCs w:val="26"/>
                <w:highlight w:val="none"/>
              </w:rPr>
            </w:pPr>
            <w:r>
              <w:rPr>
                <w:rFonts w:hint="eastAsia" w:ascii="Times New Roman" w:hAnsi="Times New Roman"/>
                <w:b/>
                <w:bCs/>
                <w:color w:val="auto"/>
                <w:sz w:val="21"/>
                <w:szCs w:val="21"/>
                <w:highlight w:val="none"/>
              </w:rPr>
              <w:t>表</w:t>
            </w:r>
            <w:r>
              <w:rPr>
                <w:rFonts w:hint="eastAsia" w:ascii="Times New Roman" w:hAnsi="Times New Roman"/>
                <w:b/>
                <w:bCs/>
                <w:color w:val="auto"/>
                <w:sz w:val="21"/>
                <w:szCs w:val="21"/>
                <w:highlight w:val="none"/>
                <w:lang w:val="en-US" w:eastAsia="zh-CN"/>
              </w:rPr>
              <w:t>7-7</w:t>
            </w:r>
            <w:r>
              <w:rPr>
                <w:rFonts w:hint="eastAsia" w:ascii="Times New Roman" w:hAnsi="Times New Roman"/>
                <w:b/>
                <w:bCs/>
                <w:color w:val="auto"/>
                <w:sz w:val="21"/>
                <w:szCs w:val="21"/>
                <w:highlight w:val="none"/>
              </w:rPr>
              <w:t xml:space="preserve"> </w:t>
            </w:r>
            <w:r>
              <w:rPr>
                <w:rFonts w:hint="eastAsia"/>
                <w:b/>
                <w:bCs/>
                <w:color w:val="auto"/>
                <w:sz w:val="21"/>
                <w:szCs w:val="21"/>
                <w:highlight w:val="none"/>
                <w:lang w:val="en-US" w:eastAsia="zh-CN"/>
              </w:rPr>
              <w:t>项目有组织</w:t>
            </w:r>
            <w:r>
              <w:rPr>
                <w:rFonts w:hint="eastAsia" w:ascii="Times New Roman" w:hAnsi="Times New Roman"/>
                <w:b/>
                <w:bCs/>
                <w:color w:val="auto"/>
                <w:sz w:val="21"/>
                <w:szCs w:val="21"/>
                <w:highlight w:val="none"/>
              </w:rPr>
              <w:t>计算结果表</w:t>
            </w:r>
          </w:p>
          <w:tbl>
            <w:tblPr>
              <w:tblStyle w:val="22"/>
              <w:tblW w:w="4999"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0" w:type="dxa"/>
                <w:bottom w:w="0" w:type="dxa"/>
                <w:right w:w="0" w:type="dxa"/>
              </w:tblCellMar>
            </w:tblPr>
            <w:tblGrid>
              <w:gridCol w:w="3049"/>
              <w:gridCol w:w="3163"/>
              <w:gridCol w:w="2087"/>
            </w:tblGrid>
            <w:tr w14:paraId="32AF10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vMerge w:val="restart"/>
                  <w:tcBorders>
                    <w:top w:val="single" w:color="auto" w:sz="2" w:space="0"/>
                    <w:left w:val="single" w:color="auto" w:sz="2" w:space="0"/>
                    <w:bottom w:val="single" w:color="auto" w:sz="6" w:space="0"/>
                    <w:right w:val="single" w:color="auto" w:sz="6" w:space="0"/>
                  </w:tcBorders>
                  <w:vAlign w:val="center"/>
                </w:tcPr>
                <w:p w14:paraId="302F5C01">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下风向距离</w:t>
                  </w:r>
                </w:p>
                <w:p w14:paraId="7859B0D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D/m</w:t>
                  </w:r>
                </w:p>
              </w:tc>
              <w:tc>
                <w:tcPr>
                  <w:tcW w:w="3162" w:type="pct"/>
                  <w:gridSpan w:val="2"/>
                  <w:tcBorders>
                    <w:top w:val="single" w:color="auto" w:sz="2" w:space="0"/>
                    <w:left w:val="single" w:color="auto" w:sz="6" w:space="0"/>
                    <w:bottom w:val="single" w:color="auto" w:sz="6" w:space="0"/>
                    <w:right w:val="single" w:color="auto" w:sz="2" w:space="0"/>
                  </w:tcBorders>
                  <w:vAlign w:val="center"/>
                </w:tcPr>
                <w:p w14:paraId="5ACE792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cs="Times New Roman"/>
                      <w:b w:val="0"/>
                      <w:color w:val="auto"/>
                      <w:w w:val="100"/>
                      <w:sz w:val="22"/>
                      <w:szCs w:val="22"/>
                      <w:highlight w:val="none"/>
                      <w:lang w:val="en-US" w:eastAsia="zh-CN"/>
                    </w:rPr>
                    <w:t>1号破碎场地破碎加工粉尘</w:t>
                  </w:r>
                </w:p>
              </w:tc>
            </w:tr>
            <w:tr w14:paraId="25D9FF2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vMerge w:val="continue"/>
                  <w:tcBorders>
                    <w:top w:val="single" w:color="auto" w:sz="2" w:space="0"/>
                    <w:left w:val="single" w:color="auto" w:sz="2" w:space="0"/>
                    <w:bottom w:val="single" w:color="auto" w:sz="6" w:space="0"/>
                    <w:right w:val="single" w:color="auto" w:sz="6" w:space="0"/>
                  </w:tcBorders>
                  <w:vAlign w:val="center"/>
                </w:tcPr>
                <w:p w14:paraId="63AAFA3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p>
              </w:tc>
              <w:tc>
                <w:tcPr>
                  <w:tcW w:w="1905" w:type="pct"/>
                  <w:tcBorders>
                    <w:top w:val="single" w:color="auto" w:sz="6" w:space="0"/>
                    <w:left w:val="single" w:color="auto" w:sz="6" w:space="0"/>
                    <w:bottom w:val="single" w:color="auto" w:sz="6" w:space="0"/>
                    <w:right w:val="single" w:color="auto" w:sz="6" w:space="0"/>
                  </w:tcBorders>
                  <w:vAlign w:val="center"/>
                </w:tcPr>
                <w:p w14:paraId="69037B9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下风向浓度c</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r>
                    <w:rPr>
                      <w:rFonts w:hint="eastAsia" w:ascii="Times New Roman" w:hAnsi="Times New Roman" w:cs="Times New Roman"/>
                      <w:color w:val="auto"/>
                      <w:sz w:val="22"/>
                      <w:szCs w:val="22"/>
                      <w:highlight w:val="none"/>
                      <w:lang w:val="en-US" w:eastAsia="zh-CN"/>
                    </w:rPr>
                    <w:t>u</w:t>
                  </w:r>
                  <w:r>
                    <w:rPr>
                      <w:rFonts w:ascii="Times New Roman" w:hAnsi="Times New Roman" w:cs="Times New Roman"/>
                      <w:color w:val="auto"/>
                      <w:sz w:val="22"/>
                      <w:szCs w:val="22"/>
                      <w:highlight w:val="none"/>
                    </w:rPr>
                    <w:t>g/m</w:t>
                  </w:r>
                  <w:r>
                    <w:rPr>
                      <w:rFonts w:ascii="Times New Roman" w:hAnsi="Times New Roman" w:cs="Times New Roman"/>
                      <w:color w:val="auto"/>
                      <w:sz w:val="22"/>
                      <w:szCs w:val="22"/>
                      <w:highlight w:val="none"/>
                      <w:vertAlign w:val="superscript"/>
                    </w:rPr>
                    <w:t>3</w:t>
                  </w:r>
                  <w:r>
                    <w:rPr>
                      <w:rFonts w:ascii="Times New Roman" w:hAnsi="Times New Roman" w:cs="Times New Roman"/>
                      <w:color w:val="auto"/>
                      <w:sz w:val="22"/>
                      <w:szCs w:val="22"/>
                      <w:highlight w:val="none"/>
                    </w:rPr>
                    <w:t>)</w:t>
                  </w:r>
                </w:p>
              </w:tc>
              <w:tc>
                <w:tcPr>
                  <w:tcW w:w="1257" w:type="pct"/>
                  <w:tcBorders>
                    <w:top w:val="single" w:color="auto" w:sz="6" w:space="0"/>
                    <w:left w:val="single" w:color="auto" w:sz="6" w:space="0"/>
                    <w:bottom w:val="single" w:color="auto" w:sz="6" w:space="0"/>
                    <w:right w:val="single" w:color="auto" w:sz="2" w:space="0"/>
                  </w:tcBorders>
                  <w:vAlign w:val="center"/>
                </w:tcPr>
                <w:p w14:paraId="136E662F">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占标率P</w:t>
                  </w:r>
                  <w:r>
                    <w:rPr>
                      <w:rFonts w:ascii="Times New Roman" w:hAnsi="Times New Roman" w:cs="Times New Roman"/>
                      <w:color w:val="auto"/>
                      <w:sz w:val="22"/>
                      <w:szCs w:val="22"/>
                      <w:highlight w:val="none"/>
                      <w:vertAlign w:val="subscript"/>
                    </w:rPr>
                    <w:t>ij</w:t>
                  </w:r>
                  <w:r>
                    <w:rPr>
                      <w:rFonts w:ascii="Times New Roman" w:hAnsi="Times New Roman" w:cs="Times New Roman"/>
                      <w:color w:val="auto"/>
                      <w:sz w:val="22"/>
                      <w:szCs w:val="22"/>
                      <w:highlight w:val="none"/>
                    </w:rPr>
                    <w:t>/%</w:t>
                  </w:r>
                </w:p>
              </w:tc>
            </w:tr>
            <w:tr w14:paraId="5FD5B9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036BAE6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50.0</w:t>
                  </w:r>
                </w:p>
              </w:tc>
              <w:tc>
                <w:tcPr>
                  <w:tcW w:w="3163" w:type="dxa"/>
                  <w:tcBorders>
                    <w:top w:val="single" w:color="auto" w:sz="6" w:space="0"/>
                    <w:left w:val="single" w:color="auto" w:sz="6" w:space="0"/>
                    <w:bottom w:val="single" w:color="auto" w:sz="6" w:space="0"/>
                    <w:right w:val="single" w:color="auto" w:sz="6" w:space="0"/>
                  </w:tcBorders>
                  <w:vAlign w:val="center"/>
                </w:tcPr>
                <w:p w14:paraId="7823A6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6.4804 </w:t>
                  </w:r>
                </w:p>
              </w:tc>
              <w:tc>
                <w:tcPr>
                  <w:tcW w:w="2087" w:type="dxa"/>
                  <w:tcBorders>
                    <w:top w:val="single" w:color="auto" w:sz="6" w:space="0"/>
                    <w:left w:val="single" w:color="auto" w:sz="6" w:space="0"/>
                    <w:bottom w:val="single" w:color="auto" w:sz="6" w:space="0"/>
                    <w:right w:val="single" w:color="auto" w:sz="2" w:space="0"/>
                  </w:tcBorders>
                  <w:vAlign w:val="center"/>
                </w:tcPr>
                <w:p w14:paraId="1D5BDB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0.7200 </w:t>
                  </w:r>
                </w:p>
              </w:tc>
            </w:tr>
            <w:tr w14:paraId="6E0A0C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57A5E9A9">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100.0</w:t>
                  </w:r>
                </w:p>
              </w:tc>
              <w:tc>
                <w:tcPr>
                  <w:tcW w:w="3163" w:type="dxa"/>
                  <w:tcBorders>
                    <w:top w:val="single" w:color="auto" w:sz="6" w:space="0"/>
                    <w:left w:val="single" w:color="auto" w:sz="6" w:space="0"/>
                    <w:bottom w:val="single" w:color="auto" w:sz="6" w:space="0"/>
                    <w:right w:val="single" w:color="auto" w:sz="6" w:space="0"/>
                  </w:tcBorders>
                  <w:vAlign w:val="center"/>
                </w:tcPr>
                <w:p w14:paraId="544D3D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6.2848 </w:t>
                  </w:r>
                </w:p>
              </w:tc>
              <w:tc>
                <w:tcPr>
                  <w:tcW w:w="2087" w:type="dxa"/>
                  <w:tcBorders>
                    <w:top w:val="single" w:color="auto" w:sz="6" w:space="0"/>
                    <w:left w:val="single" w:color="auto" w:sz="6" w:space="0"/>
                    <w:bottom w:val="single" w:color="auto" w:sz="6" w:space="0"/>
                    <w:right w:val="single" w:color="auto" w:sz="2" w:space="0"/>
                  </w:tcBorders>
                  <w:vAlign w:val="center"/>
                </w:tcPr>
                <w:p w14:paraId="592395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0.6983 </w:t>
                  </w:r>
                </w:p>
              </w:tc>
            </w:tr>
            <w:tr w14:paraId="1FC8421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094F0A9B">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200.0</w:t>
                  </w:r>
                </w:p>
              </w:tc>
              <w:tc>
                <w:tcPr>
                  <w:tcW w:w="3163" w:type="dxa"/>
                  <w:tcBorders>
                    <w:top w:val="single" w:color="auto" w:sz="6" w:space="0"/>
                    <w:left w:val="single" w:color="auto" w:sz="6" w:space="0"/>
                    <w:bottom w:val="single" w:color="auto" w:sz="6" w:space="0"/>
                    <w:right w:val="single" w:color="auto" w:sz="6" w:space="0"/>
                  </w:tcBorders>
                  <w:vAlign w:val="center"/>
                </w:tcPr>
                <w:p w14:paraId="6F4574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3.8146 </w:t>
                  </w:r>
                </w:p>
              </w:tc>
              <w:tc>
                <w:tcPr>
                  <w:tcW w:w="2087" w:type="dxa"/>
                  <w:tcBorders>
                    <w:top w:val="single" w:color="auto" w:sz="6" w:space="0"/>
                    <w:left w:val="single" w:color="auto" w:sz="6" w:space="0"/>
                    <w:bottom w:val="single" w:color="auto" w:sz="6" w:space="0"/>
                    <w:right w:val="single" w:color="auto" w:sz="2" w:space="0"/>
                  </w:tcBorders>
                  <w:vAlign w:val="center"/>
                </w:tcPr>
                <w:p w14:paraId="211A91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0.4238 </w:t>
                  </w:r>
                </w:p>
              </w:tc>
            </w:tr>
            <w:tr w14:paraId="613128B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0240CE7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300.0</w:t>
                  </w:r>
                </w:p>
              </w:tc>
              <w:tc>
                <w:tcPr>
                  <w:tcW w:w="3163" w:type="dxa"/>
                  <w:tcBorders>
                    <w:top w:val="single" w:color="auto" w:sz="6" w:space="0"/>
                    <w:left w:val="single" w:color="auto" w:sz="6" w:space="0"/>
                    <w:bottom w:val="single" w:color="auto" w:sz="6" w:space="0"/>
                    <w:right w:val="single" w:color="auto" w:sz="6" w:space="0"/>
                  </w:tcBorders>
                  <w:vAlign w:val="center"/>
                </w:tcPr>
                <w:p w14:paraId="3224D57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2.8457 </w:t>
                  </w:r>
                </w:p>
              </w:tc>
              <w:tc>
                <w:tcPr>
                  <w:tcW w:w="2087" w:type="dxa"/>
                  <w:tcBorders>
                    <w:top w:val="single" w:color="auto" w:sz="6" w:space="0"/>
                    <w:left w:val="single" w:color="auto" w:sz="6" w:space="0"/>
                    <w:bottom w:val="single" w:color="auto" w:sz="6" w:space="0"/>
                    <w:right w:val="single" w:color="auto" w:sz="2" w:space="0"/>
                  </w:tcBorders>
                  <w:vAlign w:val="center"/>
                </w:tcPr>
                <w:p w14:paraId="6826A4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0.3162 </w:t>
                  </w:r>
                </w:p>
              </w:tc>
            </w:tr>
            <w:tr w14:paraId="47FA1E0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586DFE7A">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400.0</w:t>
                  </w:r>
                </w:p>
              </w:tc>
              <w:tc>
                <w:tcPr>
                  <w:tcW w:w="3163" w:type="dxa"/>
                  <w:tcBorders>
                    <w:top w:val="single" w:color="auto" w:sz="6" w:space="0"/>
                    <w:left w:val="single" w:color="auto" w:sz="6" w:space="0"/>
                    <w:bottom w:val="single" w:color="auto" w:sz="6" w:space="0"/>
                    <w:right w:val="single" w:color="auto" w:sz="6" w:space="0"/>
                  </w:tcBorders>
                  <w:vAlign w:val="center"/>
                </w:tcPr>
                <w:p w14:paraId="751972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2.3160 </w:t>
                  </w:r>
                </w:p>
              </w:tc>
              <w:tc>
                <w:tcPr>
                  <w:tcW w:w="2087" w:type="dxa"/>
                  <w:tcBorders>
                    <w:top w:val="single" w:color="auto" w:sz="6" w:space="0"/>
                    <w:left w:val="single" w:color="auto" w:sz="6" w:space="0"/>
                    <w:bottom w:val="single" w:color="auto" w:sz="6" w:space="0"/>
                    <w:right w:val="single" w:color="auto" w:sz="2" w:space="0"/>
                  </w:tcBorders>
                  <w:vAlign w:val="center"/>
                </w:tcPr>
                <w:p w14:paraId="3BA391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0.2573 </w:t>
                  </w:r>
                </w:p>
              </w:tc>
            </w:tr>
            <w:tr w14:paraId="42F05A8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605E19F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500.0</w:t>
                  </w:r>
                </w:p>
              </w:tc>
              <w:tc>
                <w:tcPr>
                  <w:tcW w:w="3163" w:type="dxa"/>
                  <w:tcBorders>
                    <w:top w:val="single" w:color="auto" w:sz="6" w:space="0"/>
                    <w:left w:val="single" w:color="auto" w:sz="6" w:space="0"/>
                    <w:bottom w:val="single" w:color="auto" w:sz="6" w:space="0"/>
                    <w:right w:val="single" w:color="auto" w:sz="6" w:space="0"/>
                  </w:tcBorders>
                  <w:vAlign w:val="center"/>
                </w:tcPr>
                <w:p w14:paraId="386D6A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1.9755 </w:t>
                  </w:r>
                </w:p>
              </w:tc>
              <w:tc>
                <w:tcPr>
                  <w:tcW w:w="2087" w:type="dxa"/>
                  <w:tcBorders>
                    <w:top w:val="single" w:color="auto" w:sz="6" w:space="0"/>
                    <w:left w:val="single" w:color="auto" w:sz="6" w:space="0"/>
                    <w:bottom w:val="single" w:color="auto" w:sz="6" w:space="0"/>
                    <w:right w:val="single" w:color="auto" w:sz="2" w:space="0"/>
                  </w:tcBorders>
                  <w:vAlign w:val="center"/>
                </w:tcPr>
                <w:p w14:paraId="6493A3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0.2195 </w:t>
                  </w:r>
                </w:p>
              </w:tc>
            </w:tr>
            <w:tr w14:paraId="0B04C98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282150F7">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600.0</w:t>
                  </w:r>
                </w:p>
              </w:tc>
              <w:tc>
                <w:tcPr>
                  <w:tcW w:w="3163" w:type="dxa"/>
                  <w:tcBorders>
                    <w:top w:val="single" w:color="auto" w:sz="6" w:space="0"/>
                    <w:left w:val="single" w:color="auto" w:sz="6" w:space="0"/>
                    <w:bottom w:val="single" w:color="auto" w:sz="6" w:space="0"/>
                    <w:right w:val="single" w:color="auto" w:sz="6" w:space="0"/>
                  </w:tcBorders>
                  <w:vAlign w:val="center"/>
                </w:tcPr>
                <w:p w14:paraId="75355C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1.7356 </w:t>
                  </w:r>
                </w:p>
              </w:tc>
              <w:tc>
                <w:tcPr>
                  <w:tcW w:w="2087" w:type="dxa"/>
                  <w:tcBorders>
                    <w:top w:val="single" w:color="auto" w:sz="6" w:space="0"/>
                    <w:left w:val="single" w:color="auto" w:sz="6" w:space="0"/>
                    <w:bottom w:val="single" w:color="auto" w:sz="6" w:space="0"/>
                    <w:right w:val="single" w:color="auto" w:sz="2" w:space="0"/>
                  </w:tcBorders>
                  <w:vAlign w:val="center"/>
                </w:tcPr>
                <w:p w14:paraId="397AF7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0.1928 </w:t>
                  </w:r>
                </w:p>
              </w:tc>
            </w:tr>
            <w:tr w14:paraId="27D10C3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142E1E1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700.0</w:t>
                  </w:r>
                </w:p>
              </w:tc>
              <w:tc>
                <w:tcPr>
                  <w:tcW w:w="3163" w:type="dxa"/>
                  <w:tcBorders>
                    <w:top w:val="single" w:color="auto" w:sz="6" w:space="0"/>
                    <w:left w:val="single" w:color="auto" w:sz="6" w:space="0"/>
                    <w:bottom w:val="single" w:color="auto" w:sz="6" w:space="0"/>
                    <w:right w:val="single" w:color="auto" w:sz="6" w:space="0"/>
                  </w:tcBorders>
                  <w:vAlign w:val="center"/>
                </w:tcPr>
                <w:p w14:paraId="77AC2E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1.5560 </w:t>
                  </w:r>
                </w:p>
              </w:tc>
              <w:tc>
                <w:tcPr>
                  <w:tcW w:w="2087" w:type="dxa"/>
                  <w:tcBorders>
                    <w:top w:val="single" w:color="auto" w:sz="6" w:space="0"/>
                    <w:left w:val="single" w:color="auto" w:sz="6" w:space="0"/>
                    <w:bottom w:val="single" w:color="auto" w:sz="6" w:space="0"/>
                    <w:right w:val="single" w:color="auto" w:sz="2" w:space="0"/>
                  </w:tcBorders>
                  <w:vAlign w:val="center"/>
                </w:tcPr>
                <w:p w14:paraId="5BF094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0.1729 </w:t>
                  </w:r>
                </w:p>
              </w:tc>
            </w:tr>
            <w:tr w14:paraId="36A8381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7F749234">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800.0</w:t>
                  </w:r>
                </w:p>
              </w:tc>
              <w:tc>
                <w:tcPr>
                  <w:tcW w:w="3163" w:type="dxa"/>
                  <w:tcBorders>
                    <w:top w:val="single" w:color="auto" w:sz="6" w:space="0"/>
                    <w:left w:val="single" w:color="auto" w:sz="6" w:space="0"/>
                    <w:bottom w:val="single" w:color="auto" w:sz="6" w:space="0"/>
                    <w:right w:val="single" w:color="auto" w:sz="6" w:space="0"/>
                  </w:tcBorders>
                  <w:vAlign w:val="center"/>
                </w:tcPr>
                <w:p w14:paraId="306A10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1.4157 </w:t>
                  </w:r>
                </w:p>
              </w:tc>
              <w:tc>
                <w:tcPr>
                  <w:tcW w:w="2087" w:type="dxa"/>
                  <w:tcBorders>
                    <w:top w:val="single" w:color="auto" w:sz="6" w:space="0"/>
                    <w:left w:val="single" w:color="auto" w:sz="6" w:space="0"/>
                    <w:bottom w:val="single" w:color="auto" w:sz="6" w:space="0"/>
                    <w:right w:val="single" w:color="auto" w:sz="2" w:space="0"/>
                  </w:tcBorders>
                  <w:vAlign w:val="center"/>
                </w:tcPr>
                <w:p w14:paraId="109ADC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0.1573 </w:t>
                  </w:r>
                </w:p>
              </w:tc>
            </w:tr>
            <w:tr w14:paraId="23FE3B6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056EF62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900.0</w:t>
                  </w:r>
                </w:p>
              </w:tc>
              <w:tc>
                <w:tcPr>
                  <w:tcW w:w="3163" w:type="dxa"/>
                  <w:tcBorders>
                    <w:top w:val="single" w:color="auto" w:sz="6" w:space="0"/>
                    <w:left w:val="single" w:color="auto" w:sz="6" w:space="0"/>
                    <w:bottom w:val="single" w:color="auto" w:sz="6" w:space="0"/>
                    <w:right w:val="single" w:color="auto" w:sz="6" w:space="0"/>
                  </w:tcBorders>
                  <w:vAlign w:val="center"/>
                </w:tcPr>
                <w:p w14:paraId="7E06D1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1.3027 </w:t>
                  </w:r>
                </w:p>
              </w:tc>
              <w:tc>
                <w:tcPr>
                  <w:tcW w:w="2087" w:type="dxa"/>
                  <w:tcBorders>
                    <w:top w:val="single" w:color="auto" w:sz="6" w:space="0"/>
                    <w:left w:val="single" w:color="auto" w:sz="6" w:space="0"/>
                    <w:bottom w:val="single" w:color="auto" w:sz="6" w:space="0"/>
                    <w:right w:val="single" w:color="auto" w:sz="2" w:space="0"/>
                  </w:tcBorders>
                  <w:vAlign w:val="center"/>
                </w:tcPr>
                <w:p w14:paraId="0E6714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0.1447 </w:t>
                  </w:r>
                </w:p>
              </w:tc>
            </w:tr>
            <w:tr w14:paraId="6DF2BC3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07F7ED0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1000.0</w:t>
                  </w:r>
                </w:p>
              </w:tc>
              <w:tc>
                <w:tcPr>
                  <w:tcW w:w="3163" w:type="dxa"/>
                  <w:tcBorders>
                    <w:top w:val="single" w:color="auto" w:sz="6" w:space="0"/>
                    <w:left w:val="single" w:color="auto" w:sz="6" w:space="0"/>
                    <w:bottom w:val="single" w:color="auto" w:sz="6" w:space="0"/>
                    <w:right w:val="single" w:color="auto" w:sz="6" w:space="0"/>
                  </w:tcBorders>
                  <w:vAlign w:val="center"/>
                </w:tcPr>
                <w:p w14:paraId="15E473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1.2093 </w:t>
                  </w:r>
                </w:p>
              </w:tc>
              <w:tc>
                <w:tcPr>
                  <w:tcW w:w="2087" w:type="dxa"/>
                  <w:tcBorders>
                    <w:top w:val="single" w:color="auto" w:sz="6" w:space="0"/>
                    <w:left w:val="single" w:color="auto" w:sz="6" w:space="0"/>
                    <w:bottom w:val="single" w:color="auto" w:sz="6" w:space="0"/>
                    <w:right w:val="single" w:color="auto" w:sz="2" w:space="0"/>
                  </w:tcBorders>
                  <w:vAlign w:val="center"/>
                </w:tcPr>
                <w:p w14:paraId="461F8A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0.1344 </w:t>
                  </w:r>
                </w:p>
              </w:tc>
            </w:tr>
            <w:tr w14:paraId="322DB0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753653D8">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1200.0</w:t>
                  </w:r>
                </w:p>
              </w:tc>
              <w:tc>
                <w:tcPr>
                  <w:tcW w:w="3163" w:type="dxa"/>
                  <w:tcBorders>
                    <w:top w:val="single" w:color="auto" w:sz="6" w:space="0"/>
                    <w:left w:val="single" w:color="auto" w:sz="6" w:space="0"/>
                    <w:bottom w:val="single" w:color="auto" w:sz="6" w:space="0"/>
                    <w:right w:val="single" w:color="auto" w:sz="6" w:space="0"/>
                  </w:tcBorders>
                  <w:vAlign w:val="center"/>
                </w:tcPr>
                <w:p w14:paraId="793204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1.0634 </w:t>
                  </w:r>
                </w:p>
              </w:tc>
              <w:tc>
                <w:tcPr>
                  <w:tcW w:w="2087" w:type="dxa"/>
                  <w:tcBorders>
                    <w:top w:val="single" w:color="auto" w:sz="6" w:space="0"/>
                    <w:left w:val="single" w:color="auto" w:sz="6" w:space="0"/>
                    <w:bottom w:val="single" w:color="auto" w:sz="6" w:space="0"/>
                    <w:right w:val="single" w:color="auto" w:sz="2" w:space="0"/>
                  </w:tcBorders>
                  <w:vAlign w:val="center"/>
                </w:tcPr>
                <w:p w14:paraId="754F17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0.1182 </w:t>
                  </w:r>
                </w:p>
              </w:tc>
            </w:tr>
            <w:tr w14:paraId="0E9F4AF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1837F1C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1400.0</w:t>
                  </w:r>
                </w:p>
              </w:tc>
              <w:tc>
                <w:tcPr>
                  <w:tcW w:w="3163" w:type="dxa"/>
                  <w:tcBorders>
                    <w:top w:val="single" w:color="auto" w:sz="6" w:space="0"/>
                    <w:left w:val="single" w:color="auto" w:sz="6" w:space="0"/>
                    <w:bottom w:val="single" w:color="auto" w:sz="6" w:space="0"/>
                    <w:right w:val="single" w:color="auto" w:sz="6" w:space="0"/>
                  </w:tcBorders>
                  <w:vAlign w:val="center"/>
                </w:tcPr>
                <w:p w14:paraId="706C9D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0.9539 </w:t>
                  </w:r>
                </w:p>
              </w:tc>
              <w:tc>
                <w:tcPr>
                  <w:tcW w:w="2087" w:type="dxa"/>
                  <w:tcBorders>
                    <w:top w:val="single" w:color="auto" w:sz="6" w:space="0"/>
                    <w:left w:val="single" w:color="auto" w:sz="6" w:space="0"/>
                    <w:bottom w:val="single" w:color="auto" w:sz="6" w:space="0"/>
                    <w:right w:val="single" w:color="auto" w:sz="2" w:space="0"/>
                  </w:tcBorders>
                  <w:vAlign w:val="center"/>
                </w:tcPr>
                <w:p w14:paraId="1B77D6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0.1060 </w:t>
                  </w:r>
                </w:p>
              </w:tc>
            </w:tr>
            <w:tr w14:paraId="538E4AB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68D6CBFD">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1600.0</w:t>
                  </w:r>
                </w:p>
              </w:tc>
              <w:tc>
                <w:tcPr>
                  <w:tcW w:w="3163" w:type="dxa"/>
                  <w:tcBorders>
                    <w:top w:val="single" w:color="auto" w:sz="6" w:space="0"/>
                    <w:left w:val="single" w:color="auto" w:sz="6" w:space="0"/>
                    <w:bottom w:val="single" w:color="auto" w:sz="6" w:space="0"/>
                    <w:right w:val="single" w:color="auto" w:sz="6" w:space="0"/>
                  </w:tcBorders>
                  <w:vAlign w:val="center"/>
                </w:tcPr>
                <w:p w14:paraId="018B9A7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0.8684 </w:t>
                  </w:r>
                </w:p>
              </w:tc>
              <w:tc>
                <w:tcPr>
                  <w:tcW w:w="2087" w:type="dxa"/>
                  <w:tcBorders>
                    <w:top w:val="single" w:color="auto" w:sz="6" w:space="0"/>
                    <w:left w:val="single" w:color="auto" w:sz="6" w:space="0"/>
                    <w:bottom w:val="single" w:color="auto" w:sz="6" w:space="0"/>
                    <w:right w:val="single" w:color="auto" w:sz="2" w:space="0"/>
                  </w:tcBorders>
                  <w:vAlign w:val="center"/>
                </w:tcPr>
                <w:p w14:paraId="659DC9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0.0965 </w:t>
                  </w:r>
                </w:p>
              </w:tc>
            </w:tr>
            <w:tr w14:paraId="3AC2D76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6466E765">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1800.0</w:t>
                  </w:r>
                </w:p>
              </w:tc>
              <w:tc>
                <w:tcPr>
                  <w:tcW w:w="3163" w:type="dxa"/>
                  <w:tcBorders>
                    <w:top w:val="single" w:color="auto" w:sz="6" w:space="0"/>
                    <w:left w:val="single" w:color="auto" w:sz="6" w:space="0"/>
                    <w:bottom w:val="single" w:color="auto" w:sz="6" w:space="0"/>
                    <w:right w:val="single" w:color="auto" w:sz="6" w:space="0"/>
                  </w:tcBorders>
                  <w:vAlign w:val="center"/>
                </w:tcPr>
                <w:p w14:paraId="3FB8EB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0.7993 </w:t>
                  </w:r>
                </w:p>
              </w:tc>
              <w:tc>
                <w:tcPr>
                  <w:tcW w:w="2087" w:type="dxa"/>
                  <w:tcBorders>
                    <w:top w:val="single" w:color="auto" w:sz="6" w:space="0"/>
                    <w:left w:val="single" w:color="auto" w:sz="6" w:space="0"/>
                    <w:bottom w:val="single" w:color="auto" w:sz="6" w:space="0"/>
                    <w:right w:val="single" w:color="auto" w:sz="2" w:space="0"/>
                  </w:tcBorders>
                  <w:vAlign w:val="center"/>
                </w:tcPr>
                <w:p w14:paraId="45EA78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0.0888 </w:t>
                  </w:r>
                </w:p>
              </w:tc>
            </w:tr>
            <w:tr w14:paraId="5DE45D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101"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7E834E22">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hint="eastAsia" w:ascii="Times New Roman" w:hAnsi="Times New Roman" w:cs="Times New Roman"/>
                      <w:color w:val="auto"/>
                      <w:sz w:val="22"/>
                      <w:szCs w:val="22"/>
                      <w:highlight w:val="none"/>
                    </w:rPr>
                    <w:t>2000.0</w:t>
                  </w:r>
                </w:p>
              </w:tc>
              <w:tc>
                <w:tcPr>
                  <w:tcW w:w="3163" w:type="dxa"/>
                  <w:tcBorders>
                    <w:top w:val="single" w:color="auto" w:sz="6" w:space="0"/>
                    <w:left w:val="single" w:color="auto" w:sz="6" w:space="0"/>
                    <w:bottom w:val="single" w:color="auto" w:sz="6" w:space="0"/>
                    <w:right w:val="single" w:color="auto" w:sz="6" w:space="0"/>
                  </w:tcBorders>
                  <w:vAlign w:val="center"/>
                </w:tcPr>
                <w:p w14:paraId="4439FB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0.7422 </w:t>
                  </w:r>
                </w:p>
              </w:tc>
              <w:tc>
                <w:tcPr>
                  <w:tcW w:w="2087" w:type="dxa"/>
                  <w:tcBorders>
                    <w:top w:val="single" w:color="auto" w:sz="6" w:space="0"/>
                    <w:left w:val="single" w:color="auto" w:sz="6" w:space="0"/>
                    <w:bottom w:val="single" w:color="auto" w:sz="6" w:space="0"/>
                    <w:right w:val="single" w:color="auto" w:sz="2" w:space="0"/>
                  </w:tcBorders>
                  <w:vAlign w:val="center"/>
                </w:tcPr>
                <w:p w14:paraId="1CE420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color w:val="auto"/>
                      <w:sz w:val="22"/>
                      <w:szCs w:val="22"/>
                      <w:highlight w:val="none"/>
                    </w:rPr>
                  </w:pPr>
                  <w:r>
                    <w:rPr>
                      <w:rFonts w:hint="eastAsia" w:ascii="Times New Roman" w:hAnsi="Times New Roman" w:eastAsia="宋体" w:cs="Times New Roman"/>
                      <w:b w:val="0"/>
                      <w:color w:val="auto"/>
                      <w:sz w:val="22"/>
                      <w:szCs w:val="22"/>
                      <w:highlight w:val="none"/>
                    </w:rPr>
                    <w:t xml:space="preserve">0.0825 </w:t>
                  </w:r>
                </w:p>
              </w:tc>
            </w:tr>
            <w:tr w14:paraId="6466135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6" w:space="0"/>
                    <w:right w:val="single" w:color="auto" w:sz="6" w:space="0"/>
                  </w:tcBorders>
                  <w:vAlign w:val="center"/>
                </w:tcPr>
                <w:p w14:paraId="1600E05C">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C</w:t>
                  </w:r>
                  <w:r>
                    <w:rPr>
                      <w:rFonts w:ascii="Times New Roman" w:hAnsi="Times New Roman" w:cs="Times New Roman"/>
                      <w:color w:val="auto"/>
                      <w:sz w:val="22"/>
                      <w:szCs w:val="22"/>
                      <w:highlight w:val="none"/>
                      <w:vertAlign w:val="subscript"/>
                    </w:rPr>
                    <w:t>max</w:t>
                  </w:r>
                  <w:r>
                    <w:rPr>
                      <w:rFonts w:ascii="Times New Roman" w:hAnsi="Times New Roman" w:cs="Times New Roman"/>
                      <w:color w:val="auto"/>
                      <w:sz w:val="22"/>
                      <w:szCs w:val="22"/>
                      <w:highlight w:val="none"/>
                    </w:rPr>
                    <w:t>及P</w:t>
                  </w:r>
                  <w:r>
                    <w:rPr>
                      <w:rFonts w:ascii="Times New Roman" w:hAnsi="Times New Roman" w:cs="Times New Roman"/>
                      <w:color w:val="auto"/>
                      <w:sz w:val="22"/>
                      <w:szCs w:val="22"/>
                      <w:highlight w:val="none"/>
                      <w:vertAlign w:val="subscript"/>
                    </w:rPr>
                    <w:t>max</w:t>
                  </w:r>
                </w:p>
              </w:tc>
              <w:tc>
                <w:tcPr>
                  <w:tcW w:w="3163" w:type="dxa"/>
                  <w:tcBorders>
                    <w:top w:val="single" w:color="auto" w:sz="6" w:space="0"/>
                    <w:left w:val="single" w:color="auto" w:sz="6" w:space="0"/>
                    <w:bottom w:val="single" w:color="auto" w:sz="6" w:space="0"/>
                    <w:right w:val="single" w:color="auto" w:sz="6" w:space="0"/>
                  </w:tcBorders>
                  <w:vAlign w:val="center"/>
                </w:tcPr>
                <w:p w14:paraId="55C1BB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13.1005</w:t>
                  </w:r>
                </w:p>
              </w:tc>
              <w:tc>
                <w:tcPr>
                  <w:tcW w:w="2087" w:type="dxa"/>
                  <w:tcBorders>
                    <w:top w:val="single" w:color="auto" w:sz="6" w:space="0"/>
                    <w:left w:val="single" w:color="auto" w:sz="6" w:space="0"/>
                    <w:bottom w:val="single" w:color="auto" w:sz="6" w:space="0"/>
                    <w:right w:val="single" w:color="auto" w:sz="2" w:space="0"/>
                  </w:tcBorders>
                  <w:vAlign w:val="center"/>
                </w:tcPr>
                <w:p w14:paraId="67B6E1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1.4564</w:t>
                  </w:r>
                </w:p>
              </w:tc>
            </w:tr>
            <w:tr w14:paraId="060C3BE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284" w:hRule="atLeast"/>
                <w:jc w:val="center"/>
              </w:trPr>
              <w:tc>
                <w:tcPr>
                  <w:tcW w:w="1837" w:type="pct"/>
                  <w:tcBorders>
                    <w:top w:val="single" w:color="auto" w:sz="6" w:space="0"/>
                    <w:left w:val="single" w:color="auto" w:sz="2" w:space="0"/>
                    <w:bottom w:val="single" w:color="auto" w:sz="2" w:space="0"/>
                    <w:right w:val="single" w:color="auto" w:sz="6" w:space="0"/>
                  </w:tcBorders>
                  <w:vAlign w:val="center"/>
                </w:tcPr>
                <w:p w14:paraId="19BBA716">
                  <w:pPr>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最大浓度距离（m）</w:t>
                  </w:r>
                </w:p>
              </w:tc>
              <w:tc>
                <w:tcPr>
                  <w:tcW w:w="3163" w:type="dxa"/>
                  <w:tcBorders>
                    <w:top w:val="single" w:color="auto" w:sz="6" w:space="0"/>
                    <w:left w:val="single" w:color="auto" w:sz="6" w:space="0"/>
                    <w:bottom w:val="single" w:color="auto" w:sz="2" w:space="0"/>
                    <w:right w:val="single" w:color="auto" w:sz="2" w:space="0"/>
                  </w:tcBorders>
                  <w:vAlign w:val="center"/>
                </w:tcPr>
                <w:p w14:paraId="57379B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sz w:val="22"/>
                      <w:szCs w:val="22"/>
                      <w:highlight w:val="none"/>
                    </w:rPr>
                  </w:pPr>
                  <w:r>
                    <w:rPr>
                      <w:rFonts w:ascii="Times New Roman" w:hAnsi="Times New Roman" w:eastAsia="宋体" w:cs="Times New Roman"/>
                      <w:b w:val="0"/>
                      <w:color w:val="auto"/>
                      <w:sz w:val="22"/>
                      <w:szCs w:val="22"/>
                      <w:highlight w:val="none"/>
                    </w:rPr>
                    <w:t>10.0</w:t>
                  </w:r>
                </w:p>
              </w:tc>
              <w:tc>
                <w:tcPr>
                  <w:tcW w:w="2087" w:type="dxa"/>
                  <w:tcBorders>
                    <w:top w:val="single" w:color="auto" w:sz="6" w:space="0"/>
                    <w:left w:val="single" w:color="auto" w:sz="6" w:space="0"/>
                    <w:bottom w:val="single" w:color="auto" w:sz="2" w:space="0"/>
                    <w:right w:val="single" w:color="auto" w:sz="6" w:space="0"/>
                  </w:tcBorders>
                  <w:vAlign w:val="center"/>
                </w:tcPr>
                <w:p w14:paraId="5BEDAD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color w:val="auto"/>
                      <w:sz w:val="22"/>
                      <w:szCs w:val="22"/>
                      <w:highlight w:val="none"/>
                    </w:rPr>
                  </w:pPr>
                  <w:r>
                    <w:rPr>
                      <w:rFonts w:ascii="Times New Roman" w:hAnsi="Times New Roman" w:eastAsia="宋体" w:cs="Times New Roman"/>
                      <w:b w:val="0"/>
                      <w:color w:val="auto"/>
                      <w:sz w:val="22"/>
                      <w:szCs w:val="22"/>
                      <w:highlight w:val="none"/>
                    </w:rPr>
                    <w:t>10.0</w:t>
                  </w:r>
                </w:p>
              </w:tc>
            </w:tr>
          </w:tbl>
          <w:p w14:paraId="11DAC5C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由上表可知，本项目</w:t>
            </w:r>
            <w:r>
              <w:rPr>
                <w:rFonts w:hint="eastAsia" w:ascii="Times New Roman" w:hAnsi="Times New Roman"/>
                <w:color w:val="auto"/>
                <w:sz w:val="26"/>
                <w:szCs w:val="26"/>
                <w:highlight w:val="none"/>
                <w:vertAlign w:val="baseline"/>
                <w:lang w:val="en-US" w:eastAsia="zh-CN"/>
              </w:rPr>
              <w:t>运营后无</w:t>
            </w:r>
            <w:r>
              <w:rPr>
                <w:rFonts w:hint="eastAsia" w:ascii="Times New Roman" w:hAnsi="Times New Roman"/>
                <w:color w:val="auto"/>
                <w:sz w:val="26"/>
                <w:szCs w:val="26"/>
                <w:highlight w:val="none"/>
                <w:vertAlign w:val="baseline"/>
              </w:rPr>
              <w:t>组织排放源正常工况下影响最大的为</w:t>
            </w:r>
            <w:r>
              <w:rPr>
                <w:rFonts w:hint="eastAsia" w:ascii="Times New Roman" w:hAnsi="Times New Roman"/>
                <w:color w:val="auto"/>
                <w:sz w:val="26"/>
                <w:szCs w:val="26"/>
                <w:highlight w:val="none"/>
                <w:vertAlign w:val="baseline"/>
                <w:lang w:val="en-US" w:eastAsia="zh-CN"/>
              </w:rPr>
              <w:t>破碎设备加工无组织粉尘</w:t>
            </w:r>
            <w:r>
              <w:rPr>
                <w:rFonts w:hint="eastAsia" w:ascii="Times New Roman" w:hAnsi="Times New Roman"/>
                <w:color w:val="auto"/>
                <w:sz w:val="26"/>
                <w:szCs w:val="26"/>
                <w:highlight w:val="none"/>
                <w:vertAlign w:val="baseline"/>
              </w:rPr>
              <w:t>，其最大落地浓度都为</w:t>
            </w:r>
            <w:r>
              <w:rPr>
                <w:rFonts w:hint="eastAsia" w:ascii="Times New Roman" w:hAnsi="Times New Roman"/>
                <w:color w:val="auto"/>
                <w:sz w:val="26"/>
                <w:szCs w:val="26"/>
                <w:highlight w:val="none"/>
                <w:vertAlign w:val="baseline"/>
                <w:lang w:val="en-US" w:eastAsia="zh-CN"/>
              </w:rPr>
              <w:t>75.92</w:t>
            </w:r>
            <w:r>
              <w:rPr>
                <w:rFonts w:hint="eastAsia" w:ascii="Times New Roman" w:hAnsi="Times New Roman"/>
                <w:color w:val="auto"/>
                <w:sz w:val="26"/>
                <w:szCs w:val="26"/>
                <w:highlight w:val="none"/>
                <w:vertAlign w:val="baseline"/>
              </w:rPr>
              <w:t>μg/m³，占标率为</w:t>
            </w:r>
            <w:r>
              <w:rPr>
                <w:rFonts w:hint="eastAsia" w:ascii="Times New Roman" w:hAnsi="Times New Roman"/>
                <w:color w:val="auto"/>
                <w:sz w:val="26"/>
                <w:szCs w:val="26"/>
                <w:highlight w:val="none"/>
                <w:vertAlign w:val="baseline"/>
                <w:lang w:val="en-US" w:eastAsia="zh-CN"/>
              </w:rPr>
              <w:t>8.44</w:t>
            </w:r>
            <w:r>
              <w:rPr>
                <w:rFonts w:hint="eastAsia" w:ascii="Times New Roman" w:hAnsi="Times New Roman"/>
                <w:color w:val="auto"/>
                <w:sz w:val="26"/>
                <w:szCs w:val="26"/>
                <w:highlight w:val="none"/>
                <w:vertAlign w:val="baseline"/>
              </w:rPr>
              <w:t>%；最大浓度出现距离分别为</w:t>
            </w:r>
            <w:r>
              <w:rPr>
                <w:rFonts w:hint="eastAsia" w:ascii="Times New Roman" w:hAnsi="Times New Roman"/>
                <w:color w:val="auto"/>
                <w:sz w:val="26"/>
                <w:szCs w:val="26"/>
                <w:highlight w:val="none"/>
                <w:vertAlign w:val="baseline"/>
                <w:lang w:val="en-US" w:eastAsia="zh-CN"/>
              </w:rPr>
              <w:t>51</w:t>
            </w:r>
            <w:r>
              <w:rPr>
                <w:rFonts w:hint="eastAsia" w:ascii="Times New Roman" w:hAnsi="Times New Roman"/>
                <w:color w:val="auto"/>
                <w:sz w:val="26"/>
                <w:szCs w:val="26"/>
                <w:highlight w:val="none"/>
                <w:vertAlign w:val="baseline"/>
              </w:rPr>
              <w:t>m。有组织排放源正常工况下最大落地浓度都为</w:t>
            </w:r>
            <w:r>
              <w:rPr>
                <w:rFonts w:hint="eastAsia" w:ascii="Times New Roman" w:hAnsi="Times New Roman"/>
                <w:color w:val="auto"/>
                <w:sz w:val="26"/>
                <w:szCs w:val="26"/>
                <w:highlight w:val="none"/>
                <w:vertAlign w:val="baseline"/>
                <w:lang w:val="en-US" w:eastAsia="zh-CN"/>
              </w:rPr>
              <w:t>13.10</w:t>
            </w:r>
            <w:r>
              <w:rPr>
                <w:rFonts w:hint="eastAsia" w:ascii="Times New Roman" w:hAnsi="Times New Roman"/>
                <w:color w:val="auto"/>
                <w:sz w:val="26"/>
                <w:szCs w:val="26"/>
                <w:highlight w:val="none"/>
                <w:vertAlign w:val="baseline"/>
              </w:rPr>
              <w:t>μg/m³，占标率为</w:t>
            </w:r>
            <w:r>
              <w:rPr>
                <w:rFonts w:hint="eastAsia" w:ascii="Times New Roman" w:hAnsi="Times New Roman"/>
                <w:color w:val="auto"/>
                <w:sz w:val="26"/>
                <w:szCs w:val="26"/>
                <w:highlight w:val="none"/>
                <w:vertAlign w:val="baseline"/>
                <w:lang w:val="en-US" w:eastAsia="zh-CN"/>
              </w:rPr>
              <w:t>1.46</w:t>
            </w:r>
            <w:r>
              <w:rPr>
                <w:rFonts w:hint="eastAsia" w:ascii="Times New Roman" w:hAnsi="Times New Roman"/>
                <w:color w:val="auto"/>
                <w:sz w:val="26"/>
                <w:szCs w:val="26"/>
                <w:highlight w:val="none"/>
                <w:vertAlign w:val="baseline"/>
              </w:rPr>
              <w:t>%；最大浓度出现距离分别为</w:t>
            </w:r>
            <w:r>
              <w:rPr>
                <w:rFonts w:hint="eastAsia" w:ascii="Times New Roman" w:hAnsi="Times New Roman"/>
                <w:color w:val="auto"/>
                <w:sz w:val="26"/>
                <w:szCs w:val="26"/>
                <w:highlight w:val="none"/>
                <w:vertAlign w:val="baseline"/>
                <w:lang w:val="en-US" w:eastAsia="zh-CN"/>
              </w:rPr>
              <w:t>10</w:t>
            </w:r>
            <w:r>
              <w:rPr>
                <w:rFonts w:hint="eastAsia" w:ascii="Times New Roman" w:hAnsi="Times New Roman"/>
                <w:color w:val="auto"/>
                <w:sz w:val="26"/>
                <w:szCs w:val="26"/>
                <w:highlight w:val="none"/>
                <w:vertAlign w:val="baseline"/>
              </w:rPr>
              <w:t>m。依据《环境影响技术导则一大气环境（HJ2.2-2018）》评价工作的分级判据，本项目大气评价等级定为二级。不进行进一步预测和评价。</w:t>
            </w:r>
            <w:r>
              <w:rPr>
                <w:rFonts w:hint="eastAsia" w:ascii="Times New Roman" w:hAnsi="Times New Roman"/>
                <w:color w:val="auto"/>
                <w:sz w:val="26"/>
                <w:szCs w:val="26"/>
                <w:highlight w:val="none"/>
                <w:vertAlign w:val="baseline"/>
                <w:lang w:val="en-US" w:eastAsia="zh-CN"/>
              </w:rPr>
              <w:t>本项目无组织、</w:t>
            </w:r>
            <w:r>
              <w:rPr>
                <w:rFonts w:hint="eastAsia" w:ascii="Times New Roman" w:hAnsi="Times New Roman"/>
                <w:color w:val="auto"/>
                <w:sz w:val="26"/>
                <w:szCs w:val="26"/>
                <w:highlight w:val="none"/>
                <w:vertAlign w:val="baseline"/>
              </w:rPr>
              <w:t>有组织排放粉尘预测值</w:t>
            </w:r>
            <w:r>
              <w:rPr>
                <w:rFonts w:hint="eastAsia" w:ascii="Times New Roman" w:hAnsi="Times New Roman"/>
                <w:color w:val="auto"/>
                <w:sz w:val="26"/>
                <w:szCs w:val="26"/>
                <w:highlight w:val="none"/>
                <w:vertAlign w:val="baseline"/>
                <w:lang w:val="en-US" w:eastAsia="zh-CN"/>
              </w:rPr>
              <w:t>不超过</w:t>
            </w:r>
            <w:r>
              <w:rPr>
                <w:rFonts w:hint="eastAsia" w:ascii="Times New Roman" w:hAnsi="Times New Roman"/>
                <w:color w:val="auto"/>
                <w:sz w:val="26"/>
                <w:szCs w:val="26"/>
                <w:highlight w:val="none"/>
                <w:vertAlign w:val="baseline"/>
              </w:rPr>
              <w:t>《环境空气质量标准》（GB3095-2012）中二级标准限值，由此产生的环境影响变化较</w:t>
            </w:r>
            <w:r>
              <w:rPr>
                <w:rFonts w:hint="eastAsia" w:ascii="Times New Roman" w:hAnsi="Times New Roman"/>
                <w:color w:val="auto"/>
                <w:sz w:val="26"/>
                <w:szCs w:val="26"/>
                <w:highlight w:val="none"/>
                <w:vertAlign w:val="baseline"/>
                <w:lang w:val="en-US" w:eastAsia="zh-CN"/>
              </w:rPr>
              <w:t>小</w:t>
            </w:r>
            <w:r>
              <w:rPr>
                <w:rFonts w:hint="eastAsia" w:ascii="Times New Roman" w:hAnsi="Times New Roman"/>
                <w:color w:val="auto"/>
                <w:sz w:val="26"/>
                <w:szCs w:val="26"/>
                <w:highlight w:val="none"/>
                <w:vertAlign w:val="baseline"/>
              </w:rPr>
              <w:t>，在可接受范围内。</w:t>
            </w:r>
          </w:p>
          <w:p w14:paraId="2E6F5BF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④</w:t>
            </w:r>
            <w:r>
              <w:rPr>
                <w:rFonts w:hint="eastAsia" w:ascii="Times New Roman" w:hAnsi="Times New Roman"/>
                <w:color w:val="auto"/>
                <w:sz w:val="26"/>
                <w:szCs w:val="26"/>
                <w:highlight w:val="none"/>
                <w:vertAlign w:val="baseline"/>
              </w:rPr>
              <w:t>爆破粉尘</w:t>
            </w:r>
          </w:p>
          <w:p w14:paraId="191C1A0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对于爆破作业期排放的空气污染物，由于影响时间很短，故本</w:t>
            </w:r>
            <w:r>
              <w:rPr>
                <w:rFonts w:hint="eastAsia" w:ascii="Times New Roman" w:hAnsi="Times New Roman"/>
                <w:color w:val="auto"/>
                <w:sz w:val="26"/>
                <w:szCs w:val="26"/>
                <w:highlight w:val="none"/>
                <w:vertAlign w:val="baseline"/>
                <w:lang w:val="en-US" w:eastAsia="zh-CN"/>
              </w:rPr>
              <w:t>次对</w:t>
            </w:r>
            <w:r>
              <w:rPr>
                <w:rFonts w:hint="eastAsia" w:ascii="Times New Roman" w:hAnsi="Times New Roman"/>
                <w:color w:val="auto"/>
                <w:sz w:val="26"/>
                <w:szCs w:val="26"/>
                <w:highlight w:val="none"/>
                <w:vertAlign w:val="baseline"/>
              </w:rPr>
              <w:t>爆破粉尘</w:t>
            </w:r>
            <w:r>
              <w:rPr>
                <w:rFonts w:hint="eastAsia" w:ascii="Times New Roman" w:hAnsi="Times New Roman"/>
                <w:color w:val="auto"/>
                <w:sz w:val="26"/>
                <w:szCs w:val="26"/>
                <w:highlight w:val="none"/>
                <w:vertAlign w:val="baseline"/>
                <w:lang w:val="en-US" w:eastAsia="zh-CN"/>
              </w:rPr>
              <w:t>的影响</w:t>
            </w:r>
            <w:r>
              <w:rPr>
                <w:rFonts w:hint="eastAsia" w:ascii="Times New Roman" w:hAnsi="Times New Roman"/>
                <w:color w:val="auto"/>
                <w:sz w:val="26"/>
                <w:szCs w:val="26"/>
                <w:highlight w:val="none"/>
                <w:vertAlign w:val="baseline"/>
              </w:rPr>
              <w:t>评价</w:t>
            </w:r>
            <w:r>
              <w:rPr>
                <w:rFonts w:hint="eastAsia" w:ascii="Times New Roman" w:hAnsi="Times New Roman"/>
                <w:color w:val="auto"/>
                <w:sz w:val="26"/>
                <w:szCs w:val="26"/>
                <w:highlight w:val="none"/>
                <w:vertAlign w:val="baseline"/>
                <w:lang w:val="en-US" w:eastAsia="zh-CN"/>
              </w:rPr>
              <w:t>进行简单分析</w:t>
            </w:r>
            <w:r>
              <w:rPr>
                <w:rFonts w:hint="eastAsia" w:ascii="Times New Roman" w:hAnsi="Times New Roman"/>
                <w:color w:val="auto"/>
                <w:sz w:val="26"/>
                <w:szCs w:val="26"/>
                <w:highlight w:val="none"/>
                <w:vertAlign w:val="baseline"/>
              </w:rPr>
              <w:t>。本项且爆破采用中深孔爆破，合理设置炮孔网距、间隔装药并控制装药量、采取微差爆破方式，可大辐度减少爆破过程中产生的粉尘量。</w:t>
            </w:r>
          </w:p>
          <w:p w14:paraId="7CC0189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矿石爆破过程中有短时的高浓度粉尘产生，其粉尘的产生浓度与矿石的岩性、炸药特性、用药量、爆破方式、气候条件等多种因素有关，因本项月粉尘为无组织排放，不易控制。据有关资料介绍</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露天开采爆破时粉尘的产生影响具有较大的不确定性，</w:t>
            </w:r>
            <w:r>
              <w:rPr>
                <w:rFonts w:hint="eastAsia" w:ascii="Times New Roman" w:hAnsi="Times New Roman"/>
                <w:color w:val="auto"/>
                <w:sz w:val="26"/>
                <w:szCs w:val="26"/>
                <w:highlight w:val="none"/>
                <w:vertAlign w:val="baseline"/>
                <w:lang w:val="en-US" w:eastAsia="zh-CN"/>
              </w:rPr>
              <w:t>一</w:t>
            </w:r>
            <w:r>
              <w:rPr>
                <w:rFonts w:hint="eastAsia" w:ascii="Times New Roman" w:hAnsi="Times New Roman"/>
                <w:color w:val="auto"/>
                <w:sz w:val="26"/>
                <w:szCs w:val="26"/>
                <w:highlight w:val="none"/>
                <w:vertAlign w:val="baseline"/>
              </w:rPr>
              <w:t>般情况下粉尘浓度在50~ 5000mg/m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vertAlign w:val="baseline"/>
              </w:rPr>
              <w:t>左右，瞬时浓度可高达10g/m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vertAlign w:val="baseline"/>
              </w:rPr>
              <w:t>。由于本矿区处于山区沟槽内，不涉及人居及农业用地，对环境的影响主要是对作业场所人群的影响，为了控制无组织排放的粉尘对作业场人群的影响，业主应对爆破后的采区进行高压喷水装置，以降低其粉尘的产生浓度，此外工程必须严格按照矿山安全技术的有关规定进行爆破作业，控制爆破用药量，并采取松动爆破方式，能有效降低瞬时高浓度粉尘的产生浓度和强度。通过采取以上措施，可将其矿石开采过程中的粉尘降到最低限度，有效减少对沟槽内两侧山体植被以及场区作业人员的影响。</w:t>
            </w:r>
          </w:p>
          <w:p w14:paraId="77E2CD4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由于项目附近地势较开阔，环境容量较大，炸药产生的污染物产生量不大，能较快在天气中自然扩散，对周围大气环境影响较小。环评</w:t>
            </w:r>
            <w:r>
              <w:rPr>
                <w:rFonts w:hint="eastAsia" w:ascii="Times New Roman" w:hAnsi="Times New Roman"/>
                <w:color w:val="auto"/>
                <w:sz w:val="26"/>
                <w:szCs w:val="26"/>
                <w:highlight w:val="none"/>
                <w:vertAlign w:val="baseline"/>
                <w:lang w:val="en-US" w:eastAsia="zh-CN"/>
              </w:rPr>
              <w:t>要求</w:t>
            </w:r>
            <w:r>
              <w:rPr>
                <w:rFonts w:hint="eastAsia" w:ascii="Times New Roman" w:hAnsi="Times New Roman"/>
                <w:color w:val="auto"/>
                <w:sz w:val="26"/>
                <w:szCs w:val="26"/>
                <w:highlight w:val="none"/>
                <w:vertAlign w:val="baseline"/>
              </w:rPr>
              <w:t>爆破前先在爆破现场洒水、钻孔过程注水</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在大风天气禁止爆破，小风天气爆破时应减少用药量。矿工远离放炮点，且站在放炮点上风向，减轻粉尘对人员健康的危害。经采取上述措施后，爆破过程产生的粉尘对周围环境影响较小。</w:t>
            </w:r>
          </w:p>
          <w:p w14:paraId="3B76380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宋体" w:hAnsi="宋体" w:eastAsia="宋体" w:cs="宋体"/>
                <w:color w:val="auto"/>
                <w:sz w:val="26"/>
                <w:szCs w:val="26"/>
                <w:highlight w:val="none"/>
                <w:vertAlign w:val="baseline"/>
              </w:rPr>
              <w:t>⑤</w:t>
            </w:r>
            <w:r>
              <w:rPr>
                <w:rFonts w:hint="eastAsia" w:ascii="宋体" w:hAnsi="宋体" w:eastAsia="宋体" w:cs="宋体"/>
                <w:color w:val="auto"/>
                <w:sz w:val="26"/>
                <w:szCs w:val="26"/>
                <w:highlight w:val="none"/>
                <w:vertAlign w:val="baseline"/>
                <w:lang w:val="en-US" w:eastAsia="zh-CN"/>
              </w:rPr>
              <w:t>运输粉尘影响分析</w:t>
            </w:r>
          </w:p>
          <w:p w14:paraId="3263662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运输道路主要为碎石或水泥硬化道路，在运输过程中，运输车辆行驶在道路时，会产生少量的扬尘。项目营运期车流量不大。矿石运输过程中产生的扬尘会对道路两侧的居民点造成一定程度的影响，因此，环评要求运输车辆经过以上敏感点时应减速行驶，</w:t>
            </w:r>
            <w:r>
              <w:rPr>
                <w:rFonts w:hint="eastAsia" w:ascii="Times New Roman" w:hAnsi="Times New Roman"/>
                <w:color w:val="auto"/>
                <w:sz w:val="26"/>
                <w:szCs w:val="26"/>
                <w:highlight w:val="none"/>
                <w:vertAlign w:val="baseline"/>
                <w:lang w:val="en-US" w:eastAsia="zh-CN"/>
              </w:rPr>
              <w:t>遮盖篷布，</w:t>
            </w:r>
            <w:r>
              <w:rPr>
                <w:rFonts w:hint="eastAsia" w:ascii="Times New Roman" w:hAnsi="Times New Roman"/>
                <w:color w:val="auto"/>
                <w:sz w:val="26"/>
                <w:szCs w:val="26"/>
                <w:highlight w:val="none"/>
                <w:vertAlign w:val="baseline"/>
              </w:rPr>
              <w:t>定时对运输道路进行清扫、洒水降尘等措施。项目运输的车流量较少，运输道路扬尘的产生量较少，且为间断排放，采取以上措施后，对运输线路沿线敏感点的大气环境影响不大。</w:t>
            </w:r>
          </w:p>
          <w:p w14:paraId="6629BDE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宋体" w:hAnsi="宋体" w:eastAsia="宋体" w:cs="宋体"/>
                <w:color w:val="auto"/>
                <w:sz w:val="26"/>
                <w:szCs w:val="26"/>
                <w:highlight w:val="none"/>
                <w:vertAlign w:val="baseline"/>
              </w:rPr>
              <w:t>⑥</w:t>
            </w:r>
            <w:r>
              <w:rPr>
                <w:rFonts w:hint="eastAsia" w:ascii="Times New Roman" w:hAnsi="Times New Roman" w:eastAsia="宋体"/>
                <w:color w:val="auto"/>
                <w:sz w:val="26"/>
                <w:szCs w:val="26"/>
                <w:highlight w:val="none"/>
                <w:vertAlign w:val="baseline"/>
                <w:lang w:val="en-US" w:eastAsia="zh-CN"/>
              </w:rPr>
              <w:t>汽车尾气影响分析</w:t>
            </w:r>
          </w:p>
          <w:p w14:paraId="65FAC72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交通运输车辆运行时产生一定量的尾气和扬尘，运输车辆应保持良好的状态，运输砂石等不宜装载过满，同时要采取相应的遮盖、封闭措施(如用毡布)及时洒水，对场区环境影响不大</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加强与当地政府部门的沟通，积极做好运输道路沿线的清洁工作，定时清扫洒落在道路上的石粉等，以减少粉尘对运输道路沿线村民住户的影响。</w:t>
            </w:r>
          </w:p>
          <w:p w14:paraId="79FB4A0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采取以上环境保护措施后，厂界外最终排放浓度</w:t>
            </w:r>
            <w:r>
              <w:rPr>
                <w:rFonts w:hint="eastAsia" w:ascii="Times New Roman" w:hAnsi="Times New Roman"/>
                <w:color w:val="auto"/>
                <w:sz w:val="26"/>
                <w:szCs w:val="26"/>
                <w:highlight w:val="none"/>
                <w:vertAlign w:val="baseline"/>
                <w:lang w:val="en-US" w:eastAsia="zh-CN"/>
              </w:rPr>
              <w:t>较低</w:t>
            </w:r>
            <w:r>
              <w:rPr>
                <w:rFonts w:hint="eastAsia" w:ascii="Times New Roman" w:hAnsi="Times New Roman"/>
                <w:color w:val="auto"/>
                <w:sz w:val="26"/>
                <w:szCs w:val="26"/>
                <w:highlight w:val="none"/>
                <w:vertAlign w:val="baseline"/>
              </w:rPr>
              <w:t>，大气污染物对项目周围环境影响不大。</w:t>
            </w:r>
          </w:p>
          <w:p w14:paraId="31C26B4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6"/>
                <w:szCs w:val="26"/>
                <w:highlight w:val="none"/>
                <w:vertAlign w:val="baseline"/>
              </w:rPr>
            </w:pPr>
            <w:r>
              <w:rPr>
                <w:rFonts w:hint="eastAsia" w:ascii="宋体" w:hAnsi="宋体" w:eastAsia="宋体" w:cs="宋体"/>
                <w:color w:val="auto"/>
                <w:sz w:val="26"/>
                <w:szCs w:val="26"/>
                <w:highlight w:val="none"/>
                <w:vertAlign w:val="baseline"/>
              </w:rPr>
              <w:t>⑦</w:t>
            </w:r>
            <w:r>
              <w:rPr>
                <w:rFonts w:hint="eastAsia" w:ascii="宋体" w:hAnsi="宋体" w:eastAsia="宋体" w:cs="宋体"/>
                <w:color w:val="auto"/>
                <w:sz w:val="26"/>
                <w:szCs w:val="26"/>
                <w:highlight w:val="none"/>
                <w:vertAlign w:val="baseline"/>
                <w:lang w:val="en-US" w:eastAsia="zh-CN"/>
              </w:rPr>
              <w:t>厨房</w:t>
            </w:r>
            <w:r>
              <w:rPr>
                <w:rFonts w:hint="eastAsia" w:ascii="宋体" w:hAnsi="宋体" w:eastAsia="宋体" w:cs="宋体"/>
                <w:color w:val="auto"/>
                <w:sz w:val="26"/>
                <w:szCs w:val="26"/>
                <w:highlight w:val="none"/>
                <w:vertAlign w:val="baseline"/>
              </w:rPr>
              <w:t>油烟废气影响分析</w:t>
            </w:r>
          </w:p>
          <w:p w14:paraId="4215295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6"/>
                <w:szCs w:val="26"/>
                <w:highlight w:val="none"/>
                <w:vertAlign w:val="baseline"/>
              </w:rPr>
            </w:pPr>
            <w:r>
              <w:rPr>
                <w:rFonts w:hint="eastAsia" w:ascii="宋体" w:hAnsi="宋体" w:eastAsia="宋体" w:cs="宋体"/>
                <w:color w:val="auto"/>
                <w:sz w:val="26"/>
                <w:szCs w:val="26"/>
                <w:highlight w:val="none"/>
                <w:vertAlign w:val="baseline"/>
              </w:rPr>
              <w:t>由于开采期较长，项目设有职工住房和小型食堂等，食堂直接采用液化气作为燃料，其产生的气态污染物较少，对环境影响较小。食堂烹饪作业主要会产生油烟废气，本矿区工作人员约为</w:t>
            </w:r>
            <w:r>
              <w:rPr>
                <w:rFonts w:hint="eastAsia" w:hAnsi="宋体" w:cs="宋体"/>
                <w:color w:val="auto"/>
                <w:sz w:val="26"/>
                <w:szCs w:val="26"/>
                <w:highlight w:val="none"/>
                <w:vertAlign w:val="baseline"/>
                <w:lang w:val="en-US" w:eastAsia="zh-CN"/>
              </w:rPr>
              <w:t>33</w:t>
            </w:r>
            <w:r>
              <w:rPr>
                <w:rFonts w:hint="eastAsia" w:ascii="宋体" w:hAnsi="宋体" w:eastAsia="宋体" w:cs="宋体"/>
                <w:color w:val="auto"/>
                <w:sz w:val="26"/>
                <w:szCs w:val="26"/>
                <w:highlight w:val="none"/>
                <w:vertAlign w:val="baseline"/>
              </w:rPr>
              <w:t>人，食堂油烟经油烟净化器净化处理后引至所在楼顶排放，经扩散后对周边环境影响不大。</w:t>
            </w:r>
          </w:p>
          <w:p w14:paraId="6C05DE40">
            <w:pPr>
              <w:pStyle w:val="15"/>
              <w:spacing w:line="480" w:lineRule="exact"/>
              <w:ind w:firstLine="520" w:firstLineChars="200"/>
              <w:rPr>
                <w:rFonts w:ascii="Times New Roman" w:hAnsi="Times New Roman" w:cs="Times New Roman"/>
                <w:color w:val="auto"/>
                <w:sz w:val="26"/>
                <w:szCs w:val="26"/>
                <w:highlight w:val="none"/>
              </w:rPr>
            </w:pPr>
            <w:r>
              <w:rPr>
                <w:rFonts w:hint="eastAsia" w:ascii="宋体" w:hAnsi="宋体" w:eastAsia="宋体" w:cs="宋体"/>
                <w:color w:val="auto"/>
                <w:sz w:val="26"/>
                <w:szCs w:val="26"/>
                <w:highlight w:val="none"/>
              </w:rPr>
              <w:t>⑧</w:t>
            </w:r>
            <w:r>
              <w:rPr>
                <w:rFonts w:hint="eastAsia" w:ascii="Times New Roman" w:hAnsi="Times New Roman" w:cs="Times New Roman"/>
                <w:color w:val="auto"/>
                <w:sz w:val="26"/>
                <w:szCs w:val="26"/>
                <w:highlight w:val="none"/>
              </w:rPr>
              <w:t>卫生防护距离</w:t>
            </w:r>
          </w:p>
          <w:p w14:paraId="6E8187EB">
            <w:pPr>
              <w:pStyle w:val="15"/>
              <w:spacing w:line="480" w:lineRule="exact"/>
              <w:ind w:firstLine="520" w:firstLineChars="200"/>
              <w:rPr>
                <w:rFonts w:ascii="Times New Roman" w:hAnsi="Times New Roman"/>
                <w:color w:val="auto"/>
                <w:sz w:val="26"/>
                <w:szCs w:val="26"/>
                <w:highlight w:val="none"/>
              </w:rPr>
            </w:pPr>
            <w:r>
              <w:rPr>
                <w:rFonts w:ascii="Times New Roman" w:hAnsi="Times New Roman"/>
                <w:color w:val="auto"/>
                <w:sz w:val="26"/>
                <w:szCs w:val="26"/>
                <w:highlight w:val="none"/>
              </w:rPr>
              <w:t>根据《制定地方大气污染物排放标准的技术方法》（GB/T13201-91）规定，无组织排放有害气体的生产单元（车间或工段）与居住区之间应设置卫生防护距离。无组织排放量计算公式如下：</w:t>
            </w:r>
          </w:p>
          <w:p w14:paraId="013DB53E">
            <w:pPr>
              <w:pStyle w:val="15"/>
              <w:jc w:val="center"/>
              <w:rPr>
                <w:rFonts w:ascii="Times New Roman" w:hAnsi="Times New Roman"/>
                <w:color w:val="auto"/>
                <w:sz w:val="26"/>
                <w:szCs w:val="26"/>
                <w:highlight w:val="none"/>
              </w:rPr>
            </w:pPr>
            <w:r>
              <w:rPr>
                <w:color w:val="auto"/>
                <w:position w:val="-30"/>
                <w:sz w:val="24"/>
                <w:szCs w:val="24"/>
                <w:highlight w:val="none"/>
              </w:rPr>
              <w:object>
                <v:shape id="_x0000_i1025" o:spt="75" type="#_x0000_t75" style="height:35.25pt;width:144.75pt;" o:ole="t" filled="f" o:preferrelative="t" stroked="f" coordsize="21600,21600">
                  <v:path/>
                  <v:fill on="f" focussize="0,0"/>
                  <v:stroke on="f" joinstyle="miter"/>
                  <v:imagedata r:id="rId23" o:title=""/>
                  <o:lock v:ext="edit" aspectratio="t"/>
                  <w10:wrap type="none"/>
                  <w10:anchorlock/>
                </v:shape>
                <o:OLEObject Type="Embed" ProgID="Equation.3" ShapeID="_x0000_i1025" DrawAspect="Content" ObjectID="_1468075725" r:id="rId22">
                  <o:LockedField>false</o:LockedField>
                </o:OLEObject>
              </w:object>
            </w:r>
          </w:p>
          <w:p w14:paraId="7FD3638A">
            <w:pPr>
              <w:spacing w:line="360" w:lineRule="auto"/>
              <w:ind w:firstLine="482"/>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式中：</w:t>
            </w:r>
          </w:p>
          <w:p w14:paraId="6D4C6C3F">
            <w:pPr>
              <w:snapToGrid w:val="0"/>
              <w:spacing w:line="360" w:lineRule="auto"/>
              <w:ind w:firstLine="520" w:firstLineChars="200"/>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Cm一标准浓度限值；</w:t>
            </w:r>
          </w:p>
          <w:p w14:paraId="26FF1589">
            <w:pPr>
              <w:snapToGrid w:val="0"/>
              <w:spacing w:line="360" w:lineRule="auto"/>
              <w:ind w:firstLine="520" w:firstLineChars="200"/>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L—工业企业所需卫生防护距离，m；</w:t>
            </w:r>
          </w:p>
          <w:p w14:paraId="176B5631">
            <w:pPr>
              <w:snapToGrid w:val="0"/>
              <w:spacing w:line="360" w:lineRule="auto"/>
              <w:ind w:firstLine="520" w:firstLineChars="200"/>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r一有害气体无组织排放源所在生产单元的等效半径，m。</w:t>
            </w:r>
          </w:p>
          <w:p w14:paraId="6B6F5397">
            <w:pPr>
              <w:snapToGrid w:val="0"/>
              <w:spacing w:line="360" w:lineRule="auto"/>
              <w:ind w:firstLine="520" w:firstLineChars="200"/>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根据该生产单元占地面积S(m</w:t>
            </w:r>
            <w:r>
              <w:rPr>
                <w:rFonts w:ascii="Times New Roman" w:hAnsi="Times New Roman" w:eastAsia="宋体" w:cstheme="minorBidi"/>
                <w:snapToGrid/>
                <w:color w:val="auto"/>
                <w:kern w:val="2"/>
                <w:sz w:val="26"/>
                <w:szCs w:val="26"/>
                <w:highlight w:val="none"/>
                <w:vertAlign w:val="superscript"/>
                <w:lang w:val="en-US" w:eastAsia="zh-CN" w:bidi="ar-SA"/>
              </w:rPr>
              <w:t>2</w:t>
            </w:r>
            <w:r>
              <w:rPr>
                <w:rFonts w:ascii="Times New Roman" w:hAnsi="Times New Roman" w:eastAsia="宋体" w:cstheme="minorBidi"/>
                <w:snapToGrid/>
                <w:color w:val="auto"/>
                <w:kern w:val="2"/>
                <w:sz w:val="26"/>
                <w:szCs w:val="26"/>
                <w:highlight w:val="none"/>
                <w:lang w:val="en-US" w:eastAsia="zh-CN" w:bidi="ar-SA"/>
              </w:rPr>
              <w:t>)计算，r=( s/π）</w:t>
            </w:r>
            <w:r>
              <w:rPr>
                <w:rFonts w:ascii="Times New Roman" w:hAnsi="Times New Roman" w:eastAsia="宋体" w:cstheme="minorBidi"/>
                <w:snapToGrid/>
                <w:color w:val="auto"/>
                <w:kern w:val="2"/>
                <w:sz w:val="26"/>
                <w:szCs w:val="26"/>
                <w:highlight w:val="none"/>
                <w:vertAlign w:val="superscript"/>
                <w:lang w:val="en-US" w:eastAsia="zh-CN" w:bidi="ar-SA"/>
              </w:rPr>
              <w:t>0.5</w:t>
            </w:r>
            <w:r>
              <w:rPr>
                <w:rFonts w:ascii="Times New Roman" w:hAnsi="Times New Roman" w:eastAsia="宋体" w:cstheme="minorBidi"/>
                <w:snapToGrid/>
                <w:color w:val="auto"/>
                <w:kern w:val="2"/>
                <w:sz w:val="26"/>
                <w:szCs w:val="26"/>
                <w:highlight w:val="none"/>
                <w:lang w:val="en-US" w:eastAsia="zh-CN" w:bidi="ar-SA"/>
              </w:rPr>
              <w:t xml:space="preserve">。 </w:t>
            </w:r>
            <w:r>
              <w:rPr>
                <w:rFonts w:ascii="Times New Roman" w:hAnsi="Times New Roman" w:eastAsia="宋体" w:cstheme="minorBidi"/>
                <w:snapToGrid/>
                <w:color w:val="auto"/>
                <w:kern w:val="2"/>
                <w:sz w:val="26"/>
                <w:szCs w:val="26"/>
                <w:highlight w:val="none"/>
                <w:lang w:val="en-US" w:eastAsia="zh-CN" w:bidi="ar-SA"/>
              </w:rPr>
              <w:cr/>
            </w:r>
            <w:r>
              <w:rPr>
                <w:rFonts w:hint="eastAsia" w:ascii="Times New Roman" w:hAnsi="Times New Roman" w:eastAsia="宋体" w:cstheme="minorBidi"/>
                <w:snapToGrid/>
                <w:color w:val="auto"/>
                <w:kern w:val="2"/>
                <w:sz w:val="26"/>
                <w:szCs w:val="26"/>
                <w:highlight w:val="none"/>
                <w:lang w:val="en-US" w:eastAsia="zh-CN" w:bidi="ar-SA"/>
              </w:rPr>
              <w:t xml:space="preserve">    </w:t>
            </w:r>
            <w:r>
              <w:rPr>
                <w:rFonts w:ascii="Times New Roman" w:hAnsi="Times New Roman" w:eastAsia="宋体" w:cstheme="minorBidi"/>
                <w:snapToGrid/>
                <w:color w:val="auto"/>
                <w:kern w:val="2"/>
                <w:sz w:val="26"/>
                <w:szCs w:val="26"/>
                <w:highlight w:val="none"/>
                <w:lang w:val="en-US" w:eastAsia="zh-CN" w:bidi="ar-SA"/>
              </w:rPr>
              <w:t>A、B、C、D一卫生防护距离计算系数，无因次，根据工业企业所在地区近五年平均风速及工业企业大气污染源构成类别从表查取。</w:t>
            </w:r>
            <w:r>
              <w:rPr>
                <w:rFonts w:ascii="Times New Roman" w:hAnsi="Times New Roman" w:eastAsia="宋体" w:cstheme="minorBidi"/>
                <w:snapToGrid/>
                <w:color w:val="auto"/>
                <w:kern w:val="2"/>
                <w:sz w:val="26"/>
                <w:szCs w:val="26"/>
                <w:highlight w:val="none"/>
                <w:lang w:val="en-US" w:eastAsia="zh-CN" w:bidi="ar-SA"/>
              </w:rPr>
              <w:cr/>
            </w:r>
            <w:r>
              <w:rPr>
                <w:rFonts w:ascii="Times New Roman" w:hAnsi="Times New Roman" w:eastAsia="宋体" w:cstheme="minorBidi"/>
                <w:snapToGrid/>
                <w:color w:val="auto"/>
                <w:kern w:val="2"/>
                <w:sz w:val="26"/>
                <w:szCs w:val="26"/>
                <w:highlight w:val="none"/>
                <w:lang w:val="en-US" w:eastAsia="zh-CN" w:bidi="ar-SA"/>
              </w:rPr>
              <w:t xml:space="preserve">    Qc一工业企业有害气体无组织排放量可以达到的控制水平，kg/h。</w:t>
            </w:r>
          </w:p>
          <w:p w14:paraId="746E9DA7">
            <w:pPr>
              <w:snapToGrid w:val="0"/>
              <w:spacing w:line="360" w:lineRule="auto"/>
              <w:ind w:firstLine="520" w:firstLineChars="200"/>
              <w:rPr>
                <w:rFonts w:ascii="Times New Roman" w:hAnsi="Times New Roman" w:eastAsia="宋体" w:cstheme="minorBidi"/>
                <w:snapToGrid/>
                <w:color w:val="auto"/>
                <w:kern w:val="2"/>
                <w:sz w:val="26"/>
                <w:szCs w:val="26"/>
                <w:highlight w:val="none"/>
                <w:lang w:val="en-US" w:eastAsia="zh-CN" w:bidi="ar-SA"/>
              </w:rPr>
            </w:pPr>
            <w:r>
              <w:rPr>
                <w:rFonts w:ascii="Times New Roman" w:hAnsi="Times New Roman" w:eastAsia="宋体" w:cstheme="minorBidi"/>
                <w:snapToGrid/>
                <w:color w:val="auto"/>
                <w:kern w:val="2"/>
                <w:sz w:val="26"/>
                <w:szCs w:val="26"/>
                <w:highlight w:val="none"/>
                <w:lang w:val="en-US" w:eastAsia="zh-CN" w:bidi="ar-SA"/>
              </w:rPr>
              <w:t>根据项目无组织排放源强，取当地多年平均风速</w:t>
            </w:r>
            <w:r>
              <w:rPr>
                <w:rFonts w:hint="eastAsia" w:ascii="Times New Roman" w:hAnsi="Times New Roman" w:eastAsia="宋体" w:cstheme="minorBidi"/>
                <w:snapToGrid/>
                <w:color w:val="auto"/>
                <w:kern w:val="2"/>
                <w:sz w:val="26"/>
                <w:szCs w:val="26"/>
                <w:highlight w:val="none"/>
                <w:lang w:val="en-US" w:eastAsia="zh-CN" w:bidi="ar-SA"/>
              </w:rPr>
              <w:t>2.4</w:t>
            </w:r>
            <w:r>
              <w:rPr>
                <w:rFonts w:ascii="Times New Roman" w:hAnsi="Times New Roman" w:eastAsia="宋体" w:cstheme="minorBidi"/>
                <w:snapToGrid/>
                <w:color w:val="auto"/>
                <w:kern w:val="2"/>
                <w:sz w:val="26"/>
                <w:szCs w:val="26"/>
                <w:highlight w:val="none"/>
                <w:lang w:val="en-US" w:eastAsia="zh-CN" w:bidi="ar-SA"/>
              </w:rPr>
              <w:t>m/s，根据项目无组织排放的粉尘的排放速率计算卫生防护距离如下表7-</w:t>
            </w:r>
            <w:r>
              <w:rPr>
                <w:rFonts w:hint="eastAsia" w:ascii="Times New Roman" w:hAnsi="Times New Roman" w:eastAsia="宋体" w:cstheme="minorBidi"/>
                <w:snapToGrid/>
                <w:color w:val="auto"/>
                <w:kern w:val="2"/>
                <w:sz w:val="26"/>
                <w:szCs w:val="26"/>
                <w:highlight w:val="none"/>
                <w:lang w:val="en-US" w:eastAsia="zh-CN" w:bidi="ar-SA"/>
              </w:rPr>
              <w:t>8</w:t>
            </w:r>
            <w:r>
              <w:rPr>
                <w:rFonts w:ascii="Times New Roman" w:hAnsi="Times New Roman" w:eastAsia="宋体" w:cstheme="minorBidi"/>
                <w:snapToGrid/>
                <w:color w:val="auto"/>
                <w:kern w:val="2"/>
                <w:sz w:val="26"/>
                <w:szCs w:val="26"/>
                <w:highlight w:val="none"/>
                <w:lang w:val="en-US" w:eastAsia="zh-CN" w:bidi="ar-SA"/>
              </w:rPr>
              <w:t>。</w:t>
            </w:r>
          </w:p>
          <w:p w14:paraId="4ED1430D">
            <w:pPr>
              <w:snapToGrid w:val="0"/>
              <w:spacing w:line="360" w:lineRule="auto"/>
              <w:jc w:val="center"/>
              <w:rPr>
                <w:rFonts w:ascii="Times New Roman" w:hAnsi="Times New Roman" w:cs="Times New Roman"/>
                <w:b/>
                <w:color w:val="auto"/>
                <w:sz w:val="21"/>
                <w:szCs w:val="21"/>
                <w:highlight w:val="none"/>
              </w:rPr>
            </w:pPr>
            <w:r>
              <w:rPr>
                <w:rFonts w:hint="eastAsia" w:ascii="Times New Roman" w:hAnsi="Times New Roman" w:cs="Times New Roman"/>
                <w:b/>
                <w:color w:val="auto"/>
                <w:sz w:val="21"/>
                <w:szCs w:val="21"/>
                <w:highlight w:val="none"/>
              </w:rPr>
              <w:t>表</w:t>
            </w:r>
            <w:r>
              <w:rPr>
                <w:rFonts w:ascii="Times New Roman" w:hAnsi="Times New Roman" w:cs="Times New Roman"/>
                <w:b/>
                <w:color w:val="auto"/>
                <w:sz w:val="21"/>
                <w:szCs w:val="21"/>
                <w:highlight w:val="none"/>
              </w:rPr>
              <w:t>7</w:t>
            </w:r>
            <w:r>
              <w:rPr>
                <w:rFonts w:hint="eastAsia"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8</w:t>
            </w:r>
            <w:r>
              <w:rPr>
                <w:rFonts w:ascii="Times New Roman" w:hAnsi="Times New Roman" w:cs="Times New Roman"/>
                <w:b/>
                <w:color w:val="auto"/>
                <w:sz w:val="21"/>
                <w:szCs w:val="21"/>
                <w:highlight w:val="none"/>
              </w:rPr>
              <w:t xml:space="preserve">  </w:t>
            </w:r>
            <w:r>
              <w:rPr>
                <w:rFonts w:hint="eastAsia" w:ascii="Times New Roman" w:hAnsi="Times New Roman" w:cs="Times New Roman"/>
                <w:b/>
                <w:color w:val="auto"/>
                <w:sz w:val="21"/>
                <w:szCs w:val="21"/>
                <w:highlight w:val="none"/>
              </w:rPr>
              <w:t>项目无组织排放有害气体卫生防护距离计算结果</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031"/>
              <w:gridCol w:w="772"/>
              <w:gridCol w:w="1074"/>
              <w:gridCol w:w="2483"/>
              <w:gridCol w:w="1755"/>
            </w:tblGrid>
            <w:tr w14:paraId="5A3B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pct"/>
                  <w:noWrap w:val="0"/>
                  <w:vAlign w:val="center"/>
                </w:tcPr>
                <w:p w14:paraId="17865E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无组织污染源</w:t>
                  </w:r>
                </w:p>
              </w:tc>
              <w:tc>
                <w:tcPr>
                  <w:tcW w:w="621" w:type="pct"/>
                  <w:noWrap w:val="0"/>
                  <w:vAlign w:val="center"/>
                </w:tcPr>
                <w:p w14:paraId="525ADE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面源面积</w:t>
                  </w:r>
                </w:p>
                <w:p w14:paraId="3EC9BD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w:t>
                  </w:r>
                  <w:r>
                    <w:rPr>
                      <w:rFonts w:ascii="Times New Roman" w:hAnsi="Times New Roman" w:eastAsia="宋体" w:cs="Times New Roman"/>
                      <w:iCs w:val="0"/>
                      <w:color w:val="auto"/>
                      <w:sz w:val="22"/>
                      <w:szCs w:val="22"/>
                      <w:highlight w:val="none"/>
                    </w:rPr>
                    <w:t>m</w:t>
                  </w:r>
                  <w:r>
                    <w:rPr>
                      <w:rFonts w:ascii="Times New Roman" w:hAnsi="Times New Roman" w:eastAsia="宋体" w:cs="Times New Roman"/>
                      <w:iCs w:val="0"/>
                      <w:color w:val="auto"/>
                      <w:sz w:val="22"/>
                      <w:szCs w:val="22"/>
                      <w:highlight w:val="none"/>
                      <w:vertAlign w:val="superscript"/>
                    </w:rPr>
                    <w:t>2</w:t>
                  </w:r>
                  <w:r>
                    <w:rPr>
                      <w:rFonts w:hint="eastAsia" w:ascii="Times New Roman" w:hAnsi="Times New Roman" w:eastAsia="宋体" w:cs="Times New Roman"/>
                      <w:iCs w:val="0"/>
                      <w:color w:val="auto"/>
                      <w:sz w:val="22"/>
                      <w:szCs w:val="22"/>
                      <w:highlight w:val="none"/>
                    </w:rPr>
                    <w:t>）</w:t>
                  </w:r>
                </w:p>
              </w:tc>
              <w:tc>
                <w:tcPr>
                  <w:tcW w:w="465" w:type="pct"/>
                  <w:noWrap w:val="0"/>
                  <w:vAlign w:val="center"/>
                </w:tcPr>
                <w:p w14:paraId="1896EE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污染因子</w:t>
                  </w:r>
                </w:p>
              </w:tc>
              <w:tc>
                <w:tcPr>
                  <w:tcW w:w="647" w:type="pct"/>
                  <w:noWrap w:val="0"/>
                  <w:vAlign w:val="center"/>
                </w:tcPr>
                <w:p w14:paraId="2CB5AA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排放速率（</w:t>
                  </w:r>
                  <w:r>
                    <w:rPr>
                      <w:rFonts w:ascii="Times New Roman" w:hAnsi="Times New Roman" w:eastAsia="宋体" w:cs="Times New Roman"/>
                      <w:iCs w:val="0"/>
                      <w:color w:val="auto"/>
                      <w:sz w:val="22"/>
                      <w:szCs w:val="22"/>
                      <w:highlight w:val="none"/>
                    </w:rPr>
                    <w:t>kg/h</w:t>
                  </w:r>
                  <w:r>
                    <w:rPr>
                      <w:rFonts w:hint="eastAsia" w:ascii="Times New Roman" w:hAnsi="Times New Roman" w:eastAsia="宋体" w:cs="Times New Roman"/>
                      <w:iCs w:val="0"/>
                      <w:color w:val="auto"/>
                      <w:sz w:val="22"/>
                      <w:szCs w:val="22"/>
                      <w:highlight w:val="none"/>
                    </w:rPr>
                    <w:t>）</w:t>
                  </w:r>
                </w:p>
              </w:tc>
              <w:tc>
                <w:tcPr>
                  <w:tcW w:w="1495" w:type="pct"/>
                  <w:noWrap w:val="0"/>
                  <w:vAlign w:val="center"/>
                </w:tcPr>
                <w:p w14:paraId="7A226C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ascii="Times New Roman" w:hAnsi="Times New Roman" w:eastAsia="宋体" w:cs="Times New Roman"/>
                      <w:iCs w:val="0"/>
                      <w:color w:val="auto"/>
                      <w:sz w:val="22"/>
                      <w:szCs w:val="22"/>
                      <w:highlight w:val="none"/>
                    </w:rPr>
                    <w:t>L</w:t>
                  </w:r>
                  <w:r>
                    <w:rPr>
                      <w:rFonts w:hint="eastAsia" w:ascii="Times New Roman" w:hAnsi="Times New Roman" w:eastAsia="宋体" w:cs="Times New Roman"/>
                      <w:iCs w:val="0"/>
                      <w:color w:val="auto"/>
                      <w:sz w:val="22"/>
                      <w:szCs w:val="22"/>
                      <w:highlight w:val="none"/>
                    </w:rPr>
                    <w:t>值（计算的卫生防护距离</w:t>
                  </w:r>
                  <w:r>
                    <w:rPr>
                      <w:rFonts w:ascii="Times New Roman" w:hAnsi="Times New Roman" w:eastAsia="宋体" w:cs="Times New Roman"/>
                      <w:iCs w:val="0"/>
                      <w:color w:val="auto"/>
                      <w:sz w:val="22"/>
                      <w:szCs w:val="22"/>
                      <w:highlight w:val="none"/>
                    </w:rPr>
                    <w:t>m</w:t>
                  </w:r>
                  <w:r>
                    <w:rPr>
                      <w:rFonts w:hint="eastAsia" w:ascii="Times New Roman" w:hAnsi="Times New Roman" w:eastAsia="宋体" w:cs="Times New Roman"/>
                      <w:iCs w:val="0"/>
                      <w:color w:val="auto"/>
                      <w:sz w:val="22"/>
                      <w:szCs w:val="22"/>
                      <w:highlight w:val="none"/>
                    </w:rPr>
                    <w:t>）</w:t>
                  </w:r>
                </w:p>
              </w:tc>
              <w:tc>
                <w:tcPr>
                  <w:tcW w:w="1057" w:type="pct"/>
                  <w:noWrap w:val="0"/>
                  <w:vAlign w:val="center"/>
                </w:tcPr>
                <w:p w14:paraId="397972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本项目卫生防护距离</w:t>
                  </w:r>
                </w:p>
                <w:p w14:paraId="5A1B2B8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w:t>
                  </w:r>
                  <w:r>
                    <w:rPr>
                      <w:rFonts w:ascii="Times New Roman" w:hAnsi="Times New Roman" w:eastAsia="宋体" w:cs="Times New Roman"/>
                      <w:iCs w:val="0"/>
                      <w:color w:val="auto"/>
                      <w:sz w:val="22"/>
                      <w:szCs w:val="22"/>
                      <w:highlight w:val="none"/>
                    </w:rPr>
                    <w:t>m</w:t>
                  </w:r>
                  <w:r>
                    <w:rPr>
                      <w:rFonts w:hint="eastAsia" w:ascii="Times New Roman" w:hAnsi="Times New Roman" w:eastAsia="宋体" w:cs="Times New Roman"/>
                      <w:iCs w:val="0"/>
                      <w:color w:val="auto"/>
                      <w:sz w:val="22"/>
                      <w:szCs w:val="22"/>
                      <w:highlight w:val="none"/>
                    </w:rPr>
                    <w:t>）</w:t>
                  </w:r>
                </w:p>
              </w:tc>
            </w:tr>
            <w:tr w14:paraId="435C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pct"/>
                  <w:noWrap w:val="0"/>
                  <w:vAlign w:val="center"/>
                </w:tcPr>
                <w:p w14:paraId="1D3B5BD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ascii="Times New Roman" w:hAnsi="Times New Roman" w:eastAsia="宋体" w:cs="Times New Roman"/>
                      <w:iCs w:val="0"/>
                      <w:color w:val="auto"/>
                      <w:sz w:val="22"/>
                      <w:szCs w:val="22"/>
                      <w:highlight w:val="none"/>
                    </w:rPr>
                    <w:t>厂区</w:t>
                  </w:r>
                </w:p>
              </w:tc>
              <w:tc>
                <w:tcPr>
                  <w:tcW w:w="621" w:type="pct"/>
                  <w:noWrap w:val="0"/>
                  <w:vAlign w:val="center"/>
                </w:tcPr>
                <w:p w14:paraId="634920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lang w:val="en-US" w:eastAsia="zh-CN"/>
                    </w:rPr>
                    <w:t>5</w:t>
                  </w:r>
                  <w:r>
                    <w:rPr>
                      <w:rFonts w:ascii="Times New Roman" w:hAnsi="Times New Roman" w:eastAsia="宋体" w:cs="Times New Roman"/>
                      <w:iCs w:val="0"/>
                      <w:color w:val="auto"/>
                      <w:sz w:val="22"/>
                      <w:szCs w:val="22"/>
                      <w:highlight w:val="none"/>
                    </w:rPr>
                    <w:t>0000</w:t>
                  </w:r>
                </w:p>
              </w:tc>
              <w:tc>
                <w:tcPr>
                  <w:tcW w:w="465" w:type="pct"/>
                  <w:noWrap w:val="0"/>
                  <w:vAlign w:val="center"/>
                </w:tcPr>
                <w:p w14:paraId="69ECDB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hint="eastAsia" w:ascii="Times New Roman" w:hAnsi="Times New Roman" w:eastAsia="宋体" w:cs="Times New Roman"/>
                      <w:iCs w:val="0"/>
                      <w:color w:val="auto"/>
                      <w:sz w:val="22"/>
                      <w:szCs w:val="22"/>
                      <w:highlight w:val="none"/>
                    </w:rPr>
                    <w:t>无组织粉尘</w:t>
                  </w:r>
                </w:p>
              </w:tc>
              <w:tc>
                <w:tcPr>
                  <w:tcW w:w="647" w:type="pct"/>
                  <w:noWrap w:val="0"/>
                  <w:vAlign w:val="center"/>
                </w:tcPr>
                <w:p w14:paraId="2E2C6D4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iCs w:val="0"/>
                      <w:color w:val="auto"/>
                      <w:sz w:val="22"/>
                      <w:szCs w:val="22"/>
                      <w:highlight w:val="none"/>
                      <w:lang w:val="en-US" w:eastAsia="zh-CN"/>
                    </w:rPr>
                  </w:pPr>
                  <w:r>
                    <w:rPr>
                      <w:rFonts w:hint="eastAsia" w:ascii="Times New Roman" w:hAnsi="Times New Roman" w:eastAsia="宋体" w:cs="Times New Roman"/>
                      <w:iCs w:val="0"/>
                      <w:color w:val="auto"/>
                      <w:sz w:val="22"/>
                      <w:szCs w:val="22"/>
                      <w:highlight w:val="none"/>
                      <w:lang w:val="en-US" w:eastAsia="zh-CN"/>
                    </w:rPr>
                    <w:t>0.6</w:t>
                  </w:r>
                  <w:r>
                    <w:rPr>
                      <w:rFonts w:hint="eastAsia" w:cs="Times New Roman"/>
                      <w:iCs w:val="0"/>
                      <w:color w:val="auto"/>
                      <w:sz w:val="22"/>
                      <w:szCs w:val="22"/>
                      <w:highlight w:val="none"/>
                      <w:lang w:val="en-US" w:eastAsia="zh-CN"/>
                    </w:rPr>
                    <w:t>703</w:t>
                  </w:r>
                </w:p>
              </w:tc>
              <w:tc>
                <w:tcPr>
                  <w:tcW w:w="1495" w:type="pct"/>
                  <w:noWrap w:val="0"/>
                  <w:vAlign w:val="center"/>
                </w:tcPr>
                <w:p w14:paraId="45116B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iCs w:val="0"/>
                      <w:color w:val="auto"/>
                      <w:sz w:val="22"/>
                      <w:szCs w:val="22"/>
                      <w:highlight w:val="none"/>
                      <w:lang w:val="en-US" w:eastAsia="zh-CN"/>
                    </w:rPr>
                  </w:pPr>
                  <w:r>
                    <w:rPr>
                      <w:rFonts w:hint="eastAsia" w:cs="Times New Roman"/>
                      <w:iCs w:val="0"/>
                      <w:color w:val="auto"/>
                      <w:sz w:val="22"/>
                      <w:szCs w:val="22"/>
                      <w:highlight w:val="none"/>
                      <w:lang w:val="en-US" w:eastAsia="zh-CN"/>
                    </w:rPr>
                    <w:t>45</w:t>
                  </w:r>
                </w:p>
              </w:tc>
              <w:tc>
                <w:tcPr>
                  <w:tcW w:w="1057" w:type="pct"/>
                  <w:noWrap w:val="0"/>
                  <w:vAlign w:val="center"/>
                </w:tcPr>
                <w:p w14:paraId="42C9308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iCs w:val="0"/>
                      <w:color w:val="auto"/>
                      <w:sz w:val="22"/>
                      <w:szCs w:val="22"/>
                      <w:highlight w:val="none"/>
                    </w:rPr>
                  </w:pPr>
                  <w:r>
                    <w:rPr>
                      <w:rFonts w:ascii="Times New Roman" w:hAnsi="Times New Roman" w:eastAsia="宋体" w:cs="Times New Roman"/>
                      <w:iCs w:val="0"/>
                      <w:color w:val="auto"/>
                      <w:sz w:val="22"/>
                      <w:szCs w:val="22"/>
                      <w:highlight w:val="none"/>
                    </w:rPr>
                    <w:t>50</w:t>
                  </w:r>
                </w:p>
              </w:tc>
            </w:tr>
          </w:tbl>
          <w:p w14:paraId="12E910E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rPr>
            </w:pPr>
            <w:r>
              <w:rPr>
                <w:rFonts w:hint="eastAsia" w:ascii="Times New Roman" w:hAnsi="Times New Roman"/>
                <w:color w:val="auto"/>
                <w:sz w:val="26"/>
                <w:szCs w:val="26"/>
                <w:highlight w:val="none"/>
                <w:lang w:val="en-US" w:eastAsia="zh-CN"/>
              </w:rPr>
              <w:t>据</w:t>
            </w:r>
            <w:r>
              <w:rPr>
                <w:rFonts w:ascii="Times New Roman" w:hAnsi="Times New Roman"/>
                <w:color w:val="auto"/>
                <w:sz w:val="26"/>
                <w:szCs w:val="26"/>
                <w:highlight w:val="none"/>
              </w:rPr>
              <w:t>卫生防护距离根据极差原则确定</w:t>
            </w:r>
            <w:r>
              <w:rPr>
                <w:rFonts w:hint="eastAsia" w:ascii="Times New Roman" w:hAnsi="Times New Roman"/>
                <w:color w:val="auto"/>
                <w:sz w:val="26"/>
                <w:szCs w:val="26"/>
                <w:highlight w:val="none"/>
                <w:lang w:eastAsia="zh-CN"/>
              </w:rPr>
              <w:t>，</w:t>
            </w:r>
            <w:r>
              <w:rPr>
                <w:rFonts w:ascii="Times New Roman" w:hAnsi="Times New Roman"/>
                <w:color w:val="auto"/>
                <w:sz w:val="26"/>
                <w:szCs w:val="26"/>
                <w:highlight w:val="none"/>
              </w:rPr>
              <w:t>在100m以内时，级差为50m；超过100m，但小于或等于1000m时，级差为100m；超过1000m以上，级差为200m。</w:t>
            </w:r>
            <w:r>
              <w:rPr>
                <w:rFonts w:hint="eastAsia" w:ascii="Times New Roman" w:hAnsi="Times New Roman"/>
                <w:color w:val="auto"/>
                <w:sz w:val="26"/>
                <w:szCs w:val="26"/>
                <w:highlight w:val="none"/>
              </w:rPr>
              <w:t>本次环评工作按照标准《制定地方大气污染物排放标准的技术方法》(GB/T3840-1991)中卫生防护距离计算，结果显示卫生防护距离为50m，本项目卫生防护距离内目前无居民点，后期规划和建设时本项目卫生防护距离内不得新建居民区。为避免对周边居民的影响，本次扩建后企业应保证做到生产环保达标排放，避免对周边的商铺和居民带来影响。</w:t>
            </w:r>
          </w:p>
          <w:p w14:paraId="2F81BC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vertAlign w:val="baseline"/>
                <w:lang w:val="en-US" w:eastAsia="zh-CN"/>
              </w:rPr>
            </w:pP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2</w:t>
            </w: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水环境影响分析</w:t>
            </w:r>
          </w:p>
          <w:p w14:paraId="58BEF6E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val="en-US" w:eastAsia="zh-CN"/>
              </w:rPr>
              <w:t>本项目运营期产生的废水主要有钻孔冷却水、</w:t>
            </w:r>
            <w:r>
              <w:rPr>
                <w:rFonts w:hint="eastAsia" w:ascii="Times New Roman" w:hAnsi="Times New Roman"/>
                <w:color w:val="auto"/>
                <w:sz w:val="26"/>
                <w:szCs w:val="26"/>
                <w:highlight w:val="none"/>
              </w:rPr>
              <w:t>爆破抑尘用水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道路、工业场地及采区</w:t>
            </w:r>
            <w:r>
              <w:rPr>
                <w:rFonts w:hint="eastAsia"/>
                <w:color w:val="auto"/>
                <w:sz w:val="26"/>
                <w:szCs w:val="26"/>
                <w:highlight w:val="none"/>
                <w:lang w:val="en-US" w:eastAsia="zh-CN"/>
              </w:rPr>
              <w:t>防尘</w:t>
            </w:r>
            <w:r>
              <w:rPr>
                <w:rFonts w:hint="eastAsia" w:ascii="Times New Roman" w:hAnsi="Times New Roman"/>
                <w:color w:val="auto"/>
                <w:sz w:val="26"/>
                <w:szCs w:val="26"/>
                <w:highlight w:val="none"/>
              </w:rPr>
              <w:t>用水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碎石场物料加工过程</w:t>
            </w:r>
            <w:r>
              <w:rPr>
                <w:rFonts w:hint="eastAsia"/>
                <w:color w:val="auto"/>
                <w:sz w:val="26"/>
                <w:szCs w:val="26"/>
                <w:highlight w:val="none"/>
                <w:lang w:val="en-US" w:eastAsia="zh-CN"/>
              </w:rPr>
              <w:t>防尘</w:t>
            </w:r>
            <w:r>
              <w:rPr>
                <w:rFonts w:hint="eastAsia" w:ascii="Times New Roman" w:hAnsi="Times New Roman"/>
                <w:color w:val="auto"/>
                <w:sz w:val="26"/>
                <w:szCs w:val="26"/>
                <w:highlight w:val="none"/>
              </w:rPr>
              <w:t>用水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车辆冲洗水</w:t>
            </w:r>
            <w:r>
              <w:rPr>
                <w:rFonts w:hint="eastAsia" w:ascii="Times New Roman" w:hAnsi="Times New Roman"/>
                <w:color w:val="auto"/>
                <w:sz w:val="26"/>
                <w:szCs w:val="26"/>
                <w:highlight w:val="none"/>
                <w:lang w:eastAsia="zh-CN"/>
              </w:rPr>
              <w:t>、</w:t>
            </w:r>
            <w:r>
              <w:rPr>
                <w:rFonts w:hint="eastAsia"/>
                <w:color w:val="auto"/>
                <w:sz w:val="26"/>
                <w:szCs w:val="26"/>
                <w:highlight w:val="none"/>
                <w:lang w:val="en-US" w:eastAsia="zh-CN"/>
              </w:rPr>
              <w:t>生活污水及初期雨水。</w:t>
            </w:r>
          </w:p>
          <w:p w14:paraId="280B0B39">
            <w:pPr>
              <w:adjustRightInd w:val="0"/>
              <w:snapToGrid w:val="0"/>
              <w:spacing w:line="480" w:lineRule="exact"/>
              <w:ind w:firstLine="520" w:firstLineChars="200"/>
              <w:textAlignment w:val="baseline"/>
              <w:rPr>
                <w:rFonts w:ascii="Times New Roman" w:hAnsi="Times New Roman"/>
                <w:color w:val="auto"/>
                <w:sz w:val="26"/>
                <w:szCs w:val="26"/>
                <w:highlight w:val="none"/>
                <w:lang w:val="zh-CN"/>
              </w:rPr>
            </w:pPr>
            <w:r>
              <w:rPr>
                <w:rFonts w:hint="eastAsia" w:ascii="Times New Roman" w:hAnsi="Times New Roman"/>
                <w:color w:val="auto"/>
                <w:sz w:val="26"/>
                <w:szCs w:val="26"/>
                <w:highlight w:val="none"/>
                <w:lang w:val="zh-CN"/>
              </w:rPr>
              <w:t>根据《环境影响评价技术导则-地表水环境》（HJ2.3-2018），水污染影响型建设项目评价分级判定见下表。</w:t>
            </w:r>
          </w:p>
          <w:p w14:paraId="2D124474">
            <w:pPr>
              <w:adjustRightInd w:val="0"/>
              <w:snapToGrid w:val="0"/>
              <w:spacing w:line="360" w:lineRule="auto"/>
              <w:jc w:val="center"/>
              <w:textAlignment w:val="baseline"/>
              <w:rPr>
                <w:b/>
                <w:bCs/>
                <w:color w:val="auto"/>
                <w:szCs w:val="21"/>
                <w:highlight w:val="none"/>
              </w:rPr>
            </w:pPr>
            <w:r>
              <w:rPr>
                <w:b/>
                <w:bCs/>
                <w:color w:val="auto"/>
                <w:sz w:val="21"/>
                <w:szCs w:val="21"/>
                <w:highlight w:val="none"/>
              </w:rPr>
              <w:t>表7-</w:t>
            </w:r>
            <w:r>
              <w:rPr>
                <w:rFonts w:hint="eastAsia"/>
                <w:b/>
                <w:bCs/>
                <w:color w:val="auto"/>
                <w:sz w:val="21"/>
                <w:szCs w:val="21"/>
                <w:highlight w:val="none"/>
                <w:lang w:val="en-US" w:eastAsia="zh-CN"/>
              </w:rPr>
              <w:t>9</w:t>
            </w:r>
            <w:r>
              <w:rPr>
                <w:b/>
                <w:bCs/>
                <w:color w:val="auto"/>
                <w:sz w:val="21"/>
                <w:szCs w:val="21"/>
                <w:highlight w:val="none"/>
              </w:rPr>
              <w:t xml:space="preserve"> 水污染影响型建设项目评价等级判定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8"/>
              <w:gridCol w:w="1597"/>
              <w:gridCol w:w="3961"/>
            </w:tblGrid>
            <w:tr w14:paraId="22C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7" w:type="dxa"/>
                  <w:vMerge w:val="restart"/>
                  <w:noWrap w:val="0"/>
                  <w:vAlign w:val="center"/>
                </w:tcPr>
                <w:p w14:paraId="645DD6E5">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评价等级</w:t>
                  </w:r>
                </w:p>
              </w:tc>
              <w:tc>
                <w:tcPr>
                  <w:tcW w:w="5972" w:type="dxa"/>
                  <w:gridSpan w:val="2"/>
                  <w:noWrap w:val="0"/>
                  <w:vAlign w:val="center"/>
                </w:tcPr>
                <w:p w14:paraId="7424CA86">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判定依据</w:t>
                  </w:r>
                </w:p>
              </w:tc>
            </w:tr>
            <w:tr w14:paraId="644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987" w:type="dxa"/>
                  <w:vMerge w:val="continue"/>
                  <w:noWrap w:val="0"/>
                  <w:vAlign w:val="center"/>
                </w:tcPr>
                <w:p w14:paraId="16565787">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p>
              </w:tc>
              <w:tc>
                <w:tcPr>
                  <w:tcW w:w="1723" w:type="dxa"/>
                  <w:noWrap w:val="0"/>
                  <w:vAlign w:val="center"/>
                </w:tcPr>
                <w:p w14:paraId="61E555E7">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排放方式</w:t>
                  </w:r>
                </w:p>
              </w:tc>
              <w:tc>
                <w:tcPr>
                  <w:tcW w:w="4249" w:type="dxa"/>
                  <w:noWrap w:val="0"/>
                  <w:vAlign w:val="center"/>
                </w:tcPr>
                <w:p w14:paraId="09963166">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废水排放量Q/（m</w:t>
                  </w:r>
                  <w:r>
                    <w:rPr>
                      <w:color w:val="auto"/>
                      <w:sz w:val="22"/>
                      <w:szCs w:val="22"/>
                      <w:highlight w:val="none"/>
                      <w:vertAlign w:val="superscript"/>
                    </w:rPr>
                    <w:t>3</w:t>
                  </w:r>
                  <w:r>
                    <w:rPr>
                      <w:color w:val="auto"/>
                      <w:sz w:val="22"/>
                      <w:szCs w:val="22"/>
                      <w:highlight w:val="none"/>
                    </w:rPr>
                    <w:t>/d）；</w:t>
                  </w:r>
                </w:p>
                <w:p w14:paraId="7A9596E3">
                  <w:pPr>
                    <w:keepNext w:val="0"/>
                    <w:keepLines w:val="0"/>
                    <w:pageBreakBefore w:val="0"/>
                    <w:widowControl w:val="0"/>
                    <w:kinsoku/>
                    <w:wordWrap/>
                    <w:overflowPunct/>
                    <w:topLinePunct w:val="0"/>
                    <w:autoSpaceDE/>
                    <w:autoSpaceDN/>
                    <w:bidi w:val="0"/>
                    <w:adjustRightInd w:val="0"/>
                    <w:snapToGrid/>
                    <w:spacing w:line="320" w:lineRule="exact"/>
                    <w:jc w:val="center"/>
                    <w:textAlignment w:val="baseline"/>
                    <w:rPr>
                      <w:color w:val="auto"/>
                      <w:sz w:val="22"/>
                      <w:szCs w:val="22"/>
                      <w:highlight w:val="none"/>
                    </w:rPr>
                  </w:pPr>
                  <w:r>
                    <w:rPr>
                      <w:color w:val="auto"/>
                      <w:sz w:val="22"/>
                      <w:szCs w:val="22"/>
                      <w:highlight w:val="none"/>
                    </w:rPr>
                    <w:t>水污染物当量数W/（无量纲）</w:t>
                  </w:r>
                </w:p>
              </w:tc>
            </w:tr>
            <w:tr w14:paraId="6735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7" w:type="dxa"/>
                  <w:noWrap w:val="0"/>
                  <w:vAlign w:val="center"/>
                </w:tcPr>
                <w:p w14:paraId="48694DDE">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一级</w:t>
                  </w:r>
                </w:p>
              </w:tc>
              <w:tc>
                <w:tcPr>
                  <w:tcW w:w="1723" w:type="dxa"/>
                  <w:noWrap w:val="0"/>
                  <w:vAlign w:val="center"/>
                </w:tcPr>
                <w:p w14:paraId="60014A50">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直接排放</w:t>
                  </w:r>
                </w:p>
              </w:tc>
              <w:tc>
                <w:tcPr>
                  <w:tcW w:w="4249" w:type="dxa"/>
                  <w:noWrap w:val="0"/>
                  <w:vAlign w:val="center"/>
                </w:tcPr>
                <w:p w14:paraId="3AB33355">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Q≥20000或W≥600000</w:t>
                  </w:r>
                </w:p>
              </w:tc>
            </w:tr>
            <w:tr w14:paraId="7A2F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7" w:type="dxa"/>
                  <w:noWrap w:val="0"/>
                  <w:vAlign w:val="center"/>
                </w:tcPr>
                <w:p w14:paraId="2B392F6F">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二级</w:t>
                  </w:r>
                </w:p>
              </w:tc>
              <w:tc>
                <w:tcPr>
                  <w:tcW w:w="1723" w:type="dxa"/>
                  <w:noWrap w:val="0"/>
                  <w:vAlign w:val="center"/>
                </w:tcPr>
                <w:p w14:paraId="05485DDF">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直接排放</w:t>
                  </w:r>
                </w:p>
              </w:tc>
              <w:tc>
                <w:tcPr>
                  <w:tcW w:w="4249" w:type="dxa"/>
                  <w:noWrap w:val="0"/>
                  <w:vAlign w:val="center"/>
                </w:tcPr>
                <w:p w14:paraId="76A86EE1">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其他</w:t>
                  </w:r>
                </w:p>
              </w:tc>
            </w:tr>
            <w:tr w14:paraId="41A4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7" w:type="dxa"/>
                  <w:noWrap w:val="0"/>
                  <w:vAlign w:val="center"/>
                </w:tcPr>
                <w:p w14:paraId="0B1BE955">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三级A</w:t>
                  </w:r>
                </w:p>
              </w:tc>
              <w:tc>
                <w:tcPr>
                  <w:tcW w:w="1723" w:type="dxa"/>
                  <w:noWrap w:val="0"/>
                  <w:vAlign w:val="center"/>
                </w:tcPr>
                <w:p w14:paraId="1A1AC8C8">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直接排放</w:t>
                  </w:r>
                </w:p>
              </w:tc>
              <w:tc>
                <w:tcPr>
                  <w:tcW w:w="4249" w:type="dxa"/>
                  <w:noWrap w:val="0"/>
                  <w:vAlign w:val="center"/>
                </w:tcPr>
                <w:p w14:paraId="1B452B0F">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Q＜200且W＜6000</w:t>
                  </w:r>
                </w:p>
              </w:tc>
            </w:tr>
            <w:tr w14:paraId="21C0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7" w:type="dxa"/>
                  <w:noWrap w:val="0"/>
                  <w:vAlign w:val="center"/>
                </w:tcPr>
                <w:p w14:paraId="08C38BF4">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三级B</w:t>
                  </w:r>
                </w:p>
              </w:tc>
              <w:tc>
                <w:tcPr>
                  <w:tcW w:w="1723" w:type="dxa"/>
                  <w:noWrap w:val="0"/>
                  <w:vAlign w:val="center"/>
                </w:tcPr>
                <w:p w14:paraId="794CE927">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间接排放</w:t>
                  </w:r>
                </w:p>
              </w:tc>
              <w:tc>
                <w:tcPr>
                  <w:tcW w:w="4249" w:type="dxa"/>
                  <w:noWrap w:val="0"/>
                  <w:vAlign w:val="center"/>
                </w:tcPr>
                <w:p w14:paraId="24E43DC0">
                  <w:pPr>
                    <w:pStyle w:val="4"/>
                    <w:keepNext w:val="0"/>
                    <w:keepLines w:val="0"/>
                    <w:pageBreakBefore w:val="0"/>
                    <w:widowControl w:val="0"/>
                    <w:kinsoku/>
                    <w:wordWrap/>
                    <w:overflowPunct/>
                    <w:topLinePunct w:val="0"/>
                    <w:autoSpaceDE/>
                    <w:autoSpaceDN/>
                    <w:bidi w:val="0"/>
                    <w:adjustRightInd w:val="0"/>
                    <w:snapToGrid/>
                    <w:spacing w:line="320" w:lineRule="exact"/>
                    <w:ind w:firstLine="0" w:firstLineChars="0"/>
                    <w:jc w:val="center"/>
                    <w:textAlignment w:val="baseline"/>
                    <w:rPr>
                      <w:color w:val="auto"/>
                      <w:sz w:val="22"/>
                      <w:szCs w:val="22"/>
                      <w:highlight w:val="none"/>
                    </w:rPr>
                  </w:pPr>
                  <w:r>
                    <w:rPr>
                      <w:color w:val="auto"/>
                      <w:sz w:val="22"/>
                      <w:szCs w:val="22"/>
                      <w:highlight w:val="none"/>
                    </w:rPr>
                    <w:t>——</w:t>
                  </w:r>
                </w:p>
              </w:tc>
            </w:tr>
          </w:tbl>
          <w:p w14:paraId="6A4EA0F3">
            <w:pPr>
              <w:adjustRightInd w:val="0"/>
              <w:snapToGrid w:val="0"/>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项目采用雨污分流排水，雨水经收集后</w:t>
            </w:r>
            <w:r>
              <w:rPr>
                <w:rFonts w:hint="eastAsia" w:ascii="Times New Roman" w:hAnsi="Times New Roman"/>
                <w:color w:val="auto"/>
                <w:sz w:val="26"/>
                <w:szCs w:val="26"/>
                <w:highlight w:val="none"/>
                <w:lang w:val="en-US" w:eastAsia="zh-CN"/>
              </w:rPr>
              <w:t>沉淀后回用于项目区洒水抑尘</w:t>
            </w:r>
            <w:r>
              <w:rPr>
                <w:rFonts w:hint="eastAsia" w:ascii="Times New Roman" w:hAnsi="Times New Roman"/>
                <w:color w:val="auto"/>
                <w:sz w:val="26"/>
                <w:szCs w:val="26"/>
                <w:highlight w:val="none"/>
              </w:rPr>
              <w:t>；本项目产生的废水为生产废水、生活污水。生产废水</w:t>
            </w:r>
            <w:r>
              <w:rPr>
                <w:rFonts w:hint="eastAsia" w:ascii="Times New Roman" w:hAnsi="Times New Roman"/>
                <w:color w:val="auto"/>
                <w:sz w:val="26"/>
                <w:szCs w:val="26"/>
                <w:highlight w:val="none"/>
                <w:lang w:val="en-US" w:eastAsia="zh-CN"/>
              </w:rPr>
              <w:t>经自然蒸发</w:t>
            </w:r>
            <w:r>
              <w:rPr>
                <w:rFonts w:hint="eastAsia"/>
                <w:color w:val="auto"/>
                <w:sz w:val="26"/>
                <w:szCs w:val="26"/>
                <w:highlight w:val="none"/>
                <w:lang w:val="en-US" w:eastAsia="zh-CN"/>
              </w:rPr>
              <w:t>损耗</w:t>
            </w:r>
            <w:r>
              <w:rPr>
                <w:rFonts w:hint="eastAsia" w:ascii="Times New Roman" w:hAnsi="Times New Roman"/>
                <w:color w:val="auto"/>
                <w:sz w:val="26"/>
                <w:szCs w:val="26"/>
                <w:highlight w:val="none"/>
                <w:lang w:val="en-US" w:eastAsia="zh-CN"/>
              </w:rPr>
              <w:t>，不外排；</w:t>
            </w:r>
            <w:r>
              <w:rPr>
                <w:rFonts w:hint="eastAsia" w:ascii="Times New Roman" w:hAnsi="Times New Roman"/>
                <w:color w:val="auto"/>
                <w:sz w:val="26"/>
                <w:szCs w:val="26"/>
                <w:highlight w:val="none"/>
              </w:rPr>
              <w:t>生活污水经化粪池沉淀处理后</w:t>
            </w:r>
            <w:r>
              <w:rPr>
                <w:rFonts w:hint="eastAsia" w:ascii="Times New Roman" w:hAnsi="Times New Roman"/>
                <w:color w:val="auto"/>
                <w:sz w:val="26"/>
                <w:szCs w:val="26"/>
                <w:highlight w:val="none"/>
                <w:lang w:val="en-US" w:eastAsia="zh-CN"/>
              </w:rPr>
              <w:t>委托周边农户定期清理回用作农肥</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属于间接排放</w:t>
            </w:r>
            <w:r>
              <w:rPr>
                <w:rFonts w:hint="eastAsia" w:ascii="Times New Roman" w:hAnsi="Times New Roman"/>
                <w:color w:val="auto"/>
                <w:sz w:val="26"/>
                <w:szCs w:val="26"/>
                <w:highlight w:val="none"/>
              </w:rPr>
              <w:t>，地表水环境影响评价工作等级定为三级B评价。</w:t>
            </w:r>
          </w:p>
          <w:p w14:paraId="7772417F">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olor w:val="auto"/>
                <w:sz w:val="26"/>
                <w:szCs w:val="26"/>
                <w:highlight w:val="none"/>
                <w:lang w:eastAsia="zh-CN"/>
              </w:rPr>
            </w:pPr>
            <w:r>
              <w:rPr>
                <w:rFonts w:hint="eastAsia" w:ascii="宋体" w:hAnsi="宋体" w:eastAsia="宋体" w:cs="宋体"/>
                <w:color w:val="auto"/>
                <w:sz w:val="26"/>
                <w:szCs w:val="26"/>
                <w:highlight w:val="none"/>
              </w:rPr>
              <w:t>①</w:t>
            </w:r>
            <w:r>
              <w:rPr>
                <w:rFonts w:hint="eastAsia"/>
                <w:color w:val="auto"/>
                <w:sz w:val="26"/>
                <w:szCs w:val="26"/>
                <w:highlight w:val="none"/>
                <w:lang w:val="en-US" w:eastAsia="zh-CN"/>
              </w:rPr>
              <w:t>工业废水</w:t>
            </w:r>
          </w:p>
          <w:p w14:paraId="334919BE">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auto"/>
                <w:sz w:val="26"/>
                <w:szCs w:val="26"/>
                <w:highlight w:val="none"/>
                <w:lang w:val="en-US" w:eastAsia="zh-CN"/>
              </w:rPr>
            </w:pPr>
            <w:r>
              <w:rPr>
                <w:rFonts w:hint="eastAsia" w:ascii="Times New Roman" w:hAnsi="Times New Roman"/>
                <w:color w:val="auto"/>
                <w:sz w:val="26"/>
                <w:szCs w:val="26"/>
                <w:highlight w:val="none"/>
              </w:rPr>
              <w:t>钻机在工作时钻头与岩石摩擦会产生大量热量，需进行水冷，该部分冷却水</w:t>
            </w:r>
            <w:r>
              <w:rPr>
                <w:rFonts w:hint="eastAsia"/>
                <w:color w:val="auto"/>
                <w:sz w:val="26"/>
                <w:szCs w:val="26"/>
                <w:highlight w:val="none"/>
                <w:lang w:val="en-US" w:eastAsia="zh-CN"/>
              </w:rPr>
              <w:t>约1m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w:t>
            </w:r>
            <w:r>
              <w:rPr>
                <w:rFonts w:hint="eastAsia" w:ascii="Times New Roman" w:hAnsi="Times New Roman"/>
                <w:color w:val="auto"/>
                <w:sz w:val="26"/>
                <w:szCs w:val="26"/>
                <w:highlight w:val="none"/>
              </w:rPr>
              <w:t>冷却水</w:t>
            </w:r>
            <w:r>
              <w:rPr>
                <w:rFonts w:hint="eastAsia"/>
                <w:color w:val="auto"/>
                <w:sz w:val="26"/>
                <w:szCs w:val="26"/>
                <w:highlight w:val="none"/>
                <w:lang w:val="en-US" w:eastAsia="zh-CN"/>
              </w:rPr>
              <w:t>全部</w:t>
            </w:r>
            <w:r>
              <w:rPr>
                <w:rFonts w:hint="eastAsia" w:ascii="Times New Roman" w:hAnsi="Times New Roman"/>
                <w:color w:val="auto"/>
                <w:sz w:val="26"/>
                <w:szCs w:val="26"/>
                <w:highlight w:val="none"/>
              </w:rPr>
              <w:t>蒸发</w:t>
            </w:r>
            <w:r>
              <w:rPr>
                <w:rFonts w:hint="eastAsia"/>
                <w:color w:val="auto"/>
                <w:sz w:val="26"/>
                <w:szCs w:val="26"/>
                <w:highlight w:val="none"/>
                <w:lang w:val="en-US" w:eastAsia="zh-CN"/>
              </w:rPr>
              <w:t>损耗</w:t>
            </w:r>
            <w:r>
              <w:rPr>
                <w:rFonts w:hint="eastAsia" w:ascii="Times New Roman" w:hAnsi="Times New Roman"/>
                <w:color w:val="auto"/>
                <w:sz w:val="26"/>
                <w:szCs w:val="26"/>
                <w:highlight w:val="none"/>
              </w:rPr>
              <w:t>，</w:t>
            </w:r>
            <w:r>
              <w:rPr>
                <w:rFonts w:hint="eastAsia"/>
                <w:color w:val="auto"/>
                <w:sz w:val="26"/>
                <w:szCs w:val="26"/>
                <w:highlight w:val="none"/>
                <w:lang w:val="en-US" w:eastAsia="zh-CN"/>
              </w:rPr>
              <w:t>无外排冷却水，对项目周边地表水环境影响较小。</w:t>
            </w:r>
          </w:p>
          <w:p w14:paraId="76EA5C7B">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为</w:t>
            </w:r>
            <w:r>
              <w:rPr>
                <w:rFonts w:hint="eastAsia"/>
                <w:color w:val="auto"/>
                <w:sz w:val="26"/>
                <w:szCs w:val="26"/>
                <w:highlight w:val="none"/>
                <w:lang w:val="en-US" w:eastAsia="zh-CN"/>
              </w:rPr>
              <w:t>减小</w:t>
            </w:r>
            <w:r>
              <w:rPr>
                <w:rFonts w:hint="eastAsia" w:ascii="Times New Roman" w:hAnsi="Times New Roman"/>
                <w:color w:val="auto"/>
                <w:sz w:val="26"/>
                <w:szCs w:val="26"/>
                <w:highlight w:val="none"/>
              </w:rPr>
              <w:t>爆破</w:t>
            </w:r>
            <w:r>
              <w:rPr>
                <w:rFonts w:hint="eastAsia"/>
                <w:color w:val="auto"/>
                <w:sz w:val="26"/>
                <w:szCs w:val="26"/>
                <w:highlight w:val="none"/>
                <w:lang w:val="en-US" w:eastAsia="zh-CN"/>
              </w:rPr>
              <w:t>后</w:t>
            </w:r>
            <w:r>
              <w:rPr>
                <w:rFonts w:hint="eastAsia" w:ascii="Times New Roman" w:hAnsi="Times New Roman"/>
                <w:color w:val="auto"/>
                <w:sz w:val="26"/>
                <w:szCs w:val="26"/>
                <w:highlight w:val="none"/>
              </w:rPr>
              <w:t>扬尘</w:t>
            </w:r>
            <w:r>
              <w:rPr>
                <w:rFonts w:hint="eastAsia"/>
                <w:color w:val="auto"/>
                <w:sz w:val="26"/>
                <w:szCs w:val="26"/>
                <w:highlight w:val="none"/>
                <w:lang w:val="en-US" w:eastAsia="zh-CN"/>
              </w:rPr>
              <w:t>影响</w:t>
            </w:r>
            <w:r>
              <w:rPr>
                <w:rFonts w:hint="eastAsia" w:ascii="Times New Roman" w:hAnsi="Times New Roman"/>
                <w:color w:val="auto"/>
                <w:sz w:val="26"/>
                <w:szCs w:val="26"/>
                <w:highlight w:val="none"/>
              </w:rPr>
              <w:t>，事先在现场洒水，这部分水量约3m</w:t>
            </w:r>
            <w:r>
              <w:rPr>
                <w:rFonts w:hint="eastAsia"/>
                <w:color w:val="auto"/>
                <w:sz w:val="26"/>
                <w:szCs w:val="26"/>
                <w:highlight w:val="none"/>
                <w:vertAlign w:val="superscript"/>
                <w:lang w:val="en-US" w:eastAsia="zh-CN"/>
              </w:rPr>
              <w:t>3</w:t>
            </w:r>
            <w:r>
              <w:rPr>
                <w:rFonts w:hint="eastAsia" w:ascii="Times New Roman" w:hAnsi="Times New Roman"/>
                <w:color w:val="auto"/>
                <w:sz w:val="26"/>
                <w:szCs w:val="26"/>
                <w:highlight w:val="none"/>
              </w:rPr>
              <w:t>/次</w:t>
            </w:r>
            <w:r>
              <w:rPr>
                <w:rFonts w:hint="eastAsia"/>
                <w:color w:val="auto"/>
                <w:sz w:val="26"/>
                <w:szCs w:val="26"/>
                <w:highlight w:val="none"/>
                <w:lang w:eastAsia="zh-CN"/>
              </w:rPr>
              <w:t>，</w:t>
            </w:r>
            <w:r>
              <w:rPr>
                <w:rFonts w:hint="eastAsia" w:ascii="Times New Roman" w:hAnsi="Times New Roman"/>
                <w:color w:val="auto"/>
                <w:sz w:val="26"/>
                <w:szCs w:val="26"/>
                <w:highlight w:val="none"/>
              </w:rPr>
              <w:t>该部分水</w:t>
            </w:r>
            <w:r>
              <w:rPr>
                <w:rFonts w:hint="eastAsia"/>
                <w:color w:val="auto"/>
                <w:sz w:val="26"/>
                <w:szCs w:val="26"/>
                <w:highlight w:val="none"/>
                <w:lang w:val="en-US" w:eastAsia="zh-CN"/>
              </w:rPr>
              <w:t>全部</w:t>
            </w:r>
            <w:r>
              <w:rPr>
                <w:rFonts w:hint="eastAsia" w:ascii="Times New Roman" w:hAnsi="Times New Roman"/>
                <w:color w:val="auto"/>
                <w:sz w:val="26"/>
                <w:szCs w:val="26"/>
                <w:highlight w:val="none"/>
              </w:rPr>
              <w:t>蒸发</w:t>
            </w:r>
            <w:r>
              <w:rPr>
                <w:rFonts w:hint="eastAsia"/>
                <w:color w:val="auto"/>
                <w:sz w:val="26"/>
                <w:szCs w:val="26"/>
                <w:highlight w:val="none"/>
                <w:lang w:val="en-US" w:eastAsia="zh-CN"/>
              </w:rPr>
              <w:t>损耗</w:t>
            </w:r>
            <w:r>
              <w:rPr>
                <w:rFonts w:hint="eastAsia" w:ascii="Times New Roman" w:hAnsi="Times New Roman"/>
                <w:color w:val="auto"/>
                <w:sz w:val="26"/>
                <w:szCs w:val="26"/>
                <w:highlight w:val="none"/>
              </w:rPr>
              <w:t>，</w:t>
            </w:r>
            <w:r>
              <w:rPr>
                <w:rFonts w:hint="eastAsia"/>
                <w:color w:val="auto"/>
                <w:sz w:val="26"/>
                <w:szCs w:val="26"/>
                <w:highlight w:val="none"/>
                <w:lang w:val="en-US" w:eastAsia="zh-CN"/>
              </w:rPr>
              <w:t>无外排</w:t>
            </w:r>
            <w:r>
              <w:rPr>
                <w:rFonts w:hint="eastAsia" w:ascii="Times New Roman" w:hAnsi="Times New Roman"/>
                <w:color w:val="auto"/>
                <w:sz w:val="26"/>
                <w:szCs w:val="26"/>
                <w:highlight w:val="none"/>
              </w:rPr>
              <w:t>爆破抑尘废水。</w:t>
            </w:r>
            <w:r>
              <w:rPr>
                <w:rFonts w:hint="eastAsia"/>
                <w:color w:val="auto"/>
                <w:sz w:val="26"/>
                <w:szCs w:val="26"/>
                <w:highlight w:val="none"/>
                <w:lang w:val="en-US" w:eastAsia="zh-CN"/>
              </w:rPr>
              <w:t>对项目周边地表水环境影响较小。</w:t>
            </w:r>
          </w:p>
          <w:p w14:paraId="7FE0F595">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color w:val="auto"/>
                <w:sz w:val="26"/>
                <w:szCs w:val="26"/>
                <w:highlight w:val="none"/>
                <w:lang w:val="en-US" w:eastAsia="zh-CN"/>
              </w:rPr>
              <w:t>运输石料、破碎筛分加工石料及采区洒水抑尘时会产生抑尘废水，</w:t>
            </w:r>
            <w:r>
              <w:rPr>
                <w:rFonts w:hint="eastAsia" w:ascii="Times New Roman" w:hAnsi="Times New Roman"/>
                <w:color w:val="auto"/>
                <w:sz w:val="26"/>
                <w:szCs w:val="26"/>
                <w:highlight w:val="none"/>
              </w:rPr>
              <w:t>道路、工业场地及采区</w:t>
            </w:r>
            <w:r>
              <w:rPr>
                <w:rFonts w:hint="eastAsia"/>
                <w:color w:val="auto"/>
                <w:sz w:val="26"/>
                <w:szCs w:val="26"/>
                <w:highlight w:val="none"/>
                <w:lang w:val="en-US" w:eastAsia="zh-CN"/>
              </w:rPr>
              <w:t>防尘产生废水量22.8</w:t>
            </w:r>
            <w:r>
              <w:rPr>
                <w:rFonts w:hint="eastAsia" w:ascii="Times New Roman" w:hAnsi="Times New Roman"/>
                <w:color w:val="auto"/>
                <w:sz w:val="26"/>
                <w:szCs w:val="26"/>
                <w:highlight w:val="none"/>
              </w:rPr>
              <w:t>m</w:t>
            </w:r>
            <w:r>
              <w:rPr>
                <w:rFonts w:hint="eastAsia"/>
                <w:color w:val="auto"/>
                <w:sz w:val="26"/>
                <w:szCs w:val="26"/>
                <w:highlight w:val="none"/>
                <w:vertAlign w:val="superscript"/>
                <w:lang w:val="en-US" w:eastAsia="zh-CN"/>
              </w:rPr>
              <w:t>3</w:t>
            </w:r>
            <w:r>
              <w:rPr>
                <w:rFonts w:hint="eastAsia" w:ascii="Times New Roman" w:hAnsi="Times New Roman"/>
                <w:color w:val="auto"/>
                <w:sz w:val="26"/>
                <w:szCs w:val="26"/>
                <w:highlight w:val="none"/>
              </w:rPr>
              <w:t xml:space="preserve">/d( </w:t>
            </w:r>
            <w:r>
              <w:rPr>
                <w:rFonts w:hint="eastAsia"/>
                <w:color w:val="auto"/>
                <w:sz w:val="26"/>
                <w:szCs w:val="26"/>
                <w:highlight w:val="none"/>
                <w:lang w:val="en-US" w:eastAsia="zh-CN"/>
              </w:rPr>
              <w:t>7524</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w:t>
            </w:r>
            <w:r>
              <w:rPr>
                <w:rFonts w:hint="eastAsia"/>
                <w:color w:val="auto"/>
                <w:sz w:val="26"/>
                <w:szCs w:val="26"/>
                <w:highlight w:val="none"/>
                <w:lang w:val="en-US" w:eastAsia="zh-CN"/>
              </w:rPr>
              <w:t>该部分水通过</w:t>
            </w:r>
            <w:r>
              <w:rPr>
                <w:rFonts w:hint="eastAsia" w:ascii="Times New Roman" w:hAnsi="Times New Roman"/>
                <w:color w:val="auto"/>
                <w:sz w:val="26"/>
                <w:szCs w:val="26"/>
                <w:highlight w:val="none"/>
              </w:rPr>
              <w:t>蒸发</w:t>
            </w:r>
            <w:r>
              <w:rPr>
                <w:rFonts w:hint="eastAsia"/>
                <w:color w:val="auto"/>
                <w:sz w:val="26"/>
                <w:szCs w:val="26"/>
                <w:highlight w:val="none"/>
                <w:lang w:val="en-US" w:eastAsia="zh-CN"/>
              </w:rPr>
              <w:t>损耗完</w:t>
            </w:r>
            <w:r>
              <w:rPr>
                <w:rFonts w:hint="eastAsia" w:ascii="Times New Roman" w:hAnsi="Times New Roman"/>
                <w:color w:val="auto"/>
                <w:sz w:val="26"/>
                <w:szCs w:val="26"/>
                <w:highlight w:val="none"/>
              </w:rPr>
              <w:t>，</w:t>
            </w:r>
            <w:r>
              <w:rPr>
                <w:rFonts w:hint="eastAsia"/>
                <w:color w:val="auto"/>
                <w:sz w:val="26"/>
                <w:szCs w:val="26"/>
                <w:highlight w:val="none"/>
                <w:lang w:val="en-US" w:eastAsia="zh-CN"/>
              </w:rPr>
              <w:t>无外排水，对项目周边地表水环境影响较小。</w:t>
            </w:r>
          </w:p>
          <w:p w14:paraId="71A3BD69">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sz w:val="26"/>
                <w:szCs w:val="26"/>
                <w:highlight w:val="none"/>
                <w:lang w:eastAsia="zh-CN"/>
              </w:rPr>
            </w:pPr>
            <w:r>
              <w:rPr>
                <w:rFonts w:hint="eastAsia" w:ascii="Times New Roman" w:hAnsi="Times New Roman"/>
                <w:color w:val="auto"/>
                <w:sz w:val="26"/>
                <w:szCs w:val="26"/>
                <w:highlight w:val="none"/>
              </w:rPr>
              <w:t>碎石场物料加工过程</w:t>
            </w:r>
            <w:r>
              <w:rPr>
                <w:rFonts w:hint="eastAsia"/>
                <w:color w:val="auto"/>
                <w:sz w:val="26"/>
                <w:szCs w:val="26"/>
                <w:highlight w:val="none"/>
                <w:lang w:val="en-US" w:eastAsia="zh-CN"/>
              </w:rPr>
              <w:t>中，</w:t>
            </w:r>
            <w:r>
              <w:rPr>
                <w:rFonts w:hint="eastAsia" w:ascii="Times New Roman" w:hAnsi="Times New Roman"/>
                <w:color w:val="auto"/>
                <w:sz w:val="26"/>
                <w:szCs w:val="26"/>
                <w:highlight w:val="none"/>
              </w:rPr>
              <w:t>破碎机和筛分机出料口位置均设置有喷淋管对表面物料进行洒水保湿，</w:t>
            </w:r>
            <w:r>
              <w:rPr>
                <w:rFonts w:hint="eastAsia"/>
                <w:color w:val="auto"/>
                <w:sz w:val="26"/>
                <w:szCs w:val="26"/>
                <w:highlight w:val="none"/>
                <w:lang w:val="en-US" w:eastAsia="zh-CN"/>
              </w:rPr>
              <w:t>防尘产生废水量15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/d(</w:t>
            </w:r>
            <w:r>
              <w:rPr>
                <w:rFonts w:hint="eastAsia"/>
                <w:color w:val="auto"/>
                <w:sz w:val="26"/>
                <w:szCs w:val="26"/>
                <w:highlight w:val="none"/>
                <w:lang w:val="en-US" w:eastAsia="zh-CN"/>
              </w:rPr>
              <w:t>45</w:t>
            </w:r>
            <w:r>
              <w:rPr>
                <w:rFonts w:hint="eastAsia" w:ascii="Times New Roman" w:hAnsi="Times New Roman"/>
                <w:color w:val="auto"/>
                <w:sz w:val="26"/>
                <w:szCs w:val="26"/>
                <w:highlight w:val="none"/>
              </w:rPr>
              <w:t>00m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w:t>
            </w:r>
            <w:r>
              <w:rPr>
                <w:rFonts w:hint="eastAsia"/>
                <w:color w:val="auto"/>
                <w:sz w:val="26"/>
                <w:szCs w:val="26"/>
                <w:highlight w:val="none"/>
                <w:lang w:eastAsia="zh-CN"/>
              </w:rPr>
              <w:t>，</w:t>
            </w:r>
            <w:r>
              <w:rPr>
                <w:rFonts w:hint="eastAsia" w:ascii="Times New Roman" w:hAnsi="Times New Roman"/>
                <w:color w:val="auto"/>
                <w:sz w:val="26"/>
                <w:szCs w:val="26"/>
                <w:highlight w:val="none"/>
              </w:rPr>
              <w:t>这部分用水均被物料吸收</w:t>
            </w:r>
            <w:r>
              <w:rPr>
                <w:rFonts w:hint="eastAsia"/>
                <w:color w:val="auto"/>
                <w:sz w:val="26"/>
                <w:szCs w:val="26"/>
                <w:highlight w:val="none"/>
                <w:lang w:val="en-US" w:eastAsia="zh-CN"/>
              </w:rPr>
              <w:t>及</w:t>
            </w:r>
            <w:r>
              <w:rPr>
                <w:rFonts w:hint="eastAsia" w:ascii="Times New Roman" w:hAnsi="Times New Roman"/>
                <w:color w:val="auto"/>
                <w:sz w:val="26"/>
                <w:szCs w:val="26"/>
                <w:highlight w:val="none"/>
              </w:rPr>
              <w:t>自然蒸发</w:t>
            </w:r>
            <w:r>
              <w:rPr>
                <w:rFonts w:hint="eastAsia"/>
                <w:color w:val="auto"/>
                <w:sz w:val="26"/>
                <w:szCs w:val="26"/>
                <w:highlight w:val="none"/>
                <w:lang w:val="en-US" w:eastAsia="zh-CN"/>
              </w:rPr>
              <w:t>损耗完</w:t>
            </w:r>
            <w:r>
              <w:rPr>
                <w:rFonts w:hint="eastAsia" w:ascii="Times New Roman" w:hAnsi="Times New Roman"/>
                <w:color w:val="auto"/>
                <w:sz w:val="26"/>
                <w:szCs w:val="26"/>
                <w:highlight w:val="none"/>
              </w:rPr>
              <w:t>，不会产生外排废水。</w:t>
            </w:r>
            <w:r>
              <w:rPr>
                <w:rFonts w:hint="eastAsia"/>
                <w:color w:val="auto"/>
                <w:sz w:val="26"/>
                <w:szCs w:val="26"/>
                <w:highlight w:val="none"/>
                <w:lang w:val="en-US" w:eastAsia="zh-CN"/>
              </w:rPr>
              <w:t>对项目周边地表水环境影响较小。</w:t>
            </w:r>
          </w:p>
          <w:p w14:paraId="2A686230">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olor w:val="auto"/>
                <w:sz w:val="26"/>
                <w:szCs w:val="26"/>
                <w:highlight w:val="none"/>
                <w:lang w:val="en-US" w:eastAsia="zh-CN"/>
              </w:rPr>
            </w:pPr>
            <w:r>
              <w:rPr>
                <w:rFonts w:hint="eastAsia" w:ascii="宋体" w:hAnsi="宋体" w:eastAsia="宋体" w:cs="宋体"/>
                <w:color w:val="auto"/>
                <w:sz w:val="26"/>
                <w:szCs w:val="26"/>
                <w:highlight w:val="none"/>
                <w:lang w:eastAsia="zh-CN"/>
              </w:rPr>
              <w:t>②</w:t>
            </w:r>
            <w:r>
              <w:rPr>
                <w:rFonts w:hint="eastAsia"/>
                <w:color w:val="auto"/>
                <w:sz w:val="26"/>
                <w:szCs w:val="26"/>
                <w:highlight w:val="none"/>
                <w:lang w:val="en-US" w:eastAsia="zh-CN"/>
              </w:rPr>
              <w:t>生活污水</w:t>
            </w:r>
          </w:p>
          <w:p w14:paraId="7008710A">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olor w:val="auto"/>
                <w:sz w:val="26"/>
                <w:szCs w:val="26"/>
                <w:highlight w:val="none"/>
                <w:lang w:val="en-US" w:eastAsia="zh-CN"/>
              </w:rPr>
            </w:pPr>
            <w:r>
              <w:rPr>
                <w:rFonts w:hint="eastAsia"/>
                <w:color w:val="auto"/>
                <w:sz w:val="26"/>
                <w:szCs w:val="26"/>
                <w:highlight w:val="none"/>
                <w:lang w:val="en-US" w:eastAsia="zh-CN"/>
              </w:rPr>
              <w:t>本项目运营期工作人员约33位，年工作300天，生活用水量3.3m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/d，年用水量为990m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/a。本项目生活污水按照用水量的80%计算，则污水水量为2.64m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/d，792m</w:t>
            </w:r>
            <w:r>
              <w:rPr>
                <w:rFonts w:hint="eastAsia"/>
                <w:color w:val="auto"/>
                <w:sz w:val="26"/>
                <w:szCs w:val="26"/>
                <w:highlight w:val="none"/>
                <w:vertAlign w:val="superscript"/>
                <w:lang w:val="en-US" w:eastAsia="zh-CN"/>
              </w:rPr>
              <w:t>3</w:t>
            </w:r>
            <w:r>
              <w:rPr>
                <w:rFonts w:hint="eastAsia"/>
                <w:color w:val="auto"/>
                <w:sz w:val="26"/>
                <w:szCs w:val="26"/>
                <w:highlight w:val="none"/>
                <w:lang w:val="en-US" w:eastAsia="zh-CN"/>
              </w:rPr>
              <w:t>/a，生活污水收集排入化粪池，经化粪池处理后，委托周边农户定期清掏做农肥。本项目运营期产生的生活污水对地表水环境影响较小。</w:t>
            </w:r>
          </w:p>
          <w:p w14:paraId="08C2AC99">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③</w:t>
            </w:r>
            <w:r>
              <w:rPr>
                <w:rFonts w:hint="eastAsia" w:ascii="Times New Roman" w:hAnsi="Times New Roman"/>
                <w:color w:val="auto"/>
                <w:sz w:val="26"/>
                <w:szCs w:val="26"/>
                <w:highlight w:val="none"/>
              </w:rPr>
              <w:t>初期雨水</w:t>
            </w:r>
          </w:p>
          <w:p w14:paraId="3F37BD71">
            <w:pPr>
              <w:pStyle w:val="5"/>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eastAsia="宋体"/>
                <w:color w:val="auto"/>
                <w:sz w:val="26"/>
                <w:highlight w:val="none"/>
              </w:rPr>
            </w:pPr>
            <w:r>
              <w:rPr>
                <w:rFonts w:hint="eastAsia"/>
                <w:color w:val="auto"/>
                <w:sz w:val="26"/>
                <w:szCs w:val="26"/>
                <w:highlight w:val="none"/>
                <w:lang w:val="en-US" w:eastAsia="zh-CN"/>
              </w:rPr>
              <w:t>本项目经工程分析计算可知</w:t>
            </w:r>
            <w:r>
              <w:rPr>
                <w:rFonts w:eastAsia="宋体"/>
                <w:color w:val="auto"/>
                <w:sz w:val="26"/>
                <w:highlight w:val="none"/>
              </w:rPr>
              <w:t>项目初期雨水产生量为</w:t>
            </w:r>
            <w:r>
              <w:rPr>
                <w:rFonts w:hint="eastAsia"/>
                <w:color w:val="auto"/>
                <w:sz w:val="26"/>
                <w:highlight w:val="none"/>
                <w:lang w:val="en-US" w:eastAsia="zh-CN"/>
              </w:rPr>
              <w:t>37</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ascii="Times New Roman" w:eastAsia="宋体"/>
                <w:color w:val="auto"/>
                <w:sz w:val="26"/>
                <w:highlight w:val="none"/>
              </w:rPr>
              <w:t>/</w:t>
            </w:r>
            <w:r>
              <w:rPr>
                <w:rFonts w:hint="eastAsia"/>
                <w:color w:val="auto"/>
                <w:sz w:val="26"/>
                <w:highlight w:val="none"/>
                <w:lang w:val="en-US" w:eastAsia="zh-CN"/>
              </w:rPr>
              <w:t>d</w:t>
            </w:r>
            <w:r>
              <w:rPr>
                <w:rFonts w:hint="eastAsia"/>
                <w:color w:val="auto"/>
                <w:sz w:val="26"/>
                <w:highlight w:val="none"/>
                <w:lang w:eastAsia="zh-CN"/>
              </w:rPr>
              <w:t>，</w:t>
            </w:r>
            <w:r>
              <w:rPr>
                <w:rFonts w:hint="eastAsia" w:ascii="Times New Roman" w:hAnsi="Times New Roman"/>
                <w:color w:val="auto"/>
                <w:sz w:val="26"/>
                <w:szCs w:val="26"/>
                <w:highlight w:val="none"/>
              </w:rPr>
              <w:t>厂区排水体制为雨污分流制，</w:t>
            </w:r>
            <w:r>
              <w:rPr>
                <w:rFonts w:hint="eastAsia"/>
                <w:color w:val="auto"/>
                <w:sz w:val="26"/>
                <w:szCs w:val="26"/>
                <w:highlight w:val="none"/>
                <w:lang w:val="en-US" w:eastAsia="zh-CN"/>
              </w:rPr>
              <w:t>初期雨水经沟渠收集进入沉淀池，容积为50</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hint="eastAsia"/>
                <w:color w:val="auto"/>
                <w:sz w:val="26"/>
                <w:szCs w:val="26"/>
                <w:highlight w:val="none"/>
                <w:lang w:val="en-US" w:eastAsia="zh-CN"/>
              </w:rPr>
              <w:t>，经</w:t>
            </w:r>
            <w:r>
              <w:rPr>
                <w:rFonts w:hint="eastAsia" w:ascii="Times New Roman" w:hAnsi="Times New Roman"/>
                <w:color w:val="auto"/>
                <w:sz w:val="26"/>
                <w:szCs w:val="26"/>
                <w:highlight w:val="none"/>
              </w:rPr>
              <w:t>沉淀池</w:t>
            </w:r>
            <w:r>
              <w:rPr>
                <w:rFonts w:hint="eastAsia"/>
                <w:color w:val="auto"/>
                <w:sz w:val="26"/>
                <w:szCs w:val="26"/>
                <w:highlight w:val="none"/>
                <w:lang w:val="en-US" w:eastAsia="zh-CN"/>
              </w:rPr>
              <w:t>沉淀后</w:t>
            </w:r>
            <w:r>
              <w:rPr>
                <w:rFonts w:hint="eastAsia" w:ascii="Times New Roman" w:hAnsi="Times New Roman"/>
                <w:color w:val="auto"/>
                <w:sz w:val="26"/>
                <w:szCs w:val="26"/>
                <w:highlight w:val="none"/>
              </w:rPr>
              <w:t>用于</w:t>
            </w:r>
            <w:r>
              <w:rPr>
                <w:rFonts w:hint="eastAsia"/>
                <w:color w:val="auto"/>
                <w:sz w:val="26"/>
                <w:szCs w:val="26"/>
                <w:highlight w:val="none"/>
                <w:lang w:val="en-US" w:eastAsia="zh-CN"/>
              </w:rPr>
              <w:t>场区洒水降尘</w:t>
            </w:r>
            <w:r>
              <w:rPr>
                <w:rFonts w:hint="eastAsia" w:ascii="Times New Roman" w:hAnsi="Times New Roman"/>
                <w:color w:val="auto"/>
                <w:sz w:val="26"/>
                <w:szCs w:val="26"/>
                <w:highlight w:val="none"/>
              </w:rPr>
              <w:t>，</w:t>
            </w:r>
            <w:r>
              <w:rPr>
                <w:rFonts w:hint="eastAsia"/>
                <w:color w:val="auto"/>
                <w:sz w:val="26"/>
                <w:szCs w:val="26"/>
                <w:highlight w:val="none"/>
                <w:lang w:val="en-US" w:eastAsia="zh-CN"/>
              </w:rPr>
              <w:t>不外排</w:t>
            </w:r>
            <w:r>
              <w:rPr>
                <w:rFonts w:eastAsia="宋体"/>
                <w:color w:val="auto"/>
                <w:sz w:val="26"/>
                <w:highlight w:val="none"/>
              </w:rPr>
              <w:t>。</w:t>
            </w:r>
          </w:p>
          <w:p w14:paraId="79348C8E">
            <w:pPr>
              <w:rPr>
                <w:rFonts w:hint="default" w:eastAsia="宋体"/>
                <w:color w:val="auto"/>
                <w:highlight w:val="none"/>
                <w:lang w:val="en-US" w:eastAsia="zh-CN"/>
              </w:rPr>
            </w:pPr>
            <w:r>
              <w:rPr>
                <w:rFonts w:hint="eastAsia" w:ascii="Times New Roman" w:hAnsi="Times New Roman"/>
                <w:color w:val="auto"/>
                <w:sz w:val="26"/>
                <w:szCs w:val="26"/>
                <w:highlight w:val="none"/>
              </w:rPr>
              <w:t>初期雨水是在降雨形成地面径流后10～15min的污染较大的雨水量。</w:t>
            </w:r>
            <w:r>
              <w:rPr>
                <w:rFonts w:hint="eastAsia"/>
                <w:color w:val="auto"/>
                <w:sz w:val="26"/>
                <w:highlight w:val="none"/>
                <w:lang w:val="en-US" w:eastAsia="zh-CN"/>
              </w:rPr>
              <w:t>由工程分析章节可知本矿区区域一次最大初期雨水量为42</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ascii="Times New Roman" w:eastAsia="宋体"/>
                <w:color w:val="auto"/>
                <w:sz w:val="26"/>
                <w:highlight w:val="none"/>
              </w:rPr>
              <w:t>/</w:t>
            </w:r>
            <w:r>
              <w:rPr>
                <w:rFonts w:eastAsia="宋体"/>
                <w:color w:val="auto"/>
                <w:sz w:val="26"/>
                <w:highlight w:val="none"/>
              </w:rPr>
              <w:t>次</w:t>
            </w:r>
            <w:r>
              <w:rPr>
                <w:rFonts w:hint="eastAsia"/>
                <w:color w:val="auto"/>
                <w:sz w:val="26"/>
                <w:highlight w:val="none"/>
                <w:lang w:eastAsia="zh-CN"/>
              </w:rPr>
              <w:t>，</w:t>
            </w:r>
            <w:r>
              <w:rPr>
                <w:rFonts w:hint="eastAsia"/>
                <w:color w:val="auto"/>
                <w:sz w:val="26"/>
                <w:highlight w:val="none"/>
                <w:lang w:val="en-US" w:eastAsia="zh-CN"/>
              </w:rPr>
              <w:t>本次建设初期雨水收集池容积为</w:t>
            </w:r>
            <w:r>
              <w:rPr>
                <w:rFonts w:hint="eastAsia"/>
                <w:color w:val="auto"/>
                <w:sz w:val="26"/>
                <w:szCs w:val="26"/>
                <w:highlight w:val="none"/>
                <w:lang w:val="en-US" w:eastAsia="zh-CN"/>
              </w:rPr>
              <w:t>50</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hint="eastAsia"/>
                <w:color w:val="auto"/>
                <w:sz w:val="26"/>
                <w:szCs w:val="26"/>
                <w:highlight w:val="none"/>
                <w:lang w:val="en-US" w:eastAsia="zh-CN"/>
              </w:rPr>
              <w:t>，经收集池沉淀后泵回高位水池储存，用于非雨天洒水降尘，高位水池容积为300</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hint="eastAsia"/>
                <w:color w:val="auto"/>
                <w:sz w:val="26"/>
                <w:szCs w:val="26"/>
                <w:highlight w:val="none"/>
                <w:lang w:val="en-US" w:eastAsia="zh-CN"/>
              </w:rPr>
              <w:t>，可储存7天连续降雨的雨量，即暂存条件满足。本</w:t>
            </w:r>
            <w:r>
              <w:rPr>
                <w:rFonts w:hint="eastAsia"/>
                <w:color w:val="auto"/>
                <w:sz w:val="26"/>
                <w:highlight w:val="none"/>
                <w:lang w:val="en-US" w:eastAsia="zh-CN"/>
              </w:rPr>
              <w:t>项目区地表水缺乏，非雨天厂区内需引水来洒水降尘，工业用水需求量为43.05m</w:t>
            </w:r>
            <w:r>
              <w:rPr>
                <w:rFonts w:hint="eastAsia"/>
                <w:color w:val="auto"/>
                <w:sz w:val="26"/>
                <w:highlight w:val="none"/>
                <w:vertAlign w:val="superscript"/>
                <w:lang w:val="en-US" w:eastAsia="zh-CN"/>
              </w:rPr>
              <w:t>3</w:t>
            </w:r>
            <w:r>
              <w:rPr>
                <w:rFonts w:hint="eastAsia"/>
                <w:color w:val="auto"/>
                <w:sz w:val="26"/>
                <w:highlight w:val="none"/>
                <w:lang w:val="en-US" w:eastAsia="zh-CN"/>
              </w:rPr>
              <w:t>/d，</w:t>
            </w:r>
            <w:r>
              <w:rPr>
                <w:rFonts w:eastAsia="宋体"/>
                <w:color w:val="auto"/>
                <w:sz w:val="26"/>
                <w:highlight w:val="none"/>
              </w:rPr>
              <w:t>初期雨水产生量为</w:t>
            </w:r>
            <w:r>
              <w:rPr>
                <w:rFonts w:hint="eastAsia"/>
                <w:color w:val="auto"/>
                <w:sz w:val="26"/>
                <w:highlight w:val="none"/>
                <w:lang w:val="en-US" w:eastAsia="zh-CN"/>
              </w:rPr>
              <w:t>37</w:t>
            </w:r>
            <w:r>
              <w:rPr>
                <w:rFonts w:ascii="Times New Roman" w:eastAsia="宋体"/>
                <w:color w:val="auto"/>
                <w:sz w:val="26"/>
                <w:highlight w:val="none"/>
              </w:rPr>
              <w:t>m</w:t>
            </w:r>
            <w:r>
              <w:rPr>
                <w:rFonts w:hint="eastAsia" w:eastAsia="宋体"/>
                <w:color w:val="auto"/>
                <w:position w:val="8"/>
                <w:sz w:val="26"/>
                <w:highlight w:val="none"/>
                <w:vertAlign w:val="superscript"/>
                <w:lang w:val="en-US" w:eastAsia="zh-CN"/>
              </w:rPr>
              <w:t>3</w:t>
            </w:r>
            <w:r>
              <w:rPr>
                <w:rFonts w:ascii="Times New Roman" w:eastAsia="宋体"/>
                <w:color w:val="auto"/>
                <w:sz w:val="26"/>
                <w:highlight w:val="none"/>
              </w:rPr>
              <w:t>/</w:t>
            </w:r>
            <w:r>
              <w:rPr>
                <w:rFonts w:hint="eastAsia"/>
                <w:color w:val="auto"/>
                <w:sz w:val="26"/>
                <w:highlight w:val="none"/>
                <w:lang w:val="en-US" w:eastAsia="zh-CN"/>
              </w:rPr>
              <w:t>d</w:t>
            </w:r>
            <w:r>
              <w:rPr>
                <w:rFonts w:hint="eastAsia"/>
                <w:color w:val="auto"/>
                <w:sz w:val="26"/>
                <w:highlight w:val="none"/>
                <w:lang w:eastAsia="zh-CN"/>
              </w:rPr>
              <w:t>，</w:t>
            </w:r>
            <w:r>
              <w:rPr>
                <w:rFonts w:hint="eastAsia"/>
                <w:color w:val="auto"/>
                <w:sz w:val="26"/>
                <w:highlight w:val="none"/>
                <w:lang w:val="en-US" w:eastAsia="zh-CN"/>
              </w:rPr>
              <w:t>则初期雨水可完全回用于非雨天洒水降尘。</w:t>
            </w:r>
          </w:p>
          <w:p w14:paraId="4FE2CE14">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auto"/>
                <w:sz w:val="26"/>
                <w:szCs w:val="26"/>
                <w:highlight w:val="none"/>
                <w:lang w:val="en-US" w:eastAsia="zh-CN"/>
              </w:rPr>
            </w:pPr>
            <w:r>
              <w:rPr>
                <w:rFonts w:hint="eastAsia" w:ascii="宋体" w:hAnsi="宋体" w:eastAsia="宋体" w:cs="宋体"/>
                <w:color w:val="auto"/>
                <w:sz w:val="26"/>
                <w:szCs w:val="26"/>
                <w:highlight w:val="none"/>
              </w:rPr>
              <w:t>④</w:t>
            </w:r>
            <w:r>
              <w:rPr>
                <w:rFonts w:hint="eastAsia" w:ascii="Times New Roman" w:hAnsi="Times New Roman"/>
                <w:color w:val="auto"/>
                <w:sz w:val="26"/>
                <w:szCs w:val="26"/>
                <w:highlight w:val="none"/>
              </w:rPr>
              <w:t>车辆冲洗水</w:t>
            </w:r>
          </w:p>
          <w:p w14:paraId="3C0360A0">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color w:val="auto"/>
                <w:sz w:val="26"/>
                <w:szCs w:val="26"/>
                <w:highlight w:val="none"/>
              </w:rPr>
            </w:pPr>
            <w:r>
              <w:rPr>
                <w:rFonts w:hint="eastAsia"/>
                <w:color w:val="auto"/>
                <w:sz w:val="26"/>
                <w:szCs w:val="26"/>
                <w:highlight w:val="none"/>
                <w:lang w:val="en-US" w:eastAsia="zh-CN"/>
              </w:rPr>
              <w:t>本</w:t>
            </w:r>
            <w:r>
              <w:rPr>
                <w:rFonts w:hint="eastAsia" w:ascii="Times New Roman" w:hAnsi="Times New Roman"/>
                <w:color w:val="auto"/>
                <w:sz w:val="26"/>
                <w:szCs w:val="26"/>
                <w:highlight w:val="none"/>
              </w:rPr>
              <w:t>项目原料由车辆运输，在矿区出口处设置洗车平台，每</w:t>
            </w:r>
            <w:r>
              <w:rPr>
                <w:rFonts w:hint="eastAsia"/>
                <w:color w:val="auto"/>
                <w:sz w:val="26"/>
                <w:szCs w:val="26"/>
                <w:highlight w:val="none"/>
                <w:lang w:val="en-US" w:eastAsia="zh-CN"/>
              </w:rPr>
              <w:t>运输</w:t>
            </w:r>
            <w:r>
              <w:rPr>
                <w:rFonts w:hint="eastAsia" w:ascii="Times New Roman" w:hAnsi="Times New Roman"/>
                <w:color w:val="auto"/>
                <w:sz w:val="26"/>
                <w:szCs w:val="26"/>
                <w:highlight w:val="none"/>
              </w:rPr>
              <w:t>两次需清洗一次</w:t>
            </w:r>
            <w:r>
              <w:rPr>
                <w:rFonts w:hint="eastAsia"/>
                <w:color w:val="auto"/>
                <w:sz w:val="26"/>
                <w:szCs w:val="26"/>
                <w:highlight w:val="none"/>
                <w:lang w:eastAsia="zh-CN"/>
              </w:rPr>
              <w:t>，</w:t>
            </w:r>
            <w:r>
              <w:rPr>
                <w:rFonts w:hint="eastAsia" w:ascii="Times New Roman" w:hAnsi="Times New Roman"/>
                <w:color w:val="auto"/>
                <w:sz w:val="26"/>
                <w:szCs w:val="26"/>
                <w:highlight w:val="none"/>
              </w:rPr>
              <w:t>车辆冲洗水量大致为0.05m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/辆·次，</w:t>
            </w:r>
            <w:r>
              <w:rPr>
                <w:rFonts w:hint="eastAsia"/>
                <w:color w:val="auto"/>
                <w:sz w:val="26"/>
                <w:szCs w:val="26"/>
                <w:highlight w:val="none"/>
                <w:lang w:val="en-US" w:eastAsia="zh-CN"/>
              </w:rPr>
              <w:t>故本项目车辆冲洗产生废水量为1.25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w:t>
            </w:r>
            <w:r>
              <w:rPr>
                <w:rFonts w:hint="eastAsia"/>
                <w:color w:val="auto"/>
                <w:sz w:val="26"/>
                <w:szCs w:val="26"/>
                <w:highlight w:val="none"/>
                <w:lang w:val="en-US" w:eastAsia="zh-CN"/>
              </w:rPr>
              <w:t>d（375</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w:t>
            </w:r>
            <w:r>
              <w:rPr>
                <w:rFonts w:hint="eastAsia"/>
                <w:color w:val="auto"/>
                <w:sz w:val="26"/>
                <w:szCs w:val="26"/>
                <w:highlight w:val="none"/>
                <w:lang w:val="en-US" w:eastAsia="zh-CN"/>
              </w:rPr>
              <w:t>）</w:t>
            </w:r>
            <w:r>
              <w:rPr>
                <w:rFonts w:hint="eastAsia" w:ascii="Times New Roman" w:hAnsi="Times New Roman"/>
                <w:color w:val="auto"/>
                <w:sz w:val="26"/>
                <w:szCs w:val="26"/>
                <w:highlight w:val="none"/>
              </w:rPr>
              <w:t>，冲洗废水排放量按用水量的80%考虑，则排放量为</w:t>
            </w:r>
            <w:r>
              <w:rPr>
                <w:rFonts w:hint="eastAsia"/>
                <w:color w:val="auto"/>
                <w:sz w:val="26"/>
                <w:szCs w:val="26"/>
                <w:highlight w:val="none"/>
                <w:lang w:val="en-US" w:eastAsia="zh-CN"/>
              </w:rPr>
              <w:t>300</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rPr>
              <w:t>/a，该废水收集后进入沉淀池中，经沉淀后循环使用，不外排。</w:t>
            </w:r>
          </w:p>
          <w:p w14:paraId="026D973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val="en-US" w:eastAsia="zh-CN"/>
              </w:rPr>
              <w:t>综上，本项目产生的生产废水、生活污水、洗车废水及初期雨水得以合理利用，无外排废水，因此，本项目产生的污废水对地表水环境影响较小，可以接受。</w:t>
            </w:r>
          </w:p>
          <w:p w14:paraId="3D428E9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vertAlign w:val="baseline"/>
                <w:lang w:val="en-US" w:eastAsia="zh-CN"/>
              </w:rPr>
            </w:pP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3</w:t>
            </w: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声环境影响分析</w:t>
            </w:r>
          </w:p>
          <w:p w14:paraId="645CC859">
            <w:pPr>
              <w:pStyle w:val="48"/>
              <w:keepNext w:val="0"/>
              <w:keepLines w:val="0"/>
              <w:pageBreakBefore w:val="0"/>
              <w:widowControl w:val="0"/>
              <w:kinsoku/>
              <w:wordWrap/>
              <w:overflowPunct/>
              <w:topLinePunct w:val="0"/>
              <w:bidi w:val="0"/>
              <w:ind w:firstLine="520"/>
              <w:textAlignment w:val="auto"/>
              <w:rPr>
                <w:rFonts w:hint="eastAsia" w:eastAsia="宋体"/>
                <w:color w:val="auto"/>
                <w:highlight w:val="none"/>
                <w:lang w:eastAsia="zh-CN"/>
              </w:rPr>
            </w:pPr>
            <w:r>
              <w:rPr>
                <w:rFonts w:hint="eastAsia"/>
                <w:color w:val="auto"/>
                <w:highlight w:val="none"/>
                <w:lang w:eastAsia="zh-CN"/>
              </w:rPr>
              <w:t>声环境评价等级：根据《环境影响评价技术导则-声环境》（HJ2.4-2009）5.1声环境影响评价工作等级划分依据包括：①建设项目所在区域的声环境功能区类别；②建设项目建设前后所在区域的声环境质量变化程度；③受建设项目影响人口的数量。</w:t>
            </w:r>
          </w:p>
          <w:p w14:paraId="6C57102C">
            <w:pPr>
              <w:pStyle w:val="48"/>
              <w:keepNext w:val="0"/>
              <w:keepLines w:val="0"/>
              <w:pageBreakBefore w:val="0"/>
              <w:widowControl w:val="0"/>
              <w:kinsoku/>
              <w:wordWrap/>
              <w:overflowPunct/>
              <w:topLinePunct w:val="0"/>
              <w:bidi w:val="0"/>
              <w:ind w:firstLine="520"/>
              <w:textAlignment w:val="auto"/>
              <w:rPr>
                <w:rFonts w:hint="eastAsia"/>
                <w:color w:val="auto"/>
                <w:highlight w:val="none"/>
              </w:rPr>
            </w:pPr>
            <w:r>
              <w:rPr>
                <w:rFonts w:hint="eastAsia"/>
                <w:color w:val="auto"/>
                <w:highlight w:val="none"/>
              </w:rPr>
              <w:t>据导则5.2等级划分内容分析，本项目</w:t>
            </w:r>
            <w:r>
              <w:rPr>
                <w:rFonts w:hint="eastAsia"/>
                <w:color w:val="auto"/>
                <w:highlight w:val="none"/>
                <w:lang w:val="en-US" w:eastAsia="zh-CN"/>
              </w:rPr>
              <w:t>在运营期间主要的噪声污染源为</w:t>
            </w:r>
            <w:r>
              <w:rPr>
                <w:rFonts w:hint="eastAsia" w:ascii="Times New Roman" w:hAnsi="Times New Roman" w:eastAsiaTheme="minorEastAsia"/>
                <w:color w:val="auto"/>
                <w:sz w:val="26"/>
                <w:szCs w:val="26"/>
                <w:highlight w:val="none"/>
                <w:lang w:val="en-US" w:eastAsia="zh-CN"/>
              </w:rPr>
              <w:t>破碎设备、挖掘机、装载机</w:t>
            </w:r>
            <w:r>
              <w:rPr>
                <w:rFonts w:hint="eastAsia" w:eastAsiaTheme="minorEastAsia"/>
                <w:color w:val="auto"/>
                <w:sz w:val="26"/>
                <w:szCs w:val="26"/>
                <w:highlight w:val="none"/>
                <w:lang w:val="en-US" w:eastAsia="zh-CN"/>
              </w:rPr>
              <w:t>等</w:t>
            </w:r>
            <w:r>
              <w:rPr>
                <w:rFonts w:hint="eastAsia"/>
                <w:color w:val="auto"/>
                <w:highlight w:val="none"/>
                <w:lang w:val="en-US" w:eastAsia="zh-CN"/>
              </w:rPr>
              <w:t>设备产生的噪声</w:t>
            </w:r>
            <w:r>
              <w:rPr>
                <w:rFonts w:hint="eastAsia"/>
                <w:color w:val="auto"/>
                <w:highlight w:val="none"/>
              </w:rPr>
              <w:t>；</w:t>
            </w:r>
            <w:r>
              <w:rPr>
                <w:rFonts w:hint="eastAsia"/>
                <w:color w:val="auto"/>
                <w:highlight w:val="none"/>
                <w:lang w:val="en-US" w:eastAsia="zh-CN"/>
              </w:rPr>
              <w:t>本项目</w:t>
            </w:r>
            <w:r>
              <w:rPr>
                <w:rFonts w:hint="eastAsia"/>
                <w:color w:val="auto"/>
                <w:highlight w:val="none"/>
              </w:rPr>
              <w:t>区处于《声环境质量标准》（GB3096-2008）规定的2类标准地区，</w:t>
            </w:r>
            <w:r>
              <w:rPr>
                <w:rFonts w:hint="eastAsia"/>
                <w:color w:val="auto"/>
                <w:highlight w:val="none"/>
                <w:lang w:val="en-US" w:eastAsia="zh-CN"/>
              </w:rPr>
              <w:t>本项目建设位于农村，</w:t>
            </w:r>
            <w:r>
              <w:rPr>
                <w:rFonts w:hint="eastAsia"/>
                <w:color w:val="auto"/>
                <w:highlight w:val="none"/>
              </w:rPr>
              <w:t>人口较少。根据《环境影响评价技术导则-声环境》（HJ2.4-2009），</w:t>
            </w:r>
            <w:r>
              <w:rPr>
                <w:rFonts w:hint="eastAsia"/>
                <w:color w:val="auto"/>
                <w:highlight w:val="none"/>
                <w:lang w:val="en-US" w:eastAsia="zh-CN"/>
              </w:rPr>
              <w:t>该项目</w:t>
            </w:r>
            <w:r>
              <w:rPr>
                <w:rFonts w:hint="eastAsia"/>
                <w:color w:val="auto"/>
                <w:highlight w:val="none"/>
              </w:rPr>
              <w:t>声环境评价工作等级</w:t>
            </w:r>
            <w:r>
              <w:rPr>
                <w:rFonts w:hint="eastAsia"/>
                <w:color w:val="auto"/>
                <w:highlight w:val="none"/>
                <w:lang w:val="en-US" w:eastAsia="zh-CN"/>
              </w:rPr>
              <w:t>应</w:t>
            </w:r>
            <w:r>
              <w:rPr>
                <w:rFonts w:hint="eastAsia"/>
                <w:color w:val="auto"/>
                <w:highlight w:val="none"/>
              </w:rPr>
              <w:t>为二级。</w:t>
            </w:r>
          </w:p>
          <w:p w14:paraId="383EE5F8">
            <w:pPr>
              <w:spacing w:line="480" w:lineRule="exact"/>
              <w:ind w:firstLine="520" w:firstLineChars="200"/>
              <w:rPr>
                <w:rFonts w:ascii="Times New Roman" w:hAnsi="Times New Roman" w:eastAsiaTheme="minorEastAsia"/>
                <w:color w:val="auto"/>
                <w:sz w:val="26"/>
                <w:szCs w:val="26"/>
                <w:highlight w:val="none"/>
              </w:rPr>
            </w:pPr>
            <w:r>
              <w:rPr>
                <w:rFonts w:hint="eastAsia" w:ascii="宋体" w:hAnsi="宋体" w:eastAsia="宋体" w:cs="宋体"/>
                <w:color w:val="auto"/>
                <w:sz w:val="26"/>
                <w:szCs w:val="26"/>
                <w:highlight w:val="none"/>
              </w:rPr>
              <w:t>①</w:t>
            </w:r>
            <w:r>
              <w:rPr>
                <w:rFonts w:ascii="Times New Roman" w:hAnsi="Times New Roman" w:eastAsiaTheme="minorEastAsia"/>
                <w:color w:val="auto"/>
                <w:sz w:val="26"/>
                <w:szCs w:val="26"/>
                <w:highlight w:val="none"/>
              </w:rPr>
              <w:t>噪声源分析</w:t>
            </w:r>
          </w:p>
          <w:p w14:paraId="4A515518">
            <w:pPr>
              <w:spacing w:line="480" w:lineRule="exact"/>
              <w:ind w:firstLine="520" w:firstLineChars="200"/>
              <w:rPr>
                <w:rFonts w:ascii="Times New Roman" w:hAnsi="Times New Roman" w:eastAsiaTheme="minorEastAsia"/>
                <w:color w:val="auto"/>
                <w:sz w:val="26"/>
                <w:szCs w:val="26"/>
                <w:highlight w:val="none"/>
              </w:rPr>
            </w:pPr>
            <w:r>
              <w:rPr>
                <w:rFonts w:hint="eastAsia" w:ascii="Times New Roman" w:hAnsi="Times New Roman" w:eastAsiaTheme="minorEastAsia"/>
                <w:color w:val="auto"/>
                <w:sz w:val="26"/>
                <w:szCs w:val="26"/>
                <w:highlight w:val="none"/>
                <w:lang w:val="en-US" w:eastAsia="zh-CN"/>
              </w:rPr>
              <w:t>本项目</w:t>
            </w:r>
            <w:r>
              <w:rPr>
                <w:rFonts w:ascii="Times New Roman" w:hAnsi="Times New Roman" w:eastAsiaTheme="minorEastAsia"/>
                <w:color w:val="auto"/>
                <w:sz w:val="26"/>
                <w:szCs w:val="26"/>
                <w:highlight w:val="none"/>
              </w:rPr>
              <w:t>运营期间，工业场地主要噪声设备</w:t>
            </w:r>
            <w:r>
              <w:rPr>
                <w:rFonts w:hint="eastAsia" w:ascii="Times New Roman" w:hAnsi="Times New Roman" w:eastAsiaTheme="minorEastAsia"/>
                <w:color w:val="auto"/>
                <w:sz w:val="26"/>
                <w:szCs w:val="26"/>
                <w:highlight w:val="none"/>
                <w:lang w:val="en-US" w:eastAsia="zh-CN"/>
              </w:rPr>
              <w:t>破碎设备、挖掘机、装载机空压机</w:t>
            </w:r>
            <w:r>
              <w:rPr>
                <w:rFonts w:ascii="Times New Roman" w:hAnsi="Times New Roman" w:eastAsiaTheme="minorEastAsia"/>
                <w:color w:val="auto"/>
                <w:sz w:val="26"/>
                <w:szCs w:val="26"/>
                <w:highlight w:val="none"/>
              </w:rPr>
              <w:t>等，设计中对各噪声源采取降噪措施，各噪声源强、降噪措施见表</w:t>
            </w:r>
            <w:r>
              <w:rPr>
                <w:rFonts w:hint="eastAsia" w:eastAsiaTheme="minorEastAsia"/>
                <w:color w:val="auto"/>
                <w:sz w:val="26"/>
                <w:szCs w:val="26"/>
                <w:highlight w:val="none"/>
                <w:lang w:val="en-US" w:eastAsia="zh-CN"/>
              </w:rPr>
              <w:t>7-10</w:t>
            </w:r>
            <w:r>
              <w:rPr>
                <w:rFonts w:ascii="Times New Roman" w:hAnsi="Times New Roman" w:eastAsiaTheme="minorEastAsia"/>
                <w:color w:val="auto"/>
                <w:sz w:val="26"/>
                <w:szCs w:val="26"/>
                <w:highlight w:val="none"/>
              </w:rPr>
              <w:t>。</w:t>
            </w:r>
          </w:p>
          <w:p w14:paraId="671D9978">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color w:val="auto"/>
                <w:sz w:val="26"/>
                <w:szCs w:val="26"/>
                <w:highlight w:val="none"/>
                <w:vertAlign w:val="baseline"/>
              </w:rPr>
            </w:pPr>
            <w:r>
              <w:rPr>
                <w:rFonts w:ascii="Times New Roman" w:hAnsi="Times New Roman" w:eastAsiaTheme="minorEastAsia"/>
                <w:b/>
                <w:color w:val="auto"/>
                <w:sz w:val="21"/>
                <w:szCs w:val="21"/>
                <w:highlight w:val="none"/>
                <w:u w:color="000000"/>
              </w:rPr>
              <w:t>表</w:t>
            </w:r>
            <w:r>
              <w:rPr>
                <w:rFonts w:hint="eastAsia" w:ascii="Times New Roman" w:hAnsi="Times New Roman" w:eastAsiaTheme="minorEastAsia"/>
                <w:b/>
                <w:color w:val="auto"/>
                <w:sz w:val="21"/>
                <w:szCs w:val="21"/>
                <w:highlight w:val="none"/>
                <w:u w:color="000000"/>
                <w:lang w:val="en-US" w:eastAsia="zh-CN"/>
              </w:rPr>
              <w:t>7-10</w:t>
            </w:r>
            <w:r>
              <w:rPr>
                <w:rFonts w:ascii="Times New Roman" w:hAnsi="Times New Roman" w:eastAsiaTheme="minorEastAsia"/>
                <w:b/>
                <w:color w:val="auto"/>
                <w:sz w:val="21"/>
                <w:szCs w:val="21"/>
                <w:highlight w:val="none"/>
                <w:u w:color="000000"/>
              </w:rPr>
              <w:t xml:space="preserve">  主要噪声源源强和降噪措施一览表</w:t>
            </w:r>
          </w:p>
          <w:tbl>
            <w:tblPr>
              <w:tblStyle w:val="23"/>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73"/>
              <w:gridCol w:w="1091"/>
              <w:gridCol w:w="1962"/>
              <w:gridCol w:w="1427"/>
              <w:gridCol w:w="1248"/>
            </w:tblGrid>
            <w:tr w14:paraId="3235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0172ED9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序号</w:t>
                  </w:r>
                </w:p>
              </w:tc>
              <w:tc>
                <w:tcPr>
                  <w:tcW w:w="1473" w:type="dxa"/>
                  <w:vAlign w:val="center"/>
                </w:tcPr>
                <w:p w14:paraId="6905C57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设备名称</w:t>
                  </w:r>
                </w:p>
              </w:tc>
              <w:tc>
                <w:tcPr>
                  <w:tcW w:w="1091" w:type="dxa"/>
                  <w:vAlign w:val="center"/>
                </w:tcPr>
                <w:p w14:paraId="3A30820D">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噪声级（dB）</w:t>
                  </w:r>
                </w:p>
              </w:tc>
              <w:tc>
                <w:tcPr>
                  <w:tcW w:w="1962" w:type="dxa"/>
                  <w:vAlign w:val="center"/>
                </w:tcPr>
                <w:p w14:paraId="129B2F2A">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降噪措施</w:t>
                  </w:r>
                </w:p>
              </w:tc>
              <w:tc>
                <w:tcPr>
                  <w:tcW w:w="1427" w:type="dxa"/>
                  <w:vAlign w:val="center"/>
                </w:tcPr>
                <w:p w14:paraId="7D47371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color w:val="auto"/>
                      <w:sz w:val="22"/>
                      <w:szCs w:val="22"/>
                      <w:highlight w:val="none"/>
                      <w:vertAlign w:val="baseline"/>
                      <w:lang w:val="en-US" w:eastAsia="zh-CN"/>
                    </w:rPr>
                  </w:pPr>
                  <w:r>
                    <w:rPr>
                      <w:rFonts w:ascii="Times New Roman" w:hAnsi="Times New Roman" w:eastAsiaTheme="minorEastAsia"/>
                      <w:bCs/>
                      <w:color w:val="auto"/>
                      <w:kern w:val="28"/>
                      <w:sz w:val="22"/>
                      <w:highlight w:val="none"/>
                    </w:rPr>
                    <w:t>采取措施后噪声级（dB）</w:t>
                  </w:r>
                </w:p>
              </w:tc>
              <w:tc>
                <w:tcPr>
                  <w:tcW w:w="1248" w:type="dxa"/>
                  <w:vAlign w:val="center"/>
                </w:tcPr>
                <w:p w14:paraId="38E3DC99">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排放特征</w:t>
                  </w:r>
                </w:p>
              </w:tc>
            </w:tr>
            <w:tr w14:paraId="5E36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1402ABC3">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w:t>
                  </w:r>
                </w:p>
              </w:tc>
              <w:tc>
                <w:tcPr>
                  <w:tcW w:w="1473" w:type="dxa"/>
                  <w:vAlign w:val="center"/>
                </w:tcPr>
                <w:p w14:paraId="18B3DBF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潜孔钻机</w:t>
                  </w:r>
                </w:p>
              </w:tc>
              <w:tc>
                <w:tcPr>
                  <w:tcW w:w="1091" w:type="dxa"/>
                  <w:vAlign w:val="center"/>
                </w:tcPr>
                <w:p w14:paraId="15EE553A">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93</w:t>
                  </w:r>
                </w:p>
              </w:tc>
              <w:tc>
                <w:tcPr>
                  <w:tcW w:w="1962" w:type="dxa"/>
                  <w:vAlign w:val="center"/>
                </w:tcPr>
                <w:p w14:paraId="28168E6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坑壁阻隔</w:t>
                  </w:r>
                </w:p>
              </w:tc>
              <w:tc>
                <w:tcPr>
                  <w:tcW w:w="1427" w:type="dxa"/>
                  <w:vAlign w:val="center"/>
                </w:tcPr>
                <w:p w14:paraId="42E74DB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73</w:t>
                  </w:r>
                </w:p>
              </w:tc>
              <w:tc>
                <w:tcPr>
                  <w:tcW w:w="1248" w:type="dxa"/>
                  <w:vAlign w:val="center"/>
                </w:tcPr>
                <w:p w14:paraId="773DD84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间断</w:t>
                  </w:r>
                </w:p>
              </w:tc>
            </w:tr>
            <w:tr w14:paraId="6F0C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799A13B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2</w:t>
                  </w:r>
                </w:p>
              </w:tc>
              <w:tc>
                <w:tcPr>
                  <w:tcW w:w="1473" w:type="dxa"/>
                  <w:vAlign w:val="center"/>
                </w:tcPr>
                <w:p w14:paraId="67E4328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破碎锤</w:t>
                  </w:r>
                </w:p>
              </w:tc>
              <w:tc>
                <w:tcPr>
                  <w:tcW w:w="1091" w:type="dxa"/>
                  <w:vAlign w:val="center"/>
                </w:tcPr>
                <w:p w14:paraId="3C20075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1962" w:type="dxa"/>
                  <w:vAlign w:val="center"/>
                </w:tcPr>
                <w:p w14:paraId="53F08B5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427" w:type="dxa"/>
                  <w:vAlign w:val="center"/>
                </w:tcPr>
                <w:p w14:paraId="238216A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80</w:t>
                  </w:r>
                </w:p>
              </w:tc>
              <w:tc>
                <w:tcPr>
                  <w:tcW w:w="1248" w:type="dxa"/>
                  <w:vAlign w:val="center"/>
                </w:tcPr>
                <w:p w14:paraId="345AC98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3CF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5AA6018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3</w:t>
                  </w:r>
                </w:p>
              </w:tc>
              <w:tc>
                <w:tcPr>
                  <w:tcW w:w="1473" w:type="dxa"/>
                  <w:vAlign w:val="center"/>
                </w:tcPr>
                <w:p w14:paraId="727142C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自卸汽车</w:t>
                  </w:r>
                </w:p>
              </w:tc>
              <w:tc>
                <w:tcPr>
                  <w:tcW w:w="1091" w:type="dxa"/>
                  <w:vAlign w:val="center"/>
                </w:tcPr>
                <w:p w14:paraId="200D162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85</w:t>
                  </w:r>
                </w:p>
              </w:tc>
              <w:tc>
                <w:tcPr>
                  <w:tcW w:w="1962" w:type="dxa"/>
                  <w:vAlign w:val="center"/>
                </w:tcPr>
                <w:p w14:paraId="7143D58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427" w:type="dxa"/>
                  <w:vAlign w:val="center"/>
                </w:tcPr>
                <w:p w14:paraId="09734D1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70</w:t>
                  </w:r>
                </w:p>
              </w:tc>
              <w:tc>
                <w:tcPr>
                  <w:tcW w:w="1248" w:type="dxa"/>
                  <w:vAlign w:val="center"/>
                </w:tcPr>
                <w:p w14:paraId="715F44F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319A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FC5D3B5">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4</w:t>
                  </w:r>
                </w:p>
              </w:tc>
              <w:tc>
                <w:tcPr>
                  <w:tcW w:w="1473" w:type="dxa"/>
                  <w:vAlign w:val="center"/>
                </w:tcPr>
                <w:p w14:paraId="4F67069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挖掘机</w:t>
                  </w:r>
                </w:p>
              </w:tc>
              <w:tc>
                <w:tcPr>
                  <w:tcW w:w="1091" w:type="dxa"/>
                  <w:vAlign w:val="center"/>
                </w:tcPr>
                <w:p w14:paraId="3EF30C8A">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1962" w:type="dxa"/>
                  <w:vAlign w:val="center"/>
                </w:tcPr>
                <w:p w14:paraId="5938A8B2">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427" w:type="dxa"/>
                  <w:vAlign w:val="center"/>
                </w:tcPr>
                <w:p w14:paraId="4FCC445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75</w:t>
                  </w:r>
                </w:p>
              </w:tc>
              <w:tc>
                <w:tcPr>
                  <w:tcW w:w="1248" w:type="dxa"/>
                  <w:vAlign w:val="center"/>
                </w:tcPr>
                <w:p w14:paraId="5FCDFA28">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6975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4498184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5</w:t>
                  </w:r>
                </w:p>
              </w:tc>
              <w:tc>
                <w:tcPr>
                  <w:tcW w:w="1473" w:type="dxa"/>
                  <w:vAlign w:val="center"/>
                </w:tcPr>
                <w:p w14:paraId="57612F6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装载机</w:t>
                  </w:r>
                </w:p>
              </w:tc>
              <w:tc>
                <w:tcPr>
                  <w:tcW w:w="1091" w:type="dxa"/>
                  <w:vAlign w:val="center"/>
                </w:tcPr>
                <w:p w14:paraId="2A257AB5">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90</w:t>
                  </w:r>
                </w:p>
              </w:tc>
              <w:tc>
                <w:tcPr>
                  <w:tcW w:w="1962" w:type="dxa"/>
                  <w:vAlign w:val="center"/>
                </w:tcPr>
                <w:p w14:paraId="064AB63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坑壁阻隔</w:t>
                  </w:r>
                </w:p>
              </w:tc>
              <w:tc>
                <w:tcPr>
                  <w:tcW w:w="1427" w:type="dxa"/>
                  <w:vAlign w:val="center"/>
                </w:tcPr>
                <w:p w14:paraId="576DC0D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70</w:t>
                  </w:r>
                </w:p>
              </w:tc>
              <w:tc>
                <w:tcPr>
                  <w:tcW w:w="1248" w:type="dxa"/>
                  <w:vAlign w:val="center"/>
                </w:tcPr>
                <w:p w14:paraId="1E8B377A">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7563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9BBE97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6</w:t>
                  </w:r>
                </w:p>
              </w:tc>
              <w:tc>
                <w:tcPr>
                  <w:tcW w:w="1473" w:type="dxa"/>
                  <w:vAlign w:val="center"/>
                </w:tcPr>
                <w:p w14:paraId="41E8B72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取水泵</w:t>
                  </w:r>
                </w:p>
              </w:tc>
              <w:tc>
                <w:tcPr>
                  <w:tcW w:w="1091" w:type="dxa"/>
                  <w:vAlign w:val="center"/>
                </w:tcPr>
                <w:p w14:paraId="452B6B32">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80</w:t>
                  </w:r>
                </w:p>
              </w:tc>
              <w:tc>
                <w:tcPr>
                  <w:tcW w:w="1962" w:type="dxa"/>
                  <w:vAlign w:val="center"/>
                </w:tcPr>
                <w:p w14:paraId="65C0E21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color w:val="auto"/>
                      <w:sz w:val="22"/>
                      <w:szCs w:val="22"/>
                      <w:highlight w:val="none"/>
                      <w:vertAlign w:val="baseline"/>
                      <w:lang w:val="en-US"/>
                    </w:rPr>
                  </w:pPr>
                  <w:r>
                    <w:rPr>
                      <w:rFonts w:hint="eastAsia"/>
                      <w:color w:val="auto"/>
                      <w:sz w:val="22"/>
                      <w:szCs w:val="22"/>
                      <w:highlight w:val="none"/>
                      <w:vertAlign w:val="baseline"/>
                      <w:lang w:val="en-US" w:eastAsia="zh-CN"/>
                    </w:rPr>
                    <w:t>水体阻隔</w:t>
                  </w:r>
                </w:p>
              </w:tc>
              <w:tc>
                <w:tcPr>
                  <w:tcW w:w="1427" w:type="dxa"/>
                  <w:vAlign w:val="center"/>
                </w:tcPr>
                <w:p w14:paraId="0BA3CEB7">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60</w:t>
                  </w:r>
                </w:p>
              </w:tc>
              <w:tc>
                <w:tcPr>
                  <w:tcW w:w="1248" w:type="dxa"/>
                  <w:vAlign w:val="center"/>
                </w:tcPr>
                <w:p w14:paraId="6349E548">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间断</w:t>
                  </w:r>
                </w:p>
              </w:tc>
            </w:tr>
            <w:tr w14:paraId="513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43D22F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7</w:t>
                  </w:r>
                </w:p>
              </w:tc>
              <w:tc>
                <w:tcPr>
                  <w:tcW w:w="1473" w:type="dxa"/>
                  <w:vAlign w:val="center"/>
                </w:tcPr>
                <w:p w14:paraId="581C5F0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破碎机</w:t>
                  </w:r>
                </w:p>
              </w:tc>
              <w:tc>
                <w:tcPr>
                  <w:tcW w:w="1091" w:type="dxa"/>
                  <w:vAlign w:val="center"/>
                </w:tcPr>
                <w:p w14:paraId="5C29C472">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95</w:t>
                  </w:r>
                </w:p>
              </w:tc>
              <w:tc>
                <w:tcPr>
                  <w:tcW w:w="1962" w:type="dxa"/>
                  <w:vAlign w:val="center"/>
                </w:tcPr>
                <w:p w14:paraId="3137B7E4">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427" w:type="dxa"/>
                  <w:vAlign w:val="center"/>
                </w:tcPr>
                <w:p w14:paraId="61FD640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80</w:t>
                  </w:r>
                </w:p>
              </w:tc>
              <w:tc>
                <w:tcPr>
                  <w:tcW w:w="1248" w:type="dxa"/>
                  <w:vAlign w:val="center"/>
                </w:tcPr>
                <w:p w14:paraId="506DFF0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r w14:paraId="3FB5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AE7205D">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8</w:t>
                  </w:r>
                </w:p>
              </w:tc>
              <w:tc>
                <w:tcPr>
                  <w:tcW w:w="1473" w:type="dxa"/>
                  <w:vAlign w:val="center"/>
                </w:tcPr>
                <w:p w14:paraId="3DD896D7">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振动给料机</w:t>
                  </w:r>
                </w:p>
              </w:tc>
              <w:tc>
                <w:tcPr>
                  <w:tcW w:w="1091" w:type="dxa"/>
                  <w:vAlign w:val="center"/>
                </w:tcPr>
                <w:p w14:paraId="185FE05A">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90</w:t>
                  </w:r>
                </w:p>
              </w:tc>
              <w:tc>
                <w:tcPr>
                  <w:tcW w:w="1962" w:type="dxa"/>
                  <w:vAlign w:val="center"/>
                </w:tcPr>
                <w:p w14:paraId="4F1DF50F">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427" w:type="dxa"/>
                  <w:vAlign w:val="center"/>
                </w:tcPr>
                <w:p w14:paraId="48DFE76D">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70</w:t>
                  </w:r>
                </w:p>
              </w:tc>
              <w:tc>
                <w:tcPr>
                  <w:tcW w:w="1248" w:type="dxa"/>
                  <w:vAlign w:val="center"/>
                </w:tcPr>
                <w:p w14:paraId="78316540">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r w14:paraId="3F1F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6116A3FE">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9</w:t>
                  </w:r>
                </w:p>
              </w:tc>
              <w:tc>
                <w:tcPr>
                  <w:tcW w:w="1473" w:type="dxa"/>
                  <w:vAlign w:val="center"/>
                </w:tcPr>
                <w:p w14:paraId="70668DDB">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振动筛</w:t>
                  </w:r>
                </w:p>
              </w:tc>
              <w:tc>
                <w:tcPr>
                  <w:tcW w:w="1091" w:type="dxa"/>
                  <w:vAlign w:val="center"/>
                </w:tcPr>
                <w:p w14:paraId="1268136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90</w:t>
                  </w:r>
                </w:p>
              </w:tc>
              <w:tc>
                <w:tcPr>
                  <w:tcW w:w="1962" w:type="dxa"/>
                  <w:vAlign w:val="center"/>
                </w:tcPr>
                <w:p w14:paraId="07EA233A">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减震、消声隔声</w:t>
                  </w:r>
                </w:p>
              </w:tc>
              <w:tc>
                <w:tcPr>
                  <w:tcW w:w="1427" w:type="dxa"/>
                  <w:vAlign w:val="center"/>
                </w:tcPr>
                <w:p w14:paraId="4F3B1A4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75</w:t>
                  </w:r>
                </w:p>
              </w:tc>
              <w:tc>
                <w:tcPr>
                  <w:tcW w:w="1248" w:type="dxa"/>
                  <w:vAlign w:val="center"/>
                </w:tcPr>
                <w:p w14:paraId="149E1DB6">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连续</w:t>
                  </w:r>
                </w:p>
              </w:tc>
            </w:tr>
            <w:tr w14:paraId="17E8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14:paraId="3F376B54">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color w:val="auto"/>
                      <w:sz w:val="22"/>
                      <w:szCs w:val="22"/>
                      <w:highlight w:val="none"/>
                      <w:vertAlign w:val="baseline"/>
                      <w:lang w:val="en-US" w:eastAsia="zh-CN"/>
                    </w:rPr>
                    <w:t>10</w:t>
                  </w:r>
                </w:p>
              </w:tc>
              <w:tc>
                <w:tcPr>
                  <w:tcW w:w="1473" w:type="dxa"/>
                  <w:vAlign w:val="center"/>
                </w:tcPr>
                <w:p w14:paraId="710B998C">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空压机</w:t>
                  </w:r>
                </w:p>
              </w:tc>
              <w:tc>
                <w:tcPr>
                  <w:tcW w:w="1091" w:type="dxa"/>
                  <w:vAlign w:val="center"/>
                </w:tcPr>
                <w:p w14:paraId="5A32743B">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85</w:t>
                  </w:r>
                </w:p>
              </w:tc>
              <w:tc>
                <w:tcPr>
                  <w:tcW w:w="1962" w:type="dxa"/>
                  <w:vAlign w:val="center"/>
                </w:tcPr>
                <w:p w14:paraId="78D54E0F">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减震、消声隔声</w:t>
                  </w:r>
                </w:p>
              </w:tc>
              <w:tc>
                <w:tcPr>
                  <w:tcW w:w="1427" w:type="dxa"/>
                  <w:vAlign w:val="center"/>
                </w:tcPr>
                <w:p w14:paraId="3C13F20A">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70</w:t>
                  </w:r>
                </w:p>
              </w:tc>
              <w:tc>
                <w:tcPr>
                  <w:tcW w:w="1248" w:type="dxa"/>
                  <w:vAlign w:val="center"/>
                </w:tcPr>
                <w:p w14:paraId="24546BAB">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color w:val="auto"/>
                      <w:sz w:val="22"/>
                      <w:szCs w:val="22"/>
                      <w:highlight w:val="none"/>
                      <w:vertAlign w:val="baseline"/>
                    </w:rPr>
                  </w:pPr>
                  <w:r>
                    <w:rPr>
                      <w:rFonts w:hint="eastAsia"/>
                      <w:color w:val="auto"/>
                      <w:sz w:val="22"/>
                      <w:szCs w:val="22"/>
                      <w:highlight w:val="none"/>
                      <w:vertAlign w:val="baseline"/>
                      <w:lang w:val="en-US" w:eastAsia="zh-CN"/>
                    </w:rPr>
                    <w:t>连续</w:t>
                  </w:r>
                </w:p>
              </w:tc>
            </w:tr>
          </w:tbl>
          <w:p w14:paraId="53501E90">
            <w:pPr>
              <w:spacing w:line="480" w:lineRule="exact"/>
              <w:ind w:firstLine="520" w:firstLineChars="200"/>
              <w:rPr>
                <w:rFonts w:ascii="Times New Roman" w:hAnsi="Times New Roman" w:eastAsiaTheme="minorEastAsia"/>
                <w:color w:val="auto"/>
                <w:sz w:val="26"/>
                <w:szCs w:val="26"/>
                <w:highlight w:val="none"/>
              </w:rPr>
            </w:pPr>
            <w:r>
              <w:rPr>
                <w:rFonts w:hint="eastAsia" w:ascii="宋体" w:hAnsi="宋体" w:eastAsia="宋体" w:cs="宋体"/>
                <w:color w:val="auto"/>
                <w:sz w:val="26"/>
                <w:szCs w:val="26"/>
                <w:highlight w:val="none"/>
              </w:rPr>
              <w:t>②</w:t>
            </w:r>
            <w:r>
              <w:rPr>
                <w:rFonts w:ascii="Times New Roman" w:hAnsi="Times New Roman" w:eastAsiaTheme="minorEastAsia"/>
                <w:color w:val="auto"/>
                <w:sz w:val="26"/>
                <w:szCs w:val="26"/>
                <w:highlight w:val="none"/>
              </w:rPr>
              <w:t>预测模式</w:t>
            </w:r>
          </w:p>
          <w:p w14:paraId="4DCF7CC5">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运营期噪声源主要为点声源，评价采用点声源模式预测噪声源对环境的影响，预测仅考虑距离衰减。预测噪声源强采取措施后的噪声值，预测时噪声源强取采取措施后的噪声值。</w:t>
            </w:r>
          </w:p>
          <w:p w14:paraId="7CD729AA">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距离衰减计算模式：</w:t>
            </w:r>
          </w:p>
          <w:p w14:paraId="702BF762">
            <w:pPr>
              <w:spacing w:line="460" w:lineRule="exact"/>
              <w:ind w:left="522" w:firstLine="520"/>
              <w:jc w:val="center"/>
              <w:rPr>
                <w:rFonts w:ascii="Times New Roman" w:hAnsi="Times New Roman" w:eastAsiaTheme="minorEastAsia"/>
                <w:color w:val="auto"/>
                <w:highlight w:val="none"/>
              </w:rPr>
            </w:pPr>
            <w:r>
              <w:rPr>
                <w:rFonts w:ascii="Times New Roman" w:hAnsi="Times New Roman" w:eastAsiaTheme="minorEastAsia"/>
                <w:color w:val="auto"/>
                <w:highlight w:val="none"/>
              </w:rPr>
              <w:drawing>
                <wp:inline distT="0" distB="0" distL="0" distR="0">
                  <wp:extent cx="1447800" cy="314325"/>
                  <wp:effectExtent l="0" t="0" r="0" b="9525"/>
                  <wp:docPr id="1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6"/>
                          <pic:cNvPicPr>
                            <a:picLocks noChangeAspect="1" noChangeArrowheads="1"/>
                          </pic:cNvPicPr>
                        </pic:nvPicPr>
                        <pic:blipFill>
                          <a:blip r:embed="rId24" cstate="print"/>
                          <a:srcRect/>
                          <a:stretch>
                            <a:fillRect/>
                          </a:stretch>
                        </pic:blipFill>
                        <pic:spPr>
                          <a:xfrm>
                            <a:off x="0" y="0"/>
                            <a:ext cx="1447800" cy="314325"/>
                          </a:xfrm>
                          <a:prstGeom prst="rect">
                            <a:avLst/>
                          </a:prstGeom>
                          <a:noFill/>
                          <a:ln w="9525">
                            <a:noFill/>
                            <a:miter lim="800000"/>
                            <a:headEnd/>
                            <a:tailEnd/>
                          </a:ln>
                        </pic:spPr>
                      </pic:pic>
                    </a:graphicData>
                  </a:graphic>
                </wp:inline>
              </w:drawing>
            </w:r>
          </w:p>
          <w:p w14:paraId="77D0CD59">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式中：Lr——评价点噪声预测值，dB(A)；</w:t>
            </w:r>
          </w:p>
          <w:p w14:paraId="45714C16">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 xml:space="preserve">      L</w:t>
            </w:r>
            <w:r>
              <w:rPr>
                <w:rFonts w:ascii="Times New Roman" w:hAnsi="Times New Roman" w:eastAsiaTheme="minorEastAsia"/>
                <w:color w:val="auto"/>
                <w:sz w:val="26"/>
                <w:szCs w:val="26"/>
                <w:highlight w:val="none"/>
                <w:vertAlign w:val="subscript"/>
              </w:rPr>
              <w:t>0</w:t>
            </w:r>
            <w:r>
              <w:rPr>
                <w:rFonts w:ascii="Times New Roman" w:hAnsi="Times New Roman" w:eastAsiaTheme="minorEastAsia"/>
                <w:color w:val="auto"/>
                <w:sz w:val="26"/>
                <w:szCs w:val="26"/>
                <w:highlight w:val="none"/>
              </w:rPr>
              <w:t>——位置r</w:t>
            </w:r>
            <w:r>
              <w:rPr>
                <w:rFonts w:ascii="Times New Roman" w:hAnsi="Times New Roman" w:eastAsiaTheme="minorEastAsia"/>
                <w:color w:val="auto"/>
                <w:sz w:val="26"/>
                <w:szCs w:val="26"/>
                <w:highlight w:val="none"/>
                <w:vertAlign w:val="subscript"/>
              </w:rPr>
              <w:t>0</w:t>
            </w:r>
            <w:r>
              <w:rPr>
                <w:rFonts w:ascii="Times New Roman" w:hAnsi="Times New Roman" w:eastAsiaTheme="minorEastAsia"/>
                <w:color w:val="auto"/>
                <w:sz w:val="26"/>
                <w:szCs w:val="26"/>
                <w:highlight w:val="none"/>
              </w:rPr>
              <w:t>处的声级，dB(A)；</w:t>
            </w:r>
          </w:p>
          <w:p w14:paraId="33485F79">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 xml:space="preserve">      r——为预测点距声源距离，m。</w:t>
            </w:r>
          </w:p>
          <w:p w14:paraId="00FA105F">
            <w:pPr>
              <w:spacing w:line="480" w:lineRule="exact"/>
              <w:ind w:firstLine="1300" w:firstLineChars="5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r</w:t>
            </w:r>
            <w:r>
              <w:rPr>
                <w:rFonts w:ascii="Times New Roman" w:hAnsi="Times New Roman" w:eastAsiaTheme="minorEastAsia"/>
                <w:color w:val="auto"/>
                <w:sz w:val="26"/>
                <w:szCs w:val="26"/>
                <w:highlight w:val="none"/>
                <w:vertAlign w:val="subscript"/>
              </w:rPr>
              <w:t>0</w:t>
            </w:r>
            <w:r>
              <w:rPr>
                <w:rFonts w:ascii="Times New Roman" w:hAnsi="Times New Roman" w:eastAsiaTheme="minorEastAsia"/>
                <w:color w:val="auto"/>
                <w:sz w:val="26"/>
                <w:szCs w:val="26"/>
                <w:highlight w:val="none"/>
              </w:rPr>
              <w:t>——为参考点距声源距离，m。</w:t>
            </w:r>
          </w:p>
          <w:p w14:paraId="1B104B3E">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声压级合成模式：</w:t>
            </w:r>
          </w:p>
          <w:p w14:paraId="08846219">
            <w:pPr>
              <w:spacing w:line="360" w:lineRule="auto"/>
              <w:ind w:left="522" w:firstLine="520"/>
              <w:jc w:val="center"/>
              <w:rPr>
                <w:rFonts w:ascii="Times New Roman" w:hAnsi="Times New Roman" w:eastAsiaTheme="minorEastAsia"/>
                <w:color w:val="auto"/>
                <w:highlight w:val="none"/>
              </w:rPr>
            </w:pPr>
            <w:r>
              <w:rPr>
                <w:rFonts w:ascii="Times New Roman" w:hAnsi="Times New Roman" w:eastAsiaTheme="minorEastAsia"/>
                <w:color w:val="auto"/>
                <w:highlight w:val="none"/>
              </w:rPr>
              <w:drawing>
                <wp:inline distT="0" distB="0" distL="0" distR="0">
                  <wp:extent cx="1352550" cy="457200"/>
                  <wp:effectExtent l="0" t="0" r="0" b="0"/>
                  <wp:docPr id="1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2"/>
                          <pic:cNvPicPr>
                            <a:picLocks noChangeAspect="1" noChangeArrowheads="1"/>
                          </pic:cNvPicPr>
                        </pic:nvPicPr>
                        <pic:blipFill>
                          <a:blip r:embed="rId25" cstate="print"/>
                          <a:srcRect/>
                          <a:stretch>
                            <a:fillRect/>
                          </a:stretch>
                        </pic:blipFill>
                        <pic:spPr>
                          <a:xfrm>
                            <a:off x="0" y="0"/>
                            <a:ext cx="1352550" cy="457200"/>
                          </a:xfrm>
                          <a:prstGeom prst="rect">
                            <a:avLst/>
                          </a:prstGeom>
                          <a:noFill/>
                          <a:ln w="9525">
                            <a:noFill/>
                            <a:miter lim="800000"/>
                            <a:headEnd/>
                            <a:tailEnd/>
                          </a:ln>
                        </pic:spPr>
                      </pic:pic>
                    </a:graphicData>
                  </a:graphic>
                </wp:inline>
              </w:drawing>
            </w:r>
          </w:p>
          <w:p w14:paraId="069ADB18">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式中：</w:t>
            </w:r>
          </w:p>
          <w:p w14:paraId="40B995DA">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drawing>
                <wp:inline distT="0" distB="0" distL="0" distR="0">
                  <wp:extent cx="247650" cy="247650"/>
                  <wp:effectExtent l="0" t="0" r="0" b="0"/>
                  <wp:docPr id="1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3"/>
                          <pic:cNvPicPr>
                            <a:picLocks noChangeAspect="1" noChangeArrowheads="1"/>
                          </pic:cNvPicPr>
                        </pic:nvPicPr>
                        <pic:blipFill>
                          <a:blip r:embed="rId26" cstate="print"/>
                          <a:srcRect/>
                          <a:stretch>
                            <a:fillRect/>
                          </a:stretch>
                        </pic:blipFill>
                        <pic:spPr>
                          <a:xfrm>
                            <a:off x="0" y="0"/>
                            <a:ext cx="247650" cy="247650"/>
                          </a:xfrm>
                          <a:prstGeom prst="rect">
                            <a:avLst/>
                          </a:prstGeom>
                          <a:noFill/>
                          <a:ln w="9525">
                            <a:noFill/>
                            <a:miter lim="800000"/>
                            <a:headEnd/>
                            <a:tailEnd/>
                          </a:ln>
                        </pic:spPr>
                      </pic:pic>
                    </a:graphicData>
                  </a:graphic>
                </wp:inline>
              </w:drawing>
            </w:r>
            <w:r>
              <w:rPr>
                <w:rFonts w:ascii="Times New Roman" w:hAnsi="Times New Roman" w:eastAsiaTheme="minorEastAsia"/>
                <w:color w:val="auto"/>
                <w:sz w:val="26"/>
                <w:szCs w:val="26"/>
                <w:highlight w:val="none"/>
              </w:rPr>
              <w:t>—预测点总声压级，dB（A）；</w:t>
            </w:r>
          </w:p>
          <w:p w14:paraId="62BA9C21">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position w:val="-12"/>
                <w:sz w:val="26"/>
                <w:szCs w:val="26"/>
                <w:highlight w:val="none"/>
              </w:rPr>
              <w:drawing>
                <wp:inline distT="0" distB="0" distL="0" distR="0">
                  <wp:extent cx="171450" cy="266700"/>
                  <wp:effectExtent l="0" t="0" r="0" b="0"/>
                  <wp:docPr id="1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4"/>
                          <pic:cNvPicPr>
                            <a:picLocks noChangeAspect="1" noChangeArrowheads="1"/>
                          </pic:cNvPicPr>
                        </pic:nvPicPr>
                        <pic:blipFill>
                          <a:blip r:embed="rId27" cstate="print"/>
                          <a:srcRect/>
                          <a:stretch>
                            <a:fillRect/>
                          </a:stretch>
                        </pic:blipFill>
                        <pic:spPr>
                          <a:xfrm>
                            <a:off x="0" y="0"/>
                            <a:ext cx="171450" cy="266700"/>
                          </a:xfrm>
                          <a:prstGeom prst="rect">
                            <a:avLst/>
                          </a:prstGeom>
                          <a:noFill/>
                          <a:ln w="9525">
                            <a:noFill/>
                            <a:miter lim="800000"/>
                            <a:headEnd/>
                            <a:tailEnd/>
                          </a:ln>
                        </pic:spPr>
                      </pic:pic>
                    </a:graphicData>
                  </a:graphic>
                </wp:inline>
              </w:drawing>
            </w:r>
            <w:r>
              <w:rPr>
                <w:rFonts w:ascii="Times New Roman" w:hAnsi="Times New Roman" w:eastAsiaTheme="minorEastAsia"/>
                <w:color w:val="auto"/>
                <w:sz w:val="26"/>
                <w:szCs w:val="26"/>
                <w:highlight w:val="none"/>
              </w:rPr>
              <w:t>—第i个点声源在预测点产生的A声压级，dB（A）；</w:t>
            </w:r>
          </w:p>
          <w:p w14:paraId="4022C107">
            <w:pPr>
              <w:spacing w:line="480" w:lineRule="exact"/>
              <w:ind w:firstLine="520" w:firstLineChars="200"/>
              <w:rPr>
                <w:rFonts w:ascii="Times New Roman" w:hAnsi="Times New Roman" w:eastAsiaTheme="minorEastAsia"/>
                <w:color w:val="auto"/>
                <w:sz w:val="26"/>
                <w:szCs w:val="26"/>
                <w:highlight w:val="none"/>
              </w:rPr>
            </w:pPr>
            <w:r>
              <w:rPr>
                <w:rFonts w:ascii="Times New Roman" w:hAnsi="Times New Roman" w:eastAsiaTheme="minorEastAsia"/>
                <w:color w:val="auto"/>
                <w:sz w:val="26"/>
                <w:szCs w:val="26"/>
                <w:highlight w:val="none"/>
              </w:rPr>
              <w:t>N——声源个数。</w:t>
            </w:r>
          </w:p>
          <w:p w14:paraId="09539AA7">
            <w:pPr>
              <w:spacing w:line="480" w:lineRule="exact"/>
              <w:ind w:firstLine="520" w:firstLineChars="200"/>
              <w:rPr>
                <w:rFonts w:ascii="Times New Roman" w:hAnsi="Times New Roman" w:eastAsiaTheme="minorEastAsia"/>
                <w:color w:val="auto"/>
                <w:sz w:val="26"/>
                <w:szCs w:val="26"/>
                <w:highlight w:val="none"/>
              </w:rPr>
            </w:pPr>
            <w:r>
              <w:rPr>
                <w:rFonts w:hint="eastAsia" w:ascii="宋体" w:hAnsi="宋体" w:eastAsia="宋体" w:cs="宋体"/>
                <w:color w:val="auto"/>
                <w:sz w:val="26"/>
                <w:szCs w:val="26"/>
                <w:highlight w:val="none"/>
              </w:rPr>
              <w:t>③</w:t>
            </w:r>
            <w:r>
              <w:rPr>
                <w:rFonts w:ascii="Times New Roman" w:hAnsi="Times New Roman" w:eastAsiaTheme="minorEastAsia"/>
                <w:color w:val="auto"/>
                <w:sz w:val="26"/>
                <w:szCs w:val="26"/>
                <w:highlight w:val="none"/>
              </w:rPr>
              <w:t>预测结果</w:t>
            </w:r>
          </w:p>
          <w:p w14:paraId="3CF22B1F">
            <w:pPr>
              <w:spacing w:line="480" w:lineRule="exact"/>
              <w:ind w:firstLine="520" w:firstLineChars="200"/>
              <w:rPr>
                <w:rFonts w:ascii="Times New Roman" w:hAnsi="Times New Roman" w:eastAsiaTheme="minorEastAsia"/>
                <w:color w:val="auto"/>
                <w:sz w:val="26"/>
                <w:szCs w:val="26"/>
                <w:highlight w:val="none"/>
              </w:rPr>
            </w:pPr>
            <w:r>
              <w:rPr>
                <w:rFonts w:hint="eastAsia" w:ascii="宋体" w:hAnsi="宋体" w:cs="宋体" w:eastAsiaTheme="minorEastAsia"/>
                <w:color w:val="auto"/>
                <w:sz w:val="26"/>
                <w:szCs w:val="26"/>
                <w:highlight w:val="none"/>
                <w:lang w:val="en-US" w:eastAsia="zh-CN"/>
              </w:rPr>
              <w:t>1）、</w:t>
            </w:r>
            <w:r>
              <w:rPr>
                <w:rFonts w:ascii="Times New Roman" w:hAnsi="Times New Roman" w:eastAsiaTheme="minorEastAsia"/>
                <w:color w:val="auto"/>
                <w:sz w:val="26"/>
                <w:szCs w:val="26"/>
                <w:highlight w:val="none"/>
              </w:rPr>
              <w:t>工业场地预测结果</w:t>
            </w:r>
          </w:p>
          <w:p w14:paraId="6C81D8C0">
            <w:pPr>
              <w:spacing w:line="480" w:lineRule="exact"/>
              <w:ind w:firstLine="520" w:firstLineChars="200"/>
              <w:rPr>
                <w:rFonts w:hint="eastAsia" w:ascii="Times New Roman" w:hAnsi="Times New Roman" w:eastAsiaTheme="minorEastAsia"/>
                <w:color w:val="auto"/>
                <w:sz w:val="26"/>
                <w:szCs w:val="26"/>
                <w:highlight w:val="none"/>
                <w:lang w:eastAsia="zh-CN"/>
              </w:rPr>
            </w:pPr>
            <w:r>
              <w:rPr>
                <w:rFonts w:ascii="Times New Roman" w:hAnsi="Times New Roman" w:eastAsiaTheme="minorEastAsia"/>
                <w:color w:val="auto"/>
                <w:sz w:val="26"/>
                <w:szCs w:val="26"/>
                <w:highlight w:val="none"/>
              </w:rPr>
              <w:t>根据预测模式进行预测，各噪声源在</w:t>
            </w:r>
            <w:r>
              <w:rPr>
                <w:rFonts w:hint="eastAsia" w:ascii="Times New Roman" w:hAnsi="Times New Roman" w:eastAsiaTheme="minorEastAsia"/>
                <w:color w:val="auto"/>
                <w:sz w:val="26"/>
                <w:szCs w:val="26"/>
                <w:highlight w:val="none"/>
              </w:rPr>
              <w:t>场界</w:t>
            </w:r>
            <w:r>
              <w:rPr>
                <w:rFonts w:ascii="Times New Roman" w:hAnsi="Times New Roman" w:eastAsiaTheme="minorEastAsia"/>
                <w:color w:val="auto"/>
                <w:sz w:val="26"/>
                <w:szCs w:val="26"/>
                <w:highlight w:val="none"/>
              </w:rPr>
              <w:t>的噪声预测值见表</w:t>
            </w:r>
            <w:r>
              <w:rPr>
                <w:rFonts w:hint="eastAsia" w:eastAsiaTheme="minorEastAsia"/>
                <w:color w:val="auto"/>
                <w:sz w:val="26"/>
                <w:szCs w:val="26"/>
                <w:highlight w:val="none"/>
                <w:lang w:val="en-US" w:eastAsia="zh-CN"/>
              </w:rPr>
              <w:t>7-11</w:t>
            </w:r>
            <w:r>
              <w:rPr>
                <w:rFonts w:hint="eastAsia" w:ascii="Times New Roman" w:hAnsi="Times New Roman" w:eastAsiaTheme="minorEastAsia"/>
                <w:color w:val="auto"/>
                <w:sz w:val="26"/>
                <w:szCs w:val="26"/>
                <w:highlight w:val="none"/>
                <w:lang w:eastAsia="zh-CN"/>
              </w:rPr>
              <w:t>：</w:t>
            </w:r>
          </w:p>
          <w:p w14:paraId="61817EC5">
            <w:pPr>
              <w:spacing w:line="320" w:lineRule="exact"/>
              <w:ind w:firstLine="198"/>
              <w:jc w:val="center"/>
              <w:rPr>
                <w:rFonts w:ascii="Times New Roman" w:hAnsi="Times New Roman" w:eastAsiaTheme="minorEastAsia"/>
                <w:b/>
                <w:color w:val="auto"/>
                <w:sz w:val="21"/>
                <w:szCs w:val="21"/>
                <w:highlight w:val="none"/>
                <w:u w:color="000000"/>
              </w:rPr>
            </w:pPr>
            <w:r>
              <w:rPr>
                <w:rFonts w:ascii="Times New Roman" w:hAnsi="Times New Roman" w:eastAsiaTheme="minorEastAsia"/>
                <w:b/>
                <w:color w:val="auto"/>
                <w:sz w:val="21"/>
                <w:szCs w:val="21"/>
                <w:highlight w:val="none"/>
                <w:u w:color="000000"/>
              </w:rPr>
              <w:t>表</w:t>
            </w:r>
            <w:r>
              <w:rPr>
                <w:rFonts w:hint="eastAsia" w:eastAsiaTheme="minorEastAsia"/>
                <w:b/>
                <w:color w:val="auto"/>
                <w:sz w:val="21"/>
                <w:szCs w:val="21"/>
                <w:highlight w:val="none"/>
                <w:u w:color="000000"/>
                <w:lang w:val="en-US" w:eastAsia="zh-CN"/>
              </w:rPr>
              <w:t>7-11</w:t>
            </w:r>
            <w:r>
              <w:rPr>
                <w:rFonts w:ascii="Times New Roman" w:hAnsi="Times New Roman" w:eastAsiaTheme="minorEastAsia"/>
                <w:b/>
                <w:color w:val="auto"/>
                <w:sz w:val="21"/>
                <w:szCs w:val="21"/>
                <w:highlight w:val="none"/>
                <w:u w:color="000000"/>
              </w:rPr>
              <w:t xml:space="preserve">  场地场界噪声预测结果     单位：dB(A)</w:t>
            </w:r>
          </w:p>
          <w:tbl>
            <w:tblPr>
              <w:tblStyle w:val="2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21"/>
              <w:gridCol w:w="711"/>
              <w:gridCol w:w="711"/>
              <w:gridCol w:w="711"/>
              <w:gridCol w:w="711"/>
              <w:gridCol w:w="711"/>
              <w:gridCol w:w="718"/>
              <w:gridCol w:w="718"/>
              <w:gridCol w:w="719"/>
              <w:gridCol w:w="719"/>
            </w:tblGrid>
            <w:tr w14:paraId="627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6" w:type="pct"/>
                  <w:vAlign w:val="center"/>
                </w:tcPr>
                <w:p w14:paraId="2B5ED21D">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color w:val="auto"/>
                      <w:highlight w:val="none"/>
                      <w:lang w:val="en-US" w:eastAsia="zh-CN"/>
                    </w:rPr>
                  </w:pPr>
                  <w:r>
                    <w:rPr>
                      <w:color w:val="auto"/>
                      <w:sz w:val="22"/>
                      <w:highlight w:val="none"/>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11430</wp:posOffset>
                            </wp:positionV>
                            <wp:extent cx="939165" cy="487680"/>
                            <wp:effectExtent l="1905" t="4445" r="11430" b="22225"/>
                            <wp:wrapNone/>
                            <wp:docPr id="7" name="直接连接符 7"/>
                            <wp:cNvGraphicFramePr/>
                            <a:graphic xmlns:a="http://schemas.openxmlformats.org/drawingml/2006/main">
                              <a:graphicData uri="http://schemas.microsoft.com/office/word/2010/wordprocessingShape">
                                <wps:wsp>
                                  <wps:cNvCnPr/>
                                  <wps:spPr>
                                    <a:xfrm>
                                      <a:off x="1113790" y="8054340"/>
                                      <a:ext cx="939165" cy="487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5pt;margin-top:0.9pt;height:38.4pt;width:73.95pt;z-index:251659264;mso-width-relative:page;mso-height-relative:page;" filled="f" stroked="t" coordsize="21600,21600" o:gfxdata="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1QQhNYAAAAIAQAADwAAAAAAAAABACAAAAAiAAAAZHJzL2Rvd25yZXYueG1sUEsBAhQA&#10;FAAAAAgAh07iQDGT6nH0AQAAwQMAAA4AAAAAAAAAAQAgAAAAJQEAAGRycy9lMm9Eb2MueG1sUEsF&#10;BgAAAAAGAAYAWQEAAIsFAAAAAA==&#10;">
                            <v:fill on="f" focussize="0,0"/>
                            <v:stroke weight="0.5pt" color="#000000 [3213]" miterlimit="8" joinstyle="miter"/>
                            <v:imagedata o:title=""/>
                            <o:lock v:ext="edit" aspectratio="f"/>
                          </v:line>
                        </w:pict>
                      </mc:Fallback>
                    </mc:AlternateContent>
                  </w:r>
                  <w:r>
                    <w:rPr>
                      <w:rFonts w:hint="eastAsia"/>
                      <w:color w:val="auto"/>
                      <w:highlight w:val="none"/>
                      <w:lang w:val="en-US" w:eastAsia="zh-CN"/>
                    </w:rPr>
                    <w:t xml:space="preserve">       距离</w:t>
                  </w:r>
                </w:p>
                <w:p w14:paraId="5F813C59">
                  <w:pPr>
                    <w:ind w:left="0" w:leftChars="0" w:firstLine="0" w:firstLineChars="0"/>
                    <w:rPr>
                      <w:rFonts w:hint="default"/>
                      <w:color w:val="auto"/>
                      <w:highlight w:val="none"/>
                      <w:lang w:val="en-US" w:eastAsia="zh-CN"/>
                    </w:rPr>
                  </w:pPr>
                  <w:r>
                    <w:rPr>
                      <w:rFonts w:hint="eastAsia" w:ascii="Times New Roman" w:hAnsi="Times New Roman" w:eastAsia="宋体" w:cstheme="minorBidi"/>
                      <w:color w:val="auto"/>
                      <w:kern w:val="2"/>
                      <w:sz w:val="22"/>
                      <w:szCs w:val="22"/>
                      <w:highlight w:val="none"/>
                      <w:vertAlign w:val="baseline"/>
                      <w:lang w:val="en-US" w:eastAsia="zh-CN" w:bidi="ar-SA"/>
                    </w:rPr>
                    <w:t>机械类型</w:t>
                  </w:r>
                </w:p>
              </w:tc>
              <w:tc>
                <w:tcPr>
                  <w:tcW w:w="371" w:type="pct"/>
                  <w:vAlign w:val="center"/>
                </w:tcPr>
                <w:p w14:paraId="705028E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heme="minorBidi"/>
                      <w:bCs/>
                      <w:color w:val="auto"/>
                      <w:kern w:val="28"/>
                      <w:sz w:val="22"/>
                      <w:szCs w:val="22"/>
                      <w:highlight w:val="none"/>
                      <w:lang w:val="en-US" w:eastAsia="zh-CN" w:bidi="ar-SA"/>
                    </w:rPr>
                  </w:pPr>
                  <w:r>
                    <w:rPr>
                      <w:rFonts w:hint="eastAsia" w:ascii="Times New Roman" w:hAnsi="Times New Roman" w:eastAsia="宋体"/>
                      <w:bCs/>
                      <w:color w:val="auto"/>
                      <w:kern w:val="28"/>
                      <w:sz w:val="22"/>
                      <w:szCs w:val="22"/>
                      <w:highlight w:val="none"/>
                      <w:lang w:val="en-US" w:eastAsia="zh-CN"/>
                    </w:rPr>
                    <w:t>源强</w:t>
                  </w:r>
                </w:p>
              </w:tc>
              <w:tc>
                <w:tcPr>
                  <w:tcW w:w="424" w:type="pct"/>
                  <w:vAlign w:val="center"/>
                </w:tcPr>
                <w:p w14:paraId="19AA71C9">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10m</w:t>
                  </w:r>
                </w:p>
              </w:tc>
              <w:tc>
                <w:tcPr>
                  <w:tcW w:w="424" w:type="pct"/>
                  <w:vAlign w:val="center"/>
                </w:tcPr>
                <w:p w14:paraId="21EF7083">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20m</w:t>
                  </w:r>
                </w:p>
              </w:tc>
              <w:tc>
                <w:tcPr>
                  <w:tcW w:w="424" w:type="pct"/>
                  <w:vAlign w:val="center"/>
                </w:tcPr>
                <w:p w14:paraId="1ECEDF6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40m</w:t>
                  </w:r>
                </w:p>
              </w:tc>
              <w:tc>
                <w:tcPr>
                  <w:tcW w:w="424" w:type="pct"/>
                  <w:vAlign w:val="center"/>
                </w:tcPr>
                <w:p w14:paraId="5D896CA0">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60m</w:t>
                  </w:r>
                </w:p>
              </w:tc>
              <w:tc>
                <w:tcPr>
                  <w:tcW w:w="424" w:type="pct"/>
                  <w:vAlign w:val="center"/>
                </w:tcPr>
                <w:p w14:paraId="21A2AFD1">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80m</w:t>
                  </w:r>
                </w:p>
              </w:tc>
              <w:tc>
                <w:tcPr>
                  <w:tcW w:w="429" w:type="pct"/>
                  <w:vAlign w:val="center"/>
                </w:tcPr>
                <w:p w14:paraId="08DB3566">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100m</w:t>
                  </w:r>
                </w:p>
              </w:tc>
              <w:tc>
                <w:tcPr>
                  <w:tcW w:w="429" w:type="pct"/>
                  <w:vAlign w:val="center"/>
                </w:tcPr>
                <w:p w14:paraId="4E2F4418">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150m</w:t>
                  </w:r>
                </w:p>
              </w:tc>
              <w:tc>
                <w:tcPr>
                  <w:tcW w:w="429" w:type="pct"/>
                  <w:vAlign w:val="center"/>
                </w:tcPr>
                <w:p w14:paraId="2F2533B8">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200m</w:t>
                  </w:r>
                </w:p>
              </w:tc>
              <w:tc>
                <w:tcPr>
                  <w:tcW w:w="429" w:type="pct"/>
                  <w:vAlign w:val="center"/>
                </w:tcPr>
                <w:p w14:paraId="48D0661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300m</w:t>
                  </w:r>
                </w:p>
              </w:tc>
            </w:tr>
            <w:tr w14:paraId="71FC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52DCC856">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设备名称</w:t>
                  </w:r>
                </w:p>
              </w:tc>
              <w:tc>
                <w:tcPr>
                  <w:tcW w:w="371" w:type="pct"/>
                  <w:vAlign w:val="center"/>
                </w:tcPr>
                <w:p w14:paraId="07C5A9E1">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73</w:t>
                  </w:r>
                </w:p>
              </w:tc>
              <w:tc>
                <w:tcPr>
                  <w:tcW w:w="424" w:type="pct"/>
                  <w:vAlign w:val="center"/>
                </w:tcPr>
                <w:p w14:paraId="71F1F5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54.05 </w:t>
                  </w:r>
                </w:p>
              </w:tc>
              <w:tc>
                <w:tcPr>
                  <w:tcW w:w="424" w:type="pct"/>
                  <w:vAlign w:val="center"/>
                </w:tcPr>
                <w:p w14:paraId="392CBC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48.03 </w:t>
                  </w:r>
                </w:p>
              </w:tc>
              <w:tc>
                <w:tcPr>
                  <w:tcW w:w="424" w:type="pct"/>
                  <w:vAlign w:val="center"/>
                </w:tcPr>
                <w:p w14:paraId="3B8C5E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42.01 </w:t>
                  </w:r>
                </w:p>
              </w:tc>
              <w:tc>
                <w:tcPr>
                  <w:tcW w:w="424" w:type="pct"/>
                  <w:vAlign w:val="center"/>
                </w:tcPr>
                <w:p w14:paraId="4232B0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color w:val="auto"/>
                      <w:sz w:val="22"/>
                      <w:szCs w:val="22"/>
                      <w:highlight w:val="none"/>
                    </w:rPr>
                    <w:t>38.49</w:t>
                  </w:r>
                </w:p>
              </w:tc>
              <w:tc>
                <w:tcPr>
                  <w:tcW w:w="424" w:type="pct"/>
                  <w:vAlign w:val="center"/>
                </w:tcPr>
                <w:p w14:paraId="546B6F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color w:val="auto"/>
                      <w:sz w:val="22"/>
                      <w:szCs w:val="22"/>
                      <w:highlight w:val="none"/>
                    </w:rPr>
                    <w:t>35.99</w:t>
                  </w:r>
                </w:p>
              </w:tc>
              <w:tc>
                <w:tcPr>
                  <w:tcW w:w="429" w:type="pct"/>
                  <w:vAlign w:val="center"/>
                </w:tcPr>
                <w:p w14:paraId="7F0C09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34.05 </w:t>
                  </w:r>
                </w:p>
              </w:tc>
              <w:tc>
                <w:tcPr>
                  <w:tcW w:w="429" w:type="pct"/>
                  <w:vAlign w:val="center"/>
                </w:tcPr>
                <w:p w14:paraId="4B14EF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30.53 </w:t>
                  </w:r>
                </w:p>
              </w:tc>
              <w:tc>
                <w:tcPr>
                  <w:tcW w:w="429" w:type="pct"/>
                  <w:vAlign w:val="center"/>
                </w:tcPr>
                <w:p w14:paraId="0DB783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28.03 </w:t>
                  </w:r>
                </w:p>
              </w:tc>
              <w:tc>
                <w:tcPr>
                  <w:tcW w:w="429" w:type="pct"/>
                  <w:vAlign w:val="center"/>
                </w:tcPr>
                <w:p w14:paraId="48C5C7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24.51 </w:t>
                  </w:r>
                </w:p>
              </w:tc>
            </w:tr>
            <w:tr w14:paraId="26E8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FFD0450">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潜孔钻机</w:t>
                  </w:r>
                </w:p>
              </w:tc>
              <w:tc>
                <w:tcPr>
                  <w:tcW w:w="371" w:type="pct"/>
                  <w:vAlign w:val="center"/>
                </w:tcPr>
                <w:p w14:paraId="345996DF">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80</w:t>
                  </w:r>
                </w:p>
              </w:tc>
              <w:tc>
                <w:tcPr>
                  <w:tcW w:w="424" w:type="pct"/>
                  <w:vAlign w:val="center"/>
                </w:tcPr>
                <w:p w14:paraId="725560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61.05 </w:t>
                  </w:r>
                </w:p>
              </w:tc>
              <w:tc>
                <w:tcPr>
                  <w:tcW w:w="424" w:type="pct"/>
                  <w:vAlign w:val="center"/>
                </w:tcPr>
                <w:p w14:paraId="67BCA9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55.03 </w:t>
                  </w:r>
                </w:p>
              </w:tc>
              <w:tc>
                <w:tcPr>
                  <w:tcW w:w="424" w:type="pct"/>
                  <w:vAlign w:val="center"/>
                </w:tcPr>
                <w:p w14:paraId="0F3A6C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49.01 </w:t>
                  </w:r>
                </w:p>
              </w:tc>
              <w:tc>
                <w:tcPr>
                  <w:tcW w:w="711" w:type="dxa"/>
                  <w:vAlign w:val="center"/>
                </w:tcPr>
                <w:p w14:paraId="772666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45.49</w:t>
                  </w:r>
                </w:p>
              </w:tc>
              <w:tc>
                <w:tcPr>
                  <w:tcW w:w="711" w:type="dxa"/>
                  <w:vAlign w:val="center"/>
                </w:tcPr>
                <w:p w14:paraId="4C8889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42.99</w:t>
                  </w:r>
                </w:p>
              </w:tc>
              <w:tc>
                <w:tcPr>
                  <w:tcW w:w="429" w:type="pct"/>
                  <w:vAlign w:val="center"/>
                </w:tcPr>
                <w:p w14:paraId="5EA99F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41.05 </w:t>
                  </w:r>
                </w:p>
              </w:tc>
              <w:tc>
                <w:tcPr>
                  <w:tcW w:w="429" w:type="pct"/>
                  <w:vAlign w:val="center"/>
                </w:tcPr>
                <w:p w14:paraId="31CF56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37.53 </w:t>
                  </w:r>
                </w:p>
              </w:tc>
              <w:tc>
                <w:tcPr>
                  <w:tcW w:w="429" w:type="pct"/>
                  <w:vAlign w:val="center"/>
                </w:tcPr>
                <w:p w14:paraId="66204B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35.03 </w:t>
                  </w:r>
                </w:p>
              </w:tc>
              <w:tc>
                <w:tcPr>
                  <w:tcW w:w="429" w:type="pct"/>
                  <w:vAlign w:val="center"/>
                </w:tcPr>
                <w:p w14:paraId="50B8DF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31.51 </w:t>
                  </w:r>
                </w:p>
              </w:tc>
            </w:tr>
            <w:tr w14:paraId="191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1AFE48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破碎锤</w:t>
                  </w:r>
                </w:p>
              </w:tc>
              <w:tc>
                <w:tcPr>
                  <w:tcW w:w="371" w:type="pct"/>
                  <w:vAlign w:val="center"/>
                </w:tcPr>
                <w:p w14:paraId="1AB1AD1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70</w:t>
                  </w:r>
                </w:p>
              </w:tc>
              <w:tc>
                <w:tcPr>
                  <w:tcW w:w="424" w:type="pct"/>
                  <w:vAlign w:val="center"/>
                </w:tcPr>
                <w:p w14:paraId="062E5FE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51.05 </w:t>
                  </w:r>
                </w:p>
              </w:tc>
              <w:tc>
                <w:tcPr>
                  <w:tcW w:w="424" w:type="pct"/>
                  <w:vAlign w:val="center"/>
                </w:tcPr>
                <w:p w14:paraId="3B420C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45.03 </w:t>
                  </w:r>
                </w:p>
              </w:tc>
              <w:tc>
                <w:tcPr>
                  <w:tcW w:w="424" w:type="pct"/>
                  <w:vAlign w:val="center"/>
                </w:tcPr>
                <w:p w14:paraId="04721F4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39.01 </w:t>
                  </w:r>
                </w:p>
              </w:tc>
              <w:tc>
                <w:tcPr>
                  <w:tcW w:w="711" w:type="dxa"/>
                  <w:vAlign w:val="center"/>
                </w:tcPr>
                <w:p w14:paraId="6B4733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35.49</w:t>
                  </w:r>
                </w:p>
              </w:tc>
              <w:tc>
                <w:tcPr>
                  <w:tcW w:w="711" w:type="dxa"/>
                  <w:vAlign w:val="center"/>
                </w:tcPr>
                <w:p w14:paraId="4EC1EE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32.99</w:t>
                  </w:r>
                </w:p>
              </w:tc>
              <w:tc>
                <w:tcPr>
                  <w:tcW w:w="429" w:type="pct"/>
                  <w:vAlign w:val="center"/>
                </w:tcPr>
                <w:p w14:paraId="0E0C6E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31.05 </w:t>
                  </w:r>
                </w:p>
              </w:tc>
              <w:tc>
                <w:tcPr>
                  <w:tcW w:w="429" w:type="pct"/>
                  <w:vAlign w:val="center"/>
                </w:tcPr>
                <w:p w14:paraId="37453F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27.53 </w:t>
                  </w:r>
                </w:p>
              </w:tc>
              <w:tc>
                <w:tcPr>
                  <w:tcW w:w="429" w:type="pct"/>
                  <w:vAlign w:val="center"/>
                </w:tcPr>
                <w:p w14:paraId="5ACF45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25.03 </w:t>
                  </w:r>
                </w:p>
              </w:tc>
              <w:tc>
                <w:tcPr>
                  <w:tcW w:w="429" w:type="pct"/>
                  <w:vAlign w:val="center"/>
                </w:tcPr>
                <w:p w14:paraId="2C61324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21.51 </w:t>
                  </w:r>
                </w:p>
              </w:tc>
            </w:tr>
            <w:tr w14:paraId="357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5FE82A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自卸汽车</w:t>
                  </w:r>
                </w:p>
              </w:tc>
              <w:tc>
                <w:tcPr>
                  <w:tcW w:w="371" w:type="pct"/>
                  <w:vAlign w:val="center"/>
                </w:tcPr>
                <w:p w14:paraId="6A4186A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75</w:t>
                  </w:r>
                </w:p>
              </w:tc>
              <w:tc>
                <w:tcPr>
                  <w:tcW w:w="424" w:type="pct"/>
                  <w:vAlign w:val="center"/>
                </w:tcPr>
                <w:p w14:paraId="1A6740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56.05 </w:t>
                  </w:r>
                </w:p>
              </w:tc>
              <w:tc>
                <w:tcPr>
                  <w:tcW w:w="424" w:type="pct"/>
                  <w:vAlign w:val="center"/>
                </w:tcPr>
                <w:p w14:paraId="4D11BE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50.03 </w:t>
                  </w:r>
                </w:p>
              </w:tc>
              <w:tc>
                <w:tcPr>
                  <w:tcW w:w="424" w:type="pct"/>
                  <w:vAlign w:val="center"/>
                </w:tcPr>
                <w:p w14:paraId="0289B6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44.01 </w:t>
                  </w:r>
                </w:p>
              </w:tc>
              <w:tc>
                <w:tcPr>
                  <w:tcW w:w="711" w:type="dxa"/>
                  <w:vAlign w:val="center"/>
                </w:tcPr>
                <w:p w14:paraId="1DA88B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40.49</w:t>
                  </w:r>
                </w:p>
              </w:tc>
              <w:tc>
                <w:tcPr>
                  <w:tcW w:w="711" w:type="dxa"/>
                  <w:vAlign w:val="center"/>
                </w:tcPr>
                <w:p w14:paraId="66CBD3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37.99</w:t>
                  </w:r>
                </w:p>
              </w:tc>
              <w:tc>
                <w:tcPr>
                  <w:tcW w:w="429" w:type="pct"/>
                  <w:vAlign w:val="center"/>
                </w:tcPr>
                <w:p w14:paraId="1575EA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36.05 </w:t>
                  </w:r>
                </w:p>
              </w:tc>
              <w:tc>
                <w:tcPr>
                  <w:tcW w:w="429" w:type="pct"/>
                  <w:vAlign w:val="center"/>
                </w:tcPr>
                <w:p w14:paraId="05949B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32.53 </w:t>
                  </w:r>
                </w:p>
              </w:tc>
              <w:tc>
                <w:tcPr>
                  <w:tcW w:w="429" w:type="pct"/>
                  <w:vAlign w:val="center"/>
                </w:tcPr>
                <w:p w14:paraId="3A4F65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30.03 </w:t>
                  </w:r>
                </w:p>
              </w:tc>
              <w:tc>
                <w:tcPr>
                  <w:tcW w:w="429" w:type="pct"/>
                  <w:vAlign w:val="center"/>
                </w:tcPr>
                <w:p w14:paraId="2C7076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26.51 </w:t>
                  </w:r>
                </w:p>
              </w:tc>
            </w:tr>
            <w:tr w14:paraId="16D1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517CAFDF">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挖掘机</w:t>
                  </w:r>
                </w:p>
              </w:tc>
              <w:tc>
                <w:tcPr>
                  <w:tcW w:w="371" w:type="pct"/>
                  <w:vAlign w:val="center"/>
                </w:tcPr>
                <w:p w14:paraId="5F1EF6D4">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70</w:t>
                  </w:r>
                </w:p>
              </w:tc>
              <w:tc>
                <w:tcPr>
                  <w:tcW w:w="424" w:type="pct"/>
                  <w:vAlign w:val="center"/>
                </w:tcPr>
                <w:p w14:paraId="55216F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51.05 </w:t>
                  </w:r>
                </w:p>
              </w:tc>
              <w:tc>
                <w:tcPr>
                  <w:tcW w:w="424" w:type="pct"/>
                  <w:vAlign w:val="center"/>
                </w:tcPr>
                <w:p w14:paraId="07A8F9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45.03 </w:t>
                  </w:r>
                </w:p>
              </w:tc>
              <w:tc>
                <w:tcPr>
                  <w:tcW w:w="424" w:type="pct"/>
                  <w:vAlign w:val="center"/>
                </w:tcPr>
                <w:p w14:paraId="2861E6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39.01 </w:t>
                  </w:r>
                </w:p>
              </w:tc>
              <w:tc>
                <w:tcPr>
                  <w:tcW w:w="711" w:type="dxa"/>
                  <w:vAlign w:val="center"/>
                </w:tcPr>
                <w:p w14:paraId="15FD59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35.49</w:t>
                  </w:r>
                </w:p>
              </w:tc>
              <w:tc>
                <w:tcPr>
                  <w:tcW w:w="711" w:type="dxa"/>
                  <w:vAlign w:val="center"/>
                </w:tcPr>
                <w:p w14:paraId="4368E3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32.99</w:t>
                  </w:r>
                </w:p>
              </w:tc>
              <w:tc>
                <w:tcPr>
                  <w:tcW w:w="429" w:type="pct"/>
                  <w:vAlign w:val="center"/>
                </w:tcPr>
                <w:p w14:paraId="0C05A2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31.05 </w:t>
                  </w:r>
                </w:p>
              </w:tc>
              <w:tc>
                <w:tcPr>
                  <w:tcW w:w="429" w:type="pct"/>
                  <w:vAlign w:val="center"/>
                </w:tcPr>
                <w:p w14:paraId="0439CA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27.53 </w:t>
                  </w:r>
                </w:p>
              </w:tc>
              <w:tc>
                <w:tcPr>
                  <w:tcW w:w="429" w:type="pct"/>
                  <w:vAlign w:val="center"/>
                </w:tcPr>
                <w:p w14:paraId="4F7CC2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25.03 </w:t>
                  </w:r>
                </w:p>
              </w:tc>
              <w:tc>
                <w:tcPr>
                  <w:tcW w:w="429" w:type="pct"/>
                  <w:vAlign w:val="center"/>
                </w:tcPr>
                <w:p w14:paraId="4FB465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21.51 </w:t>
                  </w:r>
                </w:p>
              </w:tc>
            </w:tr>
            <w:tr w14:paraId="4E7B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78AC4000">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装载机</w:t>
                  </w:r>
                </w:p>
              </w:tc>
              <w:tc>
                <w:tcPr>
                  <w:tcW w:w="371" w:type="pct"/>
                  <w:vAlign w:val="center"/>
                </w:tcPr>
                <w:p w14:paraId="3274262E">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60</w:t>
                  </w:r>
                </w:p>
              </w:tc>
              <w:tc>
                <w:tcPr>
                  <w:tcW w:w="424" w:type="pct"/>
                  <w:vAlign w:val="center"/>
                </w:tcPr>
                <w:p w14:paraId="63E865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41.05 </w:t>
                  </w:r>
                </w:p>
              </w:tc>
              <w:tc>
                <w:tcPr>
                  <w:tcW w:w="424" w:type="pct"/>
                  <w:vAlign w:val="center"/>
                </w:tcPr>
                <w:p w14:paraId="11B98D3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35.03 </w:t>
                  </w:r>
                </w:p>
              </w:tc>
              <w:tc>
                <w:tcPr>
                  <w:tcW w:w="424" w:type="pct"/>
                  <w:vAlign w:val="center"/>
                </w:tcPr>
                <w:p w14:paraId="00F38A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29.01 </w:t>
                  </w:r>
                </w:p>
              </w:tc>
              <w:tc>
                <w:tcPr>
                  <w:tcW w:w="711" w:type="dxa"/>
                  <w:vAlign w:val="center"/>
                </w:tcPr>
                <w:p w14:paraId="117039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25.49</w:t>
                  </w:r>
                </w:p>
              </w:tc>
              <w:tc>
                <w:tcPr>
                  <w:tcW w:w="711" w:type="dxa"/>
                  <w:vAlign w:val="center"/>
                </w:tcPr>
                <w:p w14:paraId="7164848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22.99</w:t>
                  </w:r>
                </w:p>
              </w:tc>
              <w:tc>
                <w:tcPr>
                  <w:tcW w:w="429" w:type="pct"/>
                  <w:vAlign w:val="center"/>
                </w:tcPr>
                <w:p w14:paraId="1E3690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21.05 </w:t>
                  </w:r>
                </w:p>
              </w:tc>
              <w:tc>
                <w:tcPr>
                  <w:tcW w:w="429" w:type="pct"/>
                  <w:vAlign w:val="center"/>
                </w:tcPr>
                <w:p w14:paraId="1D9AD0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17.53 </w:t>
                  </w:r>
                </w:p>
              </w:tc>
              <w:tc>
                <w:tcPr>
                  <w:tcW w:w="429" w:type="pct"/>
                  <w:vAlign w:val="center"/>
                </w:tcPr>
                <w:p w14:paraId="0E16AB4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15.03 </w:t>
                  </w:r>
                </w:p>
              </w:tc>
              <w:tc>
                <w:tcPr>
                  <w:tcW w:w="429" w:type="pct"/>
                  <w:vAlign w:val="center"/>
                </w:tcPr>
                <w:p w14:paraId="12D329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11.51 </w:t>
                  </w:r>
                </w:p>
              </w:tc>
            </w:tr>
            <w:tr w14:paraId="79FA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6460A9E5">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取水泵</w:t>
                  </w:r>
                </w:p>
              </w:tc>
              <w:tc>
                <w:tcPr>
                  <w:tcW w:w="371" w:type="pct"/>
                  <w:vAlign w:val="center"/>
                </w:tcPr>
                <w:p w14:paraId="2AAABBCE">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80</w:t>
                  </w:r>
                </w:p>
              </w:tc>
              <w:tc>
                <w:tcPr>
                  <w:tcW w:w="424" w:type="pct"/>
                  <w:vAlign w:val="center"/>
                </w:tcPr>
                <w:p w14:paraId="733D15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61.05 </w:t>
                  </w:r>
                </w:p>
              </w:tc>
              <w:tc>
                <w:tcPr>
                  <w:tcW w:w="424" w:type="pct"/>
                  <w:vAlign w:val="center"/>
                </w:tcPr>
                <w:p w14:paraId="3C45A5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55.03 </w:t>
                  </w:r>
                </w:p>
              </w:tc>
              <w:tc>
                <w:tcPr>
                  <w:tcW w:w="424" w:type="pct"/>
                  <w:vAlign w:val="center"/>
                </w:tcPr>
                <w:p w14:paraId="45A25D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49.01 </w:t>
                  </w:r>
                </w:p>
              </w:tc>
              <w:tc>
                <w:tcPr>
                  <w:tcW w:w="711" w:type="dxa"/>
                  <w:vAlign w:val="center"/>
                </w:tcPr>
                <w:p w14:paraId="2E6CE5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45.49</w:t>
                  </w:r>
                </w:p>
              </w:tc>
              <w:tc>
                <w:tcPr>
                  <w:tcW w:w="711" w:type="dxa"/>
                  <w:vAlign w:val="center"/>
                </w:tcPr>
                <w:p w14:paraId="2C742F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42.99</w:t>
                  </w:r>
                </w:p>
              </w:tc>
              <w:tc>
                <w:tcPr>
                  <w:tcW w:w="429" w:type="pct"/>
                  <w:vAlign w:val="center"/>
                </w:tcPr>
                <w:p w14:paraId="3DE3AE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41.05 </w:t>
                  </w:r>
                </w:p>
              </w:tc>
              <w:tc>
                <w:tcPr>
                  <w:tcW w:w="429" w:type="pct"/>
                  <w:vAlign w:val="center"/>
                </w:tcPr>
                <w:p w14:paraId="744031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37.53 </w:t>
                  </w:r>
                </w:p>
              </w:tc>
              <w:tc>
                <w:tcPr>
                  <w:tcW w:w="429" w:type="pct"/>
                  <w:vAlign w:val="center"/>
                </w:tcPr>
                <w:p w14:paraId="0A3894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35.03 </w:t>
                  </w:r>
                </w:p>
              </w:tc>
              <w:tc>
                <w:tcPr>
                  <w:tcW w:w="429" w:type="pct"/>
                  <w:vAlign w:val="center"/>
                </w:tcPr>
                <w:p w14:paraId="1B48A9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31.51 </w:t>
                  </w:r>
                </w:p>
              </w:tc>
            </w:tr>
            <w:tr w14:paraId="7261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8EFBB3D">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破碎机</w:t>
                  </w:r>
                </w:p>
              </w:tc>
              <w:tc>
                <w:tcPr>
                  <w:tcW w:w="371" w:type="pct"/>
                  <w:vAlign w:val="center"/>
                </w:tcPr>
                <w:p w14:paraId="1D059B4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70</w:t>
                  </w:r>
                </w:p>
              </w:tc>
              <w:tc>
                <w:tcPr>
                  <w:tcW w:w="424" w:type="pct"/>
                  <w:vAlign w:val="center"/>
                </w:tcPr>
                <w:p w14:paraId="0E71F5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51.05 </w:t>
                  </w:r>
                </w:p>
              </w:tc>
              <w:tc>
                <w:tcPr>
                  <w:tcW w:w="424" w:type="pct"/>
                  <w:vAlign w:val="center"/>
                </w:tcPr>
                <w:p w14:paraId="29B443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45.03 </w:t>
                  </w:r>
                </w:p>
              </w:tc>
              <w:tc>
                <w:tcPr>
                  <w:tcW w:w="424" w:type="pct"/>
                  <w:vAlign w:val="center"/>
                </w:tcPr>
                <w:p w14:paraId="6869C6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39.01 </w:t>
                  </w:r>
                </w:p>
              </w:tc>
              <w:tc>
                <w:tcPr>
                  <w:tcW w:w="711" w:type="dxa"/>
                  <w:vAlign w:val="center"/>
                </w:tcPr>
                <w:p w14:paraId="025AE4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35.49</w:t>
                  </w:r>
                </w:p>
              </w:tc>
              <w:tc>
                <w:tcPr>
                  <w:tcW w:w="711" w:type="dxa"/>
                  <w:vAlign w:val="center"/>
                </w:tcPr>
                <w:p w14:paraId="1B8A5D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32.99</w:t>
                  </w:r>
                </w:p>
              </w:tc>
              <w:tc>
                <w:tcPr>
                  <w:tcW w:w="429" w:type="pct"/>
                  <w:vAlign w:val="center"/>
                </w:tcPr>
                <w:p w14:paraId="33C12F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31.05 </w:t>
                  </w:r>
                </w:p>
              </w:tc>
              <w:tc>
                <w:tcPr>
                  <w:tcW w:w="429" w:type="pct"/>
                  <w:vAlign w:val="center"/>
                </w:tcPr>
                <w:p w14:paraId="5D3E56C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27.53 </w:t>
                  </w:r>
                </w:p>
              </w:tc>
              <w:tc>
                <w:tcPr>
                  <w:tcW w:w="429" w:type="pct"/>
                  <w:vAlign w:val="center"/>
                </w:tcPr>
                <w:p w14:paraId="06863C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25.03 </w:t>
                  </w:r>
                </w:p>
              </w:tc>
              <w:tc>
                <w:tcPr>
                  <w:tcW w:w="429" w:type="pct"/>
                  <w:vAlign w:val="center"/>
                </w:tcPr>
                <w:p w14:paraId="56CBBD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21.51 </w:t>
                  </w:r>
                </w:p>
              </w:tc>
            </w:tr>
            <w:tr w14:paraId="6B8A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110A79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振动给料机</w:t>
                  </w:r>
                </w:p>
              </w:tc>
              <w:tc>
                <w:tcPr>
                  <w:tcW w:w="371" w:type="pct"/>
                  <w:vAlign w:val="center"/>
                </w:tcPr>
                <w:p w14:paraId="014FC43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75</w:t>
                  </w:r>
                </w:p>
              </w:tc>
              <w:tc>
                <w:tcPr>
                  <w:tcW w:w="424" w:type="pct"/>
                  <w:vAlign w:val="center"/>
                </w:tcPr>
                <w:p w14:paraId="7441B8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56.05 </w:t>
                  </w:r>
                </w:p>
              </w:tc>
              <w:tc>
                <w:tcPr>
                  <w:tcW w:w="424" w:type="pct"/>
                  <w:vAlign w:val="center"/>
                </w:tcPr>
                <w:p w14:paraId="5BC0F5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50.03 </w:t>
                  </w:r>
                </w:p>
              </w:tc>
              <w:tc>
                <w:tcPr>
                  <w:tcW w:w="424" w:type="pct"/>
                  <w:vAlign w:val="center"/>
                </w:tcPr>
                <w:p w14:paraId="16CC19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44.01 </w:t>
                  </w:r>
                </w:p>
              </w:tc>
              <w:tc>
                <w:tcPr>
                  <w:tcW w:w="711" w:type="dxa"/>
                  <w:vAlign w:val="center"/>
                </w:tcPr>
                <w:p w14:paraId="7EA8D6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40.49</w:t>
                  </w:r>
                </w:p>
              </w:tc>
              <w:tc>
                <w:tcPr>
                  <w:tcW w:w="711" w:type="dxa"/>
                  <w:vAlign w:val="center"/>
                </w:tcPr>
                <w:p w14:paraId="563BC2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37.99</w:t>
                  </w:r>
                </w:p>
              </w:tc>
              <w:tc>
                <w:tcPr>
                  <w:tcW w:w="429" w:type="pct"/>
                  <w:vAlign w:val="center"/>
                </w:tcPr>
                <w:p w14:paraId="6C6CD3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36.05 </w:t>
                  </w:r>
                </w:p>
              </w:tc>
              <w:tc>
                <w:tcPr>
                  <w:tcW w:w="429" w:type="pct"/>
                  <w:vAlign w:val="center"/>
                </w:tcPr>
                <w:p w14:paraId="1F1861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32.53 </w:t>
                  </w:r>
                </w:p>
              </w:tc>
              <w:tc>
                <w:tcPr>
                  <w:tcW w:w="429" w:type="pct"/>
                  <w:vAlign w:val="center"/>
                </w:tcPr>
                <w:p w14:paraId="49FC94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30.03 </w:t>
                  </w:r>
                </w:p>
              </w:tc>
              <w:tc>
                <w:tcPr>
                  <w:tcW w:w="429" w:type="pct"/>
                  <w:vAlign w:val="center"/>
                </w:tcPr>
                <w:p w14:paraId="1BDFE6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26.51 </w:t>
                  </w:r>
                </w:p>
              </w:tc>
            </w:tr>
            <w:tr w14:paraId="0772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748CC45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振动筛</w:t>
                  </w:r>
                </w:p>
              </w:tc>
              <w:tc>
                <w:tcPr>
                  <w:tcW w:w="371" w:type="pct"/>
                  <w:vAlign w:val="center"/>
                </w:tcPr>
                <w:p w14:paraId="1CB65A7C">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70</w:t>
                  </w:r>
                </w:p>
              </w:tc>
              <w:tc>
                <w:tcPr>
                  <w:tcW w:w="424" w:type="pct"/>
                  <w:vAlign w:val="center"/>
                </w:tcPr>
                <w:p w14:paraId="64A860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51.05 </w:t>
                  </w:r>
                </w:p>
              </w:tc>
              <w:tc>
                <w:tcPr>
                  <w:tcW w:w="424" w:type="pct"/>
                  <w:vAlign w:val="center"/>
                </w:tcPr>
                <w:p w14:paraId="547324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45.03 </w:t>
                  </w:r>
                </w:p>
              </w:tc>
              <w:tc>
                <w:tcPr>
                  <w:tcW w:w="424" w:type="pct"/>
                  <w:vAlign w:val="center"/>
                </w:tcPr>
                <w:p w14:paraId="5B6D29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39.01 </w:t>
                  </w:r>
                </w:p>
              </w:tc>
              <w:tc>
                <w:tcPr>
                  <w:tcW w:w="711" w:type="dxa"/>
                  <w:vAlign w:val="center"/>
                </w:tcPr>
                <w:p w14:paraId="729953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35.49</w:t>
                  </w:r>
                </w:p>
              </w:tc>
              <w:tc>
                <w:tcPr>
                  <w:tcW w:w="711" w:type="dxa"/>
                  <w:vAlign w:val="center"/>
                </w:tcPr>
                <w:p w14:paraId="76264C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i w:val="0"/>
                      <w:color w:val="auto"/>
                      <w:kern w:val="0"/>
                      <w:sz w:val="22"/>
                      <w:szCs w:val="22"/>
                      <w:highlight w:val="none"/>
                      <w:u w:val="none"/>
                      <w:lang w:val="en-US" w:eastAsia="zh-CN" w:bidi="ar"/>
                    </w:rPr>
                    <w:t>32.99</w:t>
                  </w:r>
                </w:p>
              </w:tc>
              <w:tc>
                <w:tcPr>
                  <w:tcW w:w="429" w:type="pct"/>
                  <w:vAlign w:val="center"/>
                </w:tcPr>
                <w:p w14:paraId="2EAC38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31.05 </w:t>
                  </w:r>
                </w:p>
              </w:tc>
              <w:tc>
                <w:tcPr>
                  <w:tcW w:w="429" w:type="pct"/>
                  <w:vAlign w:val="center"/>
                </w:tcPr>
                <w:p w14:paraId="019541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27.53 </w:t>
                  </w:r>
                </w:p>
              </w:tc>
              <w:tc>
                <w:tcPr>
                  <w:tcW w:w="429" w:type="pct"/>
                  <w:vAlign w:val="center"/>
                </w:tcPr>
                <w:p w14:paraId="3829A9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25.03 </w:t>
                  </w:r>
                </w:p>
              </w:tc>
              <w:tc>
                <w:tcPr>
                  <w:tcW w:w="429" w:type="pct"/>
                  <w:vAlign w:val="center"/>
                </w:tcPr>
                <w:p w14:paraId="122675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21.51 </w:t>
                  </w:r>
                </w:p>
              </w:tc>
            </w:tr>
            <w:tr w14:paraId="4AE0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7EE07ED1">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vertAlign w:val="baseline"/>
                      <w:lang w:val="en-US" w:eastAsia="zh-CN"/>
                    </w:rPr>
                    <w:t>空压机</w:t>
                  </w:r>
                </w:p>
              </w:tc>
              <w:tc>
                <w:tcPr>
                  <w:tcW w:w="371" w:type="pct"/>
                  <w:vAlign w:val="center"/>
                </w:tcPr>
                <w:p w14:paraId="54FBDF60">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vertAlign w:val="baseline"/>
                      <w:lang w:val="en-US" w:eastAsia="zh-CN"/>
                    </w:rPr>
                    <w:t>73</w:t>
                  </w:r>
                </w:p>
              </w:tc>
              <w:tc>
                <w:tcPr>
                  <w:tcW w:w="424" w:type="pct"/>
                  <w:vAlign w:val="center"/>
                </w:tcPr>
                <w:p w14:paraId="6F5F11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54.05 </w:t>
                  </w:r>
                </w:p>
              </w:tc>
              <w:tc>
                <w:tcPr>
                  <w:tcW w:w="424" w:type="pct"/>
                  <w:vAlign w:val="center"/>
                </w:tcPr>
                <w:p w14:paraId="08CF52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48.03 </w:t>
                  </w:r>
                </w:p>
              </w:tc>
              <w:tc>
                <w:tcPr>
                  <w:tcW w:w="424" w:type="pct"/>
                  <w:vAlign w:val="center"/>
                </w:tcPr>
                <w:p w14:paraId="7050F8E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olor w:val="auto"/>
                      <w:sz w:val="22"/>
                      <w:szCs w:val="22"/>
                      <w:highlight w:val="none"/>
                      <w:vertAlign w:val="baseline"/>
                    </w:rPr>
                  </w:pPr>
                  <w:r>
                    <w:rPr>
                      <w:rFonts w:hint="eastAsia" w:ascii="Times New Roman" w:hAnsi="Times New Roman" w:eastAsia="宋体"/>
                      <w:color w:val="auto"/>
                      <w:sz w:val="22"/>
                      <w:szCs w:val="22"/>
                      <w:highlight w:val="none"/>
                    </w:rPr>
                    <w:t xml:space="preserve">42.01 </w:t>
                  </w:r>
                </w:p>
              </w:tc>
              <w:tc>
                <w:tcPr>
                  <w:tcW w:w="424" w:type="pct"/>
                  <w:vAlign w:val="center"/>
                </w:tcPr>
                <w:p w14:paraId="0A63B9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color w:val="auto"/>
                      <w:sz w:val="22"/>
                      <w:szCs w:val="22"/>
                      <w:highlight w:val="none"/>
                    </w:rPr>
                    <w:t>38.49</w:t>
                  </w:r>
                </w:p>
              </w:tc>
              <w:tc>
                <w:tcPr>
                  <w:tcW w:w="424" w:type="pct"/>
                  <w:vAlign w:val="center"/>
                </w:tcPr>
                <w:p w14:paraId="381BD8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vertAlign w:val="baseline"/>
                    </w:rPr>
                  </w:pPr>
                  <w:r>
                    <w:rPr>
                      <w:rFonts w:hint="eastAsia" w:ascii="Times New Roman" w:hAnsi="Times New Roman" w:eastAsia="宋体" w:cs="Times New Roman"/>
                      <w:color w:val="auto"/>
                      <w:sz w:val="22"/>
                      <w:szCs w:val="22"/>
                      <w:highlight w:val="none"/>
                    </w:rPr>
                    <w:t>35.99</w:t>
                  </w:r>
                </w:p>
              </w:tc>
              <w:tc>
                <w:tcPr>
                  <w:tcW w:w="429" w:type="pct"/>
                  <w:vAlign w:val="center"/>
                </w:tcPr>
                <w:p w14:paraId="23C97C4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34.05 </w:t>
                  </w:r>
                </w:p>
              </w:tc>
              <w:tc>
                <w:tcPr>
                  <w:tcW w:w="429" w:type="pct"/>
                  <w:vAlign w:val="center"/>
                </w:tcPr>
                <w:p w14:paraId="32F57D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30.53 </w:t>
                  </w:r>
                </w:p>
              </w:tc>
              <w:tc>
                <w:tcPr>
                  <w:tcW w:w="429" w:type="pct"/>
                  <w:vAlign w:val="center"/>
                </w:tcPr>
                <w:p w14:paraId="106951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28.03 </w:t>
                  </w:r>
                </w:p>
              </w:tc>
              <w:tc>
                <w:tcPr>
                  <w:tcW w:w="429" w:type="pct"/>
                  <w:vAlign w:val="center"/>
                </w:tcPr>
                <w:p w14:paraId="069EED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heme="minorBidi"/>
                      <w:color w:val="auto"/>
                      <w:kern w:val="2"/>
                      <w:sz w:val="22"/>
                      <w:szCs w:val="22"/>
                      <w:highlight w:val="none"/>
                      <w:vertAlign w:val="baseline"/>
                      <w:lang w:val="en-US" w:eastAsia="zh-CN" w:bidi="ar-SA"/>
                    </w:rPr>
                  </w:pPr>
                  <w:r>
                    <w:rPr>
                      <w:rFonts w:hint="eastAsia" w:ascii="Times New Roman" w:hAnsi="Times New Roman" w:eastAsia="宋体"/>
                      <w:color w:val="auto"/>
                      <w:sz w:val="22"/>
                      <w:szCs w:val="22"/>
                      <w:highlight w:val="none"/>
                    </w:rPr>
                    <w:t xml:space="preserve">24.51 </w:t>
                  </w:r>
                </w:p>
              </w:tc>
            </w:tr>
            <w:tr w14:paraId="7AB1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pct"/>
                  <w:vAlign w:val="center"/>
                </w:tcPr>
                <w:p w14:paraId="3BA5B5CD">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叠加值</w:t>
                  </w:r>
                </w:p>
              </w:tc>
              <w:tc>
                <w:tcPr>
                  <w:tcW w:w="621" w:type="dxa"/>
                  <w:vAlign w:val="center"/>
                </w:tcPr>
                <w:p w14:paraId="1E9EFFF2">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84.5 </w:t>
                  </w:r>
                </w:p>
              </w:tc>
              <w:tc>
                <w:tcPr>
                  <w:tcW w:w="711" w:type="dxa"/>
                  <w:vAlign w:val="center"/>
                </w:tcPr>
                <w:p w14:paraId="1C093135">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65.6 </w:t>
                  </w:r>
                </w:p>
              </w:tc>
              <w:tc>
                <w:tcPr>
                  <w:tcW w:w="711" w:type="dxa"/>
                  <w:vAlign w:val="center"/>
                </w:tcPr>
                <w:p w14:paraId="50FF5ED8">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59.5 </w:t>
                  </w:r>
                </w:p>
              </w:tc>
              <w:tc>
                <w:tcPr>
                  <w:tcW w:w="711" w:type="dxa"/>
                  <w:vAlign w:val="center"/>
                </w:tcPr>
                <w:p w14:paraId="7D00FF1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53.5 </w:t>
                  </w:r>
                </w:p>
              </w:tc>
              <w:tc>
                <w:tcPr>
                  <w:tcW w:w="711" w:type="dxa"/>
                  <w:vAlign w:val="center"/>
                </w:tcPr>
                <w:p w14:paraId="69479506">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50.0 </w:t>
                  </w:r>
                </w:p>
              </w:tc>
              <w:tc>
                <w:tcPr>
                  <w:tcW w:w="711" w:type="dxa"/>
                  <w:vAlign w:val="center"/>
                </w:tcPr>
                <w:p w14:paraId="4D140E34">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47.5 </w:t>
                  </w:r>
                </w:p>
              </w:tc>
              <w:tc>
                <w:tcPr>
                  <w:tcW w:w="718" w:type="dxa"/>
                  <w:vAlign w:val="center"/>
                </w:tcPr>
                <w:p w14:paraId="72804D99">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45.6 </w:t>
                  </w:r>
                </w:p>
              </w:tc>
              <w:tc>
                <w:tcPr>
                  <w:tcW w:w="718" w:type="dxa"/>
                  <w:vAlign w:val="center"/>
                </w:tcPr>
                <w:p w14:paraId="33E3C903">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42.0 </w:t>
                  </w:r>
                </w:p>
              </w:tc>
              <w:tc>
                <w:tcPr>
                  <w:tcW w:w="719" w:type="dxa"/>
                  <w:vAlign w:val="center"/>
                </w:tcPr>
                <w:p w14:paraId="56519F60">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39.5 </w:t>
                  </w:r>
                </w:p>
              </w:tc>
              <w:tc>
                <w:tcPr>
                  <w:tcW w:w="719" w:type="dxa"/>
                  <w:vAlign w:val="center"/>
                </w:tcPr>
                <w:p w14:paraId="1512A2E4">
                  <w:pPr>
                    <w:pStyle w:val="17"/>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olor w:val="auto"/>
                      <w:sz w:val="22"/>
                      <w:szCs w:val="22"/>
                      <w:highlight w:val="none"/>
                      <w:vertAlign w:val="baseline"/>
                      <w:lang w:val="en-US" w:eastAsia="zh-CN"/>
                    </w:rPr>
                  </w:pPr>
                  <w:r>
                    <w:rPr>
                      <w:rFonts w:hint="eastAsia" w:ascii="Times New Roman" w:hAnsi="Times New Roman" w:eastAsia="宋体"/>
                      <w:color w:val="auto"/>
                      <w:sz w:val="22"/>
                      <w:szCs w:val="22"/>
                      <w:highlight w:val="none"/>
                      <w:vertAlign w:val="baseline"/>
                      <w:lang w:val="en-US" w:eastAsia="zh-CN"/>
                    </w:rPr>
                    <w:t xml:space="preserve">36.0 </w:t>
                  </w:r>
                </w:p>
              </w:tc>
            </w:tr>
          </w:tbl>
          <w:p w14:paraId="75E4C66C">
            <w:pPr>
              <w:pStyle w:val="38"/>
              <w:keepNext w:val="0"/>
              <w:keepLines w:val="0"/>
              <w:pageBreakBefore w:val="0"/>
              <w:widowControl w:val="0"/>
              <w:kinsoku/>
              <w:wordWrap/>
              <w:overflowPunct/>
              <w:topLinePunct w:val="0"/>
              <w:bidi w:val="0"/>
              <w:textAlignment w:val="auto"/>
              <w:rPr>
                <w:rFonts w:hAnsi="Times New Roman"/>
                <w:color w:val="auto"/>
                <w:highlight w:val="none"/>
              </w:rPr>
            </w:pPr>
            <w:r>
              <w:rPr>
                <w:rFonts w:hint="eastAsia" w:hAnsi="Times New Roman"/>
                <w:color w:val="auto"/>
                <w:highlight w:val="none"/>
              </w:rPr>
              <w:t>据上表预测结果可知，本项目</w:t>
            </w:r>
            <w:r>
              <w:rPr>
                <w:rFonts w:hint="eastAsia" w:hAnsi="Times New Roman"/>
                <w:color w:val="auto"/>
                <w:highlight w:val="none"/>
                <w:lang w:val="en-US" w:eastAsia="zh-CN"/>
              </w:rPr>
              <w:t>产噪设备</w:t>
            </w:r>
            <w:r>
              <w:rPr>
                <w:rFonts w:hint="eastAsia" w:hAnsi="Times New Roman"/>
                <w:color w:val="auto"/>
                <w:highlight w:val="none"/>
              </w:rPr>
              <w:t>运营期间经距离衰减后，昼间在</w:t>
            </w:r>
            <w:r>
              <w:rPr>
                <w:rFonts w:hint="eastAsia" w:hAnsi="Times New Roman"/>
                <w:color w:val="auto"/>
                <w:highlight w:val="none"/>
                <w:lang w:val="en-US" w:eastAsia="zh-CN"/>
              </w:rPr>
              <w:t>2</w:t>
            </w:r>
            <w:r>
              <w:rPr>
                <w:rFonts w:hint="eastAsia" w:hAnsi="Times New Roman"/>
                <w:color w:val="auto"/>
                <w:highlight w:val="none"/>
              </w:rPr>
              <w:t>0m以外的区域能够到达</w:t>
            </w:r>
            <w:r>
              <w:rPr>
                <w:rFonts w:hint="eastAsia"/>
                <w:color w:val="auto"/>
                <w:highlight w:val="none"/>
              </w:rPr>
              <w:t>《工业企业厂界环境噪声排放标准》（GB22337-2008）2类区昼间标准，夜间在</w:t>
            </w:r>
            <w:r>
              <w:rPr>
                <w:rFonts w:hint="eastAsia"/>
                <w:color w:val="auto"/>
                <w:highlight w:val="none"/>
                <w:lang w:val="en-US" w:eastAsia="zh-CN"/>
              </w:rPr>
              <w:t>6</w:t>
            </w:r>
            <w:r>
              <w:rPr>
                <w:rFonts w:hint="eastAsia"/>
                <w:color w:val="auto"/>
                <w:highlight w:val="none"/>
              </w:rPr>
              <w:t>0m以外的区域</w:t>
            </w:r>
            <w:r>
              <w:rPr>
                <w:rFonts w:hint="eastAsia" w:hAnsi="Times New Roman"/>
                <w:color w:val="auto"/>
                <w:highlight w:val="none"/>
              </w:rPr>
              <w:t>能够到达</w:t>
            </w:r>
            <w:r>
              <w:rPr>
                <w:rFonts w:hint="eastAsia"/>
                <w:color w:val="auto"/>
                <w:highlight w:val="none"/>
              </w:rPr>
              <w:t>《工业企业厂界环境噪声排放标准》（GB22337-2008）2类区夜间标准。</w:t>
            </w:r>
          </w:p>
          <w:p w14:paraId="48E12449">
            <w:pPr>
              <w:pStyle w:val="38"/>
              <w:keepNext w:val="0"/>
              <w:keepLines w:val="0"/>
              <w:pageBreakBefore w:val="0"/>
              <w:widowControl w:val="0"/>
              <w:kinsoku/>
              <w:wordWrap/>
              <w:overflowPunct/>
              <w:topLinePunct w:val="0"/>
              <w:bidi w:val="0"/>
              <w:textAlignment w:val="auto"/>
              <w:rPr>
                <w:rFonts w:hAnsi="Times New Roman"/>
                <w:color w:val="auto"/>
                <w:highlight w:val="none"/>
              </w:rPr>
            </w:pPr>
            <w:r>
              <w:rPr>
                <w:rFonts w:hint="eastAsia" w:hAnsi="Times New Roman"/>
                <w:color w:val="auto"/>
                <w:highlight w:val="none"/>
                <w:lang w:val="en-US" w:eastAsia="zh-CN"/>
              </w:rPr>
              <w:t>本项目距离厂区最近的为东南侧的排子田散户，距离项目区200m，</w:t>
            </w:r>
            <w:r>
              <w:rPr>
                <w:rFonts w:hint="eastAsia" w:hAnsi="Times New Roman"/>
                <w:color w:val="auto"/>
                <w:highlight w:val="none"/>
              </w:rPr>
              <w:t>本次预测敏感点选取</w:t>
            </w:r>
            <w:r>
              <w:rPr>
                <w:rFonts w:hint="eastAsia" w:hAnsi="Times New Roman"/>
                <w:color w:val="auto"/>
                <w:highlight w:val="none"/>
                <w:lang w:val="en-US" w:eastAsia="zh-CN"/>
              </w:rPr>
              <w:t>厂区东南侧的排子田散户，</w:t>
            </w:r>
            <w:r>
              <w:rPr>
                <w:rFonts w:hint="eastAsia" w:hAnsi="Times New Roman"/>
                <w:color w:val="auto"/>
                <w:highlight w:val="none"/>
              </w:rPr>
              <w:t>预测结果如下：</w:t>
            </w:r>
          </w:p>
          <w:p w14:paraId="47FF2DA7">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color w:val="auto"/>
                <w:sz w:val="26"/>
                <w:szCs w:val="26"/>
                <w:highlight w:val="none"/>
                <w:vertAlign w:val="baseline"/>
              </w:rPr>
            </w:pPr>
            <w:r>
              <w:rPr>
                <w:rFonts w:hint="eastAsia" w:hAnsi="Times New Roman"/>
                <w:b/>
                <w:bCs/>
                <w:color w:val="auto"/>
                <w:sz w:val="21"/>
                <w:szCs w:val="21"/>
                <w:highlight w:val="none"/>
              </w:rPr>
              <w:t>表7-</w:t>
            </w:r>
            <w:r>
              <w:rPr>
                <w:rFonts w:hint="eastAsia" w:hAnsi="Times New Roman"/>
                <w:b/>
                <w:bCs/>
                <w:color w:val="auto"/>
                <w:sz w:val="21"/>
                <w:szCs w:val="21"/>
                <w:highlight w:val="none"/>
                <w:lang w:val="en-US" w:eastAsia="zh-CN"/>
              </w:rPr>
              <w:t>12</w:t>
            </w:r>
            <w:r>
              <w:rPr>
                <w:rFonts w:hint="eastAsia" w:hAnsi="Times New Roman"/>
                <w:b/>
                <w:bCs/>
                <w:color w:val="auto"/>
                <w:sz w:val="21"/>
                <w:szCs w:val="21"/>
                <w:highlight w:val="none"/>
              </w:rPr>
              <w:t xml:space="preserve">  敏感点噪声预测结果一览表   dB（A）</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460"/>
              <w:gridCol w:w="969"/>
              <w:gridCol w:w="999"/>
              <w:gridCol w:w="732"/>
              <w:gridCol w:w="825"/>
              <w:gridCol w:w="959"/>
              <w:gridCol w:w="939"/>
              <w:gridCol w:w="957"/>
            </w:tblGrid>
            <w:tr w14:paraId="1839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73" w:type="pct"/>
                  <w:vMerge w:val="restart"/>
                  <w:vAlign w:val="center"/>
                </w:tcPr>
                <w:p w14:paraId="54AD0729">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序号</w:t>
                  </w:r>
                </w:p>
              </w:tc>
              <w:tc>
                <w:tcPr>
                  <w:tcW w:w="880" w:type="pct"/>
                  <w:vMerge w:val="restart"/>
                  <w:vAlign w:val="center"/>
                </w:tcPr>
                <w:p w14:paraId="2EB198A8">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自然村</w:t>
                  </w:r>
                </w:p>
              </w:tc>
              <w:tc>
                <w:tcPr>
                  <w:tcW w:w="1186" w:type="pct"/>
                  <w:gridSpan w:val="2"/>
                  <w:vAlign w:val="center"/>
                </w:tcPr>
                <w:p w14:paraId="132F4BCC">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背景值</w:t>
                  </w:r>
                </w:p>
              </w:tc>
              <w:tc>
                <w:tcPr>
                  <w:tcW w:w="938" w:type="pct"/>
                  <w:gridSpan w:val="2"/>
                  <w:vAlign w:val="center"/>
                </w:tcPr>
                <w:p w14:paraId="038D376F">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贡献值</w:t>
                  </w:r>
                </w:p>
              </w:tc>
              <w:tc>
                <w:tcPr>
                  <w:tcW w:w="1144" w:type="pct"/>
                  <w:gridSpan w:val="2"/>
                  <w:vAlign w:val="center"/>
                </w:tcPr>
                <w:p w14:paraId="2346FA20">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叠加值</w:t>
                  </w:r>
                </w:p>
              </w:tc>
              <w:tc>
                <w:tcPr>
                  <w:tcW w:w="576" w:type="pct"/>
                  <w:vAlign w:val="center"/>
                </w:tcPr>
                <w:p w14:paraId="443CAD13">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达标性</w:t>
                  </w:r>
                </w:p>
              </w:tc>
            </w:tr>
            <w:tr w14:paraId="4C9B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73" w:type="pct"/>
                  <w:vMerge w:val="continue"/>
                  <w:vAlign w:val="center"/>
                </w:tcPr>
                <w:p w14:paraId="4CE483BF">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p>
              </w:tc>
              <w:tc>
                <w:tcPr>
                  <w:tcW w:w="880" w:type="pct"/>
                  <w:vMerge w:val="continue"/>
                  <w:vAlign w:val="center"/>
                </w:tcPr>
                <w:p w14:paraId="2E16CF50">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p>
              </w:tc>
              <w:tc>
                <w:tcPr>
                  <w:tcW w:w="584" w:type="pct"/>
                  <w:vAlign w:val="center"/>
                </w:tcPr>
                <w:p w14:paraId="11FF28F0">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昼间</w:t>
                  </w:r>
                </w:p>
              </w:tc>
              <w:tc>
                <w:tcPr>
                  <w:tcW w:w="602" w:type="pct"/>
                  <w:vAlign w:val="center"/>
                </w:tcPr>
                <w:p w14:paraId="251397D5">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夜间</w:t>
                  </w:r>
                </w:p>
              </w:tc>
              <w:tc>
                <w:tcPr>
                  <w:tcW w:w="441" w:type="pct"/>
                  <w:vAlign w:val="center"/>
                </w:tcPr>
                <w:p w14:paraId="730EBFA3">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昼间</w:t>
                  </w:r>
                </w:p>
              </w:tc>
              <w:tc>
                <w:tcPr>
                  <w:tcW w:w="497" w:type="pct"/>
                  <w:vAlign w:val="center"/>
                </w:tcPr>
                <w:p w14:paraId="47302F2D">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夜间</w:t>
                  </w:r>
                </w:p>
              </w:tc>
              <w:tc>
                <w:tcPr>
                  <w:tcW w:w="578" w:type="pct"/>
                  <w:vAlign w:val="center"/>
                </w:tcPr>
                <w:p w14:paraId="2F420EF1">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昼间</w:t>
                  </w:r>
                </w:p>
              </w:tc>
              <w:tc>
                <w:tcPr>
                  <w:tcW w:w="566" w:type="pct"/>
                  <w:vAlign w:val="center"/>
                </w:tcPr>
                <w:p w14:paraId="6A8E7109">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eastAsia="宋体"/>
                      <w:color w:val="auto"/>
                      <w:sz w:val="22"/>
                      <w:szCs w:val="22"/>
                      <w:highlight w:val="none"/>
                    </w:rPr>
                    <w:t>夜间</w:t>
                  </w:r>
                </w:p>
              </w:tc>
              <w:tc>
                <w:tcPr>
                  <w:tcW w:w="576" w:type="pct"/>
                  <w:vAlign w:val="center"/>
                </w:tcPr>
                <w:p w14:paraId="6B738A1F">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hAnsi="Times New Roman" w:eastAsia="宋体"/>
                      <w:color w:val="auto"/>
                      <w:sz w:val="22"/>
                      <w:szCs w:val="22"/>
                      <w:highlight w:val="none"/>
                    </w:rPr>
                    <w:t>达标</w:t>
                  </w:r>
                </w:p>
              </w:tc>
            </w:tr>
            <w:tr w14:paraId="51B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14:paraId="1BF4282C">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Ansi="Times New Roman" w:eastAsia="宋体"/>
                      <w:color w:val="auto"/>
                      <w:sz w:val="22"/>
                      <w:szCs w:val="22"/>
                      <w:highlight w:val="none"/>
                    </w:rPr>
                  </w:pPr>
                  <w:r>
                    <w:rPr>
                      <w:rFonts w:hint="eastAsia" w:hAnsi="Times New Roman" w:eastAsia="宋体"/>
                      <w:color w:val="auto"/>
                      <w:sz w:val="22"/>
                      <w:szCs w:val="22"/>
                      <w:highlight w:val="none"/>
                    </w:rPr>
                    <w:t>1</w:t>
                  </w:r>
                </w:p>
              </w:tc>
              <w:tc>
                <w:tcPr>
                  <w:tcW w:w="880" w:type="pct"/>
                  <w:vAlign w:val="center"/>
                </w:tcPr>
                <w:p w14:paraId="55E45C05">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eastAsia="宋体"/>
                      <w:color w:val="auto"/>
                      <w:sz w:val="22"/>
                      <w:szCs w:val="22"/>
                      <w:highlight w:val="none"/>
                      <w:lang w:val="en-US" w:eastAsia="zh-CN"/>
                    </w:rPr>
                    <w:t>厂区东南侧排子田散户</w:t>
                  </w:r>
                </w:p>
              </w:tc>
              <w:tc>
                <w:tcPr>
                  <w:tcW w:w="584" w:type="pct"/>
                  <w:vAlign w:val="center"/>
                </w:tcPr>
                <w:p w14:paraId="692270A3">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color w:val="auto"/>
                      <w:sz w:val="22"/>
                      <w:szCs w:val="22"/>
                      <w:highlight w:val="none"/>
                      <w:lang w:val="en-US" w:eastAsia="zh-CN"/>
                    </w:rPr>
                    <w:t>54</w:t>
                  </w:r>
                </w:p>
              </w:tc>
              <w:tc>
                <w:tcPr>
                  <w:tcW w:w="602" w:type="pct"/>
                  <w:vAlign w:val="center"/>
                </w:tcPr>
                <w:p w14:paraId="71AFE241">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color w:val="auto"/>
                      <w:sz w:val="22"/>
                      <w:szCs w:val="22"/>
                      <w:highlight w:val="none"/>
                      <w:lang w:val="en-US" w:eastAsia="zh-CN"/>
                    </w:rPr>
                    <w:t>44</w:t>
                  </w:r>
                </w:p>
              </w:tc>
              <w:tc>
                <w:tcPr>
                  <w:tcW w:w="441" w:type="pct"/>
                  <w:vAlign w:val="center"/>
                </w:tcPr>
                <w:p w14:paraId="7825F4D8">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eastAsia="宋体"/>
                      <w:color w:val="auto"/>
                      <w:sz w:val="22"/>
                      <w:szCs w:val="22"/>
                      <w:highlight w:val="none"/>
                      <w:lang w:val="en-US" w:eastAsia="zh-CN"/>
                    </w:rPr>
                    <w:t>39.5</w:t>
                  </w:r>
                </w:p>
              </w:tc>
              <w:tc>
                <w:tcPr>
                  <w:tcW w:w="497" w:type="pct"/>
                  <w:vAlign w:val="center"/>
                </w:tcPr>
                <w:p w14:paraId="689820CA">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eastAsia="宋体"/>
                      <w:color w:val="auto"/>
                      <w:sz w:val="22"/>
                      <w:szCs w:val="22"/>
                      <w:highlight w:val="none"/>
                      <w:lang w:val="en-US" w:eastAsia="zh-CN"/>
                    </w:rPr>
                    <w:t>39.5</w:t>
                  </w:r>
                </w:p>
              </w:tc>
              <w:tc>
                <w:tcPr>
                  <w:tcW w:w="578" w:type="pct"/>
                  <w:vAlign w:val="center"/>
                </w:tcPr>
                <w:p w14:paraId="74F64C44">
                  <w:pPr>
                    <w:pStyle w:val="3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hAnsi="Times New Roman"/>
                      <w:color w:val="auto"/>
                      <w:sz w:val="22"/>
                      <w:szCs w:val="22"/>
                      <w:highlight w:val="none"/>
                      <w:lang w:val="en-US" w:eastAsia="zh-CN"/>
                    </w:rPr>
                    <w:t>54.2</w:t>
                  </w:r>
                </w:p>
              </w:tc>
              <w:tc>
                <w:tcPr>
                  <w:tcW w:w="566" w:type="pct"/>
                  <w:vAlign w:val="center"/>
                </w:tcPr>
                <w:p w14:paraId="556556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Ansi="Times New Roman" w:eastAsia="宋体"/>
                      <w:color w:val="auto"/>
                      <w:sz w:val="22"/>
                      <w:szCs w:val="22"/>
                      <w:highlight w:val="none"/>
                      <w:lang w:val="en-US" w:eastAsia="zh-CN"/>
                    </w:rPr>
                  </w:pPr>
                  <w:r>
                    <w:rPr>
                      <w:rFonts w:hint="eastAsia"/>
                      <w:color w:val="auto"/>
                      <w:sz w:val="22"/>
                      <w:szCs w:val="22"/>
                      <w:highlight w:val="none"/>
                      <w:lang w:val="en-US" w:eastAsia="zh-CN"/>
                    </w:rPr>
                    <w:t>45.3</w:t>
                  </w:r>
                </w:p>
              </w:tc>
              <w:tc>
                <w:tcPr>
                  <w:tcW w:w="576" w:type="pct"/>
                  <w:vAlign w:val="center"/>
                </w:tcPr>
                <w:p w14:paraId="7AEF2A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eastAsia="宋体"/>
                      <w:color w:val="auto"/>
                      <w:sz w:val="22"/>
                      <w:szCs w:val="22"/>
                      <w:highlight w:val="none"/>
                    </w:rPr>
                  </w:pPr>
                  <w:r>
                    <w:rPr>
                      <w:rFonts w:hint="eastAsia" w:hAnsi="Times New Roman" w:eastAsia="宋体"/>
                      <w:color w:val="auto"/>
                      <w:sz w:val="22"/>
                      <w:szCs w:val="22"/>
                      <w:highlight w:val="none"/>
                    </w:rPr>
                    <w:t>达标</w:t>
                  </w:r>
                </w:p>
              </w:tc>
            </w:tr>
          </w:tbl>
          <w:p w14:paraId="6C1861A3">
            <w:pPr>
              <w:pStyle w:val="38"/>
              <w:keepNext w:val="0"/>
              <w:keepLines w:val="0"/>
              <w:pageBreakBefore w:val="0"/>
              <w:widowControl w:val="0"/>
              <w:kinsoku/>
              <w:wordWrap/>
              <w:overflowPunct/>
              <w:topLinePunct w:val="0"/>
              <w:bidi w:val="0"/>
              <w:textAlignment w:val="auto"/>
              <w:rPr>
                <w:rFonts w:hint="eastAsia" w:hAnsi="Times New Roman"/>
                <w:color w:val="auto"/>
                <w:highlight w:val="none"/>
              </w:rPr>
            </w:pPr>
            <w:r>
              <w:rPr>
                <w:rFonts w:hint="eastAsia" w:hAnsi="Times New Roman"/>
                <w:color w:val="auto"/>
                <w:highlight w:val="none"/>
              </w:rPr>
              <w:t>由上表可得出本项目</w:t>
            </w:r>
            <w:r>
              <w:rPr>
                <w:rFonts w:hint="eastAsia" w:hAnsi="Times New Roman"/>
                <w:color w:val="auto"/>
                <w:highlight w:val="none"/>
                <w:lang w:val="en-US" w:eastAsia="zh-CN"/>
              </w:rPr>
              <w:t>运营期在最近居民（厂区东南侧排子田散户处）</w:t>
            </w:r>
            <w:r>
              <w:rPr>
                <w:rFonts w:hint="eastAsia" w:hAnsi="Times New Roman"/>
                <w:color w:val="auto"/>
                <w:highlight w:val="none"/>
              </w:rPr>
              <w:t>噪声是能达到《声环境质量标准》中的2类标准，</w:t>
            </w:r>
            <w:r>
              <w:rPr>
                <w:rFonts w:hint="eastAsia" w:hAnsi="Times New Roman"/>
                <w:color w:val="auto"/>
                <w:highlight w:val="none"/>
                <w:lang w:val="en-US" w:eastAsia="zh-CN"/>
              </w:rPr>
              <w:t>本项目的</w:t>
            </w:r>
            <w:r>
              <w:rPr>
                <w:rFonts w:hint="eastAsia" w:hAnsi="Times New Roman"/>
                <w:color w:val="auto"/>
                <w:highlight w:val="none"/>
              </w:rPr>
              <w:t>建设对</w:t>
            </w:r>
            <w:r>
              <w:rPr>
                <w:rFonts w:hint="eastAsia" w:hAnsi="Times New Roman"/>
                <w:color w:val="auto"/>
                <w:highlight w:val="none"/>
                <w:lang w:val="en-US" w:eastAsia="zh-CN"/>
              </w:rPr>
              <w:t>周边居民</w:t>
            </w:r>
            <w:r>
              <w:rPr>
                <w:rFonts w:hint="eastAsia" w:hAnsi="Times New Roman"/>
                <w:color w:val="auto"/>
                <w:highlight w:val="none"/>
              </w:rPr>
              <w:t>的影响较小；其余的村子距离</w:t>
            </w:r>
            <w:r>
              <w:rPr>
                <w:rFonts w:hint="eastAsia" w:hAnsi="Times New Roman"/>
                <w:color w:val="auto"/>
                <w:highlight w:val="none"/>
                <w:lang w:val="en-US" w:eastAsia="zh-CN"/>
              </w:rPr>
              <w:t>本项目</w:t>
            </w:r>
            <w:r>
              <w:rPr>
                <w:rFonts w:hint="eastAsia" w:hAnsi="Times New Roman"/>
                <w:color w:val="auto"/>
                <w:highlight w:val="none"/>
              </w:rPr>
              <w:t>较远，影响较小，在可接受范围内。</w:t>
            </w:r>
          </w:p>
          <w:p w14:paraId="7E5CC73A">
            <w:pPr>
              <w:pStyle w:val="38"/>
              <w:keepNext w:val="0"/>
              <w:keepLines w:val="0"/>
              <w:pageBreakBefore w:val="0"/>
              <w:widowControl w:val="0"/>
              <w:kinsoku/>
              <w:wordWrap/>
              <w:overflowPunct/>
              <w:topLinePunct w:val="0"/>
              <w:bidi w:val="0"/>
              <w:textAlignment w:val="auto"/>
              <w:rPr>
                <w:rFonts w:hint="eastAsia" w:hAnsi="Times New Roman"/>
                <w:color w:val="auto"/>
                <w:highlight w:val="none"/>
              </w:rPr>
            </w:pPr>
            <w:r>
              <w:rPr>
                <w:rFonts w:hint="eastAsia" w:ascii="宋体" w:hAnsi="宋体" w:eastAsia="宋体" w:cs="宋体"/>
                <w:color w:val="auto"/>
                <w:highlight w:val="none"/>
              </w:rPr>
              <w:t>④</w:t>
            </w:r>
            <w:r>
              <w:rPr>
                <w:rFonts w:hint="eastAsia" w:hAnsi="Times New Roman"/>
                <w:color w:val="auto"/>
                <w:highlight w:val="none"/>
              </w:rPr>
              <w:t>爆破振动环境影响分析</w:t>
            </w:r>
          </w:p>
          <w:p w14:paraId="2D92A581">
            <w:pPr>
              <w:pStyle w:val="38"/>
              <w:keepNext w:val="0"/>
              <w:keepLines w:val="0"/>
              <w:pageBreakBefore w:val="0"/>
              <w:widowControl w:val="0"/>
              <w:kinsoku/>
              <w:wordWrap/>
              <w:overflowPunct/>
              <w:topLinePunct w:val="0"/>
              <w:bidi w:val="0"/>
              <w:textAlignment w:val="auto"/>
              <w:rPr>
                <w:rFonts w:hint="eastAsia" w:hAnsi="Times New Roman"/>
                <w:color w:val="auto"/>
                <w:highlight w:val="none"/>
              </w:rPr>
            </w:pPr>
            <w:r>
              <w:rPr>
                <w:rFonts w:hint="eastAsia" w:hAnsi="Times New Roman"/>
                <w:color w:val="auto"/>
                <w:highlight w:val="none"/>
              </w:rPr>
              <w:t>爆破时，炸药的能量通过地面传播，当能量大到一定程度时，就可能会对附近的建筑物造成破坏。根据</w:t>
            </w:r>
            <w:r>
              <w:rPr>
                <w:rFonts w:hint="eastAsia" w:hAnsi="Times New Roman"/>
                <w:color w:val="auto"/>
                <w:highlight w:val="none"/>
                <w:lang w:val="en-US" w:eastAsia="zh-CN"/>
              </w:rPr>
              <w:t>开发利用方案可知</w:t>
            </w:r>
            <w:r>
              <w:rPr>
                <w:rFonts w:hint="eastAsia" w:hAnsi="Times New Roman"/>
                <w:color w:val="auto"/>
                <w:highlight w:val="none"/>
              </w:rPr>
              <w:t>，</w:t>
            </w:r>
            <w:r>
              <w:rPr>
                <w:rFonts w:hint="eastAsia"/>
                <w:color w:val="auto"/>
                <w:sz w:val="26"/>
                <w:szCs w:val="26"/>
                <w:highlight w:val="none"/>
                <w:lang w:val="en-US" w:eastAsia="zh-CN"/>
              </w:rPr>
              <w:t>本项目爆破</w:t>
            </w:r>
            <w:r>
              <w:rPr>
                <w:rFonts w:hint="eastAsia" w:ascii="Times New Roman" w:hAnsi="Times New Roman"/>
                <w:color w:val="auto"/>
                <w:sz w:val="26"/>
                <w:szCs w:val="26"/>
                <w:highlight w:val="none"/>
              </w:rPr>
              <w:t>空气冲击波对建筑物安全距离为107.3m；空气冲击波对避炮人员的安全距离121.6m；碎石飞散对人员的安全距离为87.5m；爆破震动安全影响距离66m</w:t>
            </w:r>
            <w:r>
              <w:rPr>
                <w:rFonts w:hint="eastAsia"/>
                <w:color w:val="auto"/>
                <w:sz w:val="26"/>
                <w:szCs w:val="26"/>
                <w:highlight w:val="none"/>
                <w:lang w:eastAsia="zh-CN"/>
              </w:rPr>
              <w:t>。</w:t>
            </w:r>
            <w:r>
              <w:rPr>
                <w:rFonts w:hint="eastAsia" w:hAnsi="Times New Roman"/>
                <w:color w:val="auto"/>
                <w:highlight w:val="none"/>
              </w:rPr>
              <w:t>矿区周围最近敏感点建筑与采矿爆破区水平距离在</w:t>
            </w:r>
            <w:r>
              <w:rPr>
                <w:rFonts w:hint="eastAsia" w:hAnsi="Times New Roman"/>
                <w:color w:val="auto"/>
                <w:highlight w:val="none"/>
                <w:lang w:val="en-US" w:eastAsia="zh-CN"/>
              </w:rPr>
              <w:t>2</w:t>
            </w:r>
            <w:r>
              <w:rPr>
                <w:rFonts w:hint="eastAsia" w:hAnsi="Times New Roman"/>
                <w:color w:val="auto"/>
                <w:highlight w:val="none"/>
              </w:rPr>
              <w:t>00m以上，</w:t>
            </w:r>
            <w:r>
              <w:rPr>
                <w:rFonts w:hint="eastAsia" w:ascii="Times New Roman" w:hAnsi="Times New Roman"/>
                <w:color w:val="auto"/>
                <w:sz w:val="26"/>
                <w:szCs w:val="26"/>
                <w:highlight w:val="none"/>
              </w:rPr>
              <w:t>矿体爆破点到最近的居民点地面建(构)筑物直线距离超过项目确定的爆破振动安全距离。因此，爆破作业而产生的爆破振动不会对地表房屋造成破坏。</w:t>
            </w:r>
          </w:p>
          <w:p w14:paraId="2AE4927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b/>
                <w:bCs/>
                <w:color w:val="auto"/>
                <w:sz w:val="26"/>
                <w:szCs w:val="26"/>
                <w:highlight w:val="none"/>
                <w:vertAlign w:val="baseline"/>
                <w:lang w:val="en-US" w:eastAsia="zh-CN"/>
              </w:rPr>
            </w:pP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4</w:t>
            </w:r>
            <w:r>
              <w:rPr>
                <w:rFonts w:hint="eastAsia" w:ascii="Times New Roman" w:hAnsi="Times New Roman"/>
                <w:b/>
                <w:bCs/>
                <w:color w:val="auto"/>
                <w:sz w:val="26"/>
                <w:szCs w:val="26"/>
                <w:highlight w:val="none"/>
                <w:vertAlign w:val="baseline"/>
                <w:lang w:eastAsia="zh-CN"/>
              </w:rPr>
              <w:t>）</w:t>
            </w:r>
            <w:r>
              <w:rPr>
                <w:rFonts w:hint="eastAsia" w:ascii="Times New Roman" w:hAnsi="Times New Roman"/>
                <w:b/>
                <w:bCs/>
                <w:color w:val="auto"/>
                <w:sz w:val="26"/>
                <w:szCs w:val="26"/>
                <w:highlight w:val="none"/>
                <w:vertAlign w:val="baseline"/>
                <w:lang w:val="en-US" w:eastAsia="zh-CN"/>
              </w:rPr>
              <w:t>固体废物环境影响分析</w:t>
            </w:r>
          </w:p>
          <w:p w14:paraId="2F5F2684">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项目营运期产生的固体废物主要为生活垃圾、废雷管</w:t>
            </w:r>
            <w:r>
              <w:rPr>
                <w:rFonts w:hint="eastAsia"/>
                <w:color w:val="auto"/>
                <w:sz w:val="26"/>
                <w:szCs w:val="26"/>
                <w:highlight w:val="none"/>
                <w:lang w:eastAsia="zh-CN"/>
              </w:rPr>
              <w:t>、</w:t>
            </w:r>
            <w:r>
              <w:rPr>
                <w:rFonts w:hint="eastAsia" w:ascii="Times New Roman" w:hAnsi="Times New Roman"/>
                <w:color w:val="auto"/>
                <w:sz w:val="26"/>
                <w:szCs w:val="26"/>
                <w:highlight w:val="none"/>
              </w:rPr>
              <w:t>废机油</w:t>
            </w:r>
            <w:r>
              <w:rPr>
                <w:rFonts w:hint="eastAsia"/>
                <w:color w:val="auto"/>
                <w:sz w:val="26"/>
                <w:szCs w:val="26"/>
                <w:highlight w:val="none"/>
                <w:lang w:eastAsia="zh-CN"/>
              </w:rPr>
              <w:t>、</w:t>
            </w:r>
            <w:r>
              <w:rPr>
                <w:rFonts w:hint="eastAsia" w:ascii="Times New Roman" w:hAnsi="Times New Roman"/>
                <w:color w:val="auto"/>
                <w:sz w:val="26"/>
                <w:szCs w:val="26"/>
                <w:highlight w:val="none"/>
              </w:rPr>
              <w:t>剥离表土</w:t>
            </w:r>
            <w:r>
              <w:rPr>
                <w:rFonts w:hint="eastAsia"/>
                <w:color w:val="auto"/>
                <w:sz w:val="26"/>
                <w:szCs w:val="26"/>
                <w:highlight w:val="none"/>
                <w:lang w:val="en-US" w:eastAsia="zh-CN"/>
              </w:rPr>
              <w:t>等</w:t>
            </w:r>
            <w:r>
              <w:rPr>
                <w:rFonts w:hint="eastAsia" w:ascii="Times New Roman" w:hAnsi="Times New Roman"/>
                <w:color w:val="auto"/>
                <w:sz w:val="26"/>
                <w:szCs w:val="26"/>
                <w:highlight w:val="none"/>
              </w:rPr>
              <w:t>。</w:t>
            </w:r>
          </w:p>
          <w:p w14:paraId="565CE8B1">
            <w:pPr>
              <w:spacing w:line="480" w:lineRule="exact"/>
              <w:ind w:firstLine="520" w:firstLineChars="200"/>
              <w:rPr>
                <w:rFonts w:ascii="Times New Roman" w:hAnsi="Times New Roman"/>
                <w:color w:val="auto"/>
                <w:sz w:val="26"/>
                <w:szCs w:val="26"/>
                <w:highlight w:val="none"/>
              </w:rPr>
            </w:pPr>
            <w:r>
              <w:rPr>
                <w:rFonts w:hint="eastAsia" w:ascii="宋体" w:hAnsi="宋体" w:eastAsia="宋体" w:cs="宋体"/>
                <w:color w:val="auto"/>
                <w:sz w:val="26"/>
                <w:szCs w:val="26"/>
                <w:highlight w:val="none"/>
              </w:rPr>
              <w:t>①</w:t>
            </w:r>
            <w:r>
              <w:rPr>
                <w:rFonts w:ascii="Times New Roman" w:hAnsi="Times New Roman"/>
                <w:color w:val="auto"/>
                <w:sz w:val="26"/>
                <w:szCs w:val="26"/>
                <w:highlight w:val="none"/>
              </w:rPr>
              <w:t>生活垃圾</w:t>
            </w:r>
          </w:p>
          <w:p w14:paraId="40D9B041">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lang w:val="en-US" w:eastAsia="zh-CN"/>
              </w:rPr>
              <w:t>本项目设有生活区，</w:t>
            </w:r>
            <w:r>
              <w:rPr>
                <w:rFonts w:ascii="Times New Roman" w:hAnsi="Times New Roman"/>
                <w:color w:val="auto"/>
                <w:sz w:val="26"/>
                <w:szCs w:val="26"/>
                <w:highlight w:val="none"/>
              </w:rPr>
              <w:t>产生的生活垃圾</w:t>
            </w:r>
            <w:r>
              <w:rPr>
                <w:rFonts w:hint="eastAsia"/>
                <w:color w:val="auto"/>
                <w:sz w:val="26"/>
                <w:szCs w:val="26"/>
                <w:highlight w:val="none"/>
                <w:lang w:val="en-US" w:eastAsia="zh-CN"/>
              </w:rPr>
              <w:t>4.95</w:t>
            </w:r>
            <w:r>
              <w:rPr>
                <w:rFonts w:ascii="Times New Roman" w:hAnsi="Times New Roman"/>
                <w:color w:val="auto"/>
                <w:sz w:val="26"/>
                <w:szCs w:val="26"/>
                <w:highlight w:val="none"/>
              </w:rPr>
              <w:t>t/a，经收集后定期清运至</w:t>
            </w:r>
            <w:r>
              <w:rPr>
                <w:rFonts w:hint="eastAsia" w:ascii="Times New Roman" w:hAnsi="Times New Roman"/>
                <w:color w:val="auto"/>
                <w:sz w:val="26"/>
                <w:szCs w:val="26"/>
                <w:highlight w:val="none"/>
                <w:lang w:val="en-US" w:eastAsia="zh-CN"/>
              </w:rPr>
              <w:t>环卫部门指点的</w:t>
            </w:r>
            <w:r>
              <w:rPr>
                <w:rFonts w:ascii="Times New Roman" w:hAnsi="Times New Roman"/>
                <w:color w:val="auto"/>
                <w:sz w:val="26"/>
                <w:szCs w:val="26"/>
                <w:highlight w:val="none"/>
              </w:rPr>
              <w:t>堆放点处置</w:t>
            </w:r>
            <w:r>
              <w:rPr>
                <w:rFonts w:hint="eastAsia" w:ascii="Times New Roman" w:hAnsi="Times New Roman"/>
                <w:color w:val="auto"/>
                <w:sz w:val="26"/>
                <w:szCs w:val="26"/>
                <w:highlight w:val="none"/>
              </w:rPr>
              <w:t>，不乱堆乱丢，对项目周边环境影响较小。</w:t>
            </w:r>
          </w:p>
          <w:p w14:paraId="5559D718">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②废雷管</w:t>
            </w:r>
          </w:p>
          <w:p w14:paraId="44B88AD3">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爆破由当地爆破公司组织和提供炸药，每天产生的废雷管约为36.5kg</w:t>
            </w:r>
            <w:r>
              <w:rPr>
                <w:rFonts w:hint="eastAsia"/>
                <w:color w:val="auto"/>
                <w:sz w:val="26"/>
                <w:szCs w:val="26"/>
                <w:highlight w:val="none"/>
                <w:lang w:eastAsia="zh-CN"/>
              </w:rPr>
              <w:t>，</w:t>
            </w:r>
            <w:r>
              <w:rPr>
                <w:rFonts w:hint="eastAsia" w:ascii="Times New Roman" w:hAnsi="Times New Roman"/>
                <w:color w:val="auto"/>
                <w:sz w:val="26"/>
                <w:szCs w:val="26"/>
                <w:highlight w:val="none"/>
              </w:rPr>
              <w:t>每年约10.95t</w:t>
            </w:r>
            <w:r>
              <w:rPr>
                <w:rFonts w:hint="eastAsia"/>
                <w:color w:val="auto"/>
                <w:sz w:val="26"/>
                <w:szCs w:val="26"/>
                <w:highlight w:val="none"/>
                <w:lang w:eastAsia="zh-CN"/>
              </w:rPr>
              <w:t>，</w:t>
            </w:r>
            <w:r>
              <w:rPr>
                <w:rFonts w:hint="eastAsia" w:ascii="Times New Roman" w:hAnsi="Times New Roman"/>
                <w:color w:val="auto"/>
                <w:sz w:val="26"/>
                <w:szCs w:val="26"/>
                <w:highlight w:val="none"/>
              </w:rPr>
              <w:t>交由爆破公司代为处理和处置。</w:t>
            </w:r>
          </w:p>
          <w:p w14:paraId="547DC751">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Times New Roman" w:hAnsi="Times New Roman"/>
                <w:color w:val="auto"/>
                <w:sz w:val="26"/>
                <w:szCs w:val="26"/>
                <w:highlight w:val="none"/>
              </w:rPr>
              <w:t>③废机油</w:t>
            </w:r>
          </w:p>
          <w:p w14:paraId="68E8F310">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项目大部分矿山机械需要定期更换机油，本项目矿山规模较小，废机油年产生量约为</w:t>
            </w:r>
            <w:r>
              <w:rPr>
                <w:rFonts w:hint="eastAsia"/>
                <w:color w:val="auto"/>
                <w:sz w:val="26"/>
                <w:szCs w:val="26"/>
                <w:highlight w:val="none"/>
                <w:lang w:val="en-US" w:eastAsia="zh-CN"/>
              </w:rPr>
              <w:t>0.2</w:t>
            </w:r>
            <w:r>
              <w:rPr>
                <w:rFonts w:hint="eastAsia" w:ascii="Times New Roman" w:hAnsi="Times New Roman"/>
                <w:color w:val="auto"/>
                <w:sz w:val="26"/>
                <w:szCs w:val="26"/>
                <w:highlight w:val="none"/>
              </w:rPr>
              <w:t>t</w:t>
            </w:r>
            <w:r>
              <w:rPr>
                <w:rFonts w:hint="eastAsia"/>
                <w:color w:val="auto"/>
                <w:sz w:val="26"/>
                <w:szCs w:val="26"/>
                <w:highlight w:val="none"/>
                <w:lang w:val="en-US" w:eastAsia="zh-CN"/>
              </w:rPr>
              <w:t>/</w:t>
            </w:r>
            <w:r>
              <w:rPr>
                <w:rFonts w:hint="eastAsia" w:ascii="Times New Roman" w:hAnsi="Times New Roman"/>
                <w:color w:val="auto"/>
                <w:sz w:val="26"/>
                <w:szCs w:val="26"/>
                <w:highlight w:val="none"/>
              </w:rPr>
              <w:t>a</w:t>
            </w:r>
            <w:r>
              <w:rPr>
                <w:rFonts w:hint="eastAsia"/>
                <w:color w:val="auto"/>
                <w:sz w:val="26"/>
                <w:szCs w:val="26"/>
                <w:highlight w:val="none"/>
                <w:lang w:eastAsia="zh-CN"/>
              </w:rPr>
              <w:t>，</w:t>
            </w:r>
            <w:r>
              <w:rPr>
                <w:rFonts w:hint="eastAsia"/>
                <w:color w:val="auto"/>
                <w:sz w:val="26"/>
                <w:szCs w:val="26"/>
                <w:highlight w:val="none"/>
                <w:lang w:val="en-US" w:eastAsia="zh-CN"/>
              </w:rPr>
              <w:t>收集后暂存于危废间，</w:t>
            </w:r>
            <w:r>
              <w:rPr>
                <w:rFonts w:hint="eastAsia" w:ascii="Times New Roman" w:hAnsi="Times New Roman"/>
                <w:color w:val="auto"/>
                <w:sz w:val="26"/>
                <w:szCs w:val="26"/>
                <w:highlight w:val="none"/>
              </w:rPr>
              <w:t>外售给有资质单位综合利用或处置。</w:t>
            </w:r>
          </w:p>
          <w:p w14:paraId="664CF4B2">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color w:val="auto"/>
                <w:sz w:val="26"/>
                <w:szCs w:val="26"/>
                <w:highlight w:val="none"/>
                <w:lang w:val="en-US" w:eastAsia="zh-CN"/>
              </w:rPr>
            </w:pPr>
            <w:r>
              <w:rPr>
                <w:rFonts w:hint="eastAsia" w:ascii="宋体" w:hAnsi="宋体" w:eastAsia="宋体" w:cs="宋体"/>
                <w:color w:val="auto"/>
                <w:sz w:val="26"/>
                <w:szCs w:val="26"/>
                <w:highlight w:val="none"/>
              </w:rPr>
              <w:t>④</w:t>
            </w:r>
            <w:r>
              <w:rPr>
                <w:rFonts w:hint="eastAsia" w:ascii="Times New Roman" w:hAnsi="Times New Roman"/>
                <w:color w:val="auto"/>
                <w:sz w:val="26"/>
                <w:szCs w:val="26"/>
                <w:highlight w:val="none"/>
              </w:rPr>
              <w:t>剥离废土石</w:t>
            </w:r>
          </w:p>
          <w:p w14:paraId="76A556B2">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default"/>
                <w:color w:val="auto"/>
                <w:sz w:val="26"/>
                <w:szCs w:val="26"/>
                <w:highlight w:val="none"/>
                <w:lang w:val="en-US" w:eastAsia="zh-CN"/>
              </w:rPr>
            </w:pPr>
            <w:r>
              <w:rPr>
                <w:rFonts w:hint="eastAsia"/>
                <w:color w:val="auto"/>
                <w:sz w:val="26"/>
                <w:szCs w:val="26"/>
                <w:highlight w:val="none"/>
                <w:lang w:val="en-US" w:eastAsia="zh-CN"/>
              </w:rPr>
              <w:t>据</w:t>
            </w:r>
            <w:r>
              <w:rPr>
                <w:rFonts w:hint="eastAsia" w:ascii="Times New Roman" w:hAnsi="Times New Roman"/>
                <w:color w:val="auto"/>
                <w:sz w:val="26"/>
                <w:szCs w:val="26"/>
                <w:highlight w:val="none"/>
                <w:lang w:val="en-US" w:eastAsia="zh-CN"/>
              </w:rPr>
              <w:t>开发利用方案</w:t>
            </w:r>
            <w:r>
              <w:rPr>
                <w:rFonts w:hint="eastAsia"/>
                <w:color w:val="auto"/>
                <w:sz w:val="26"/>
                <w:szCs w:val="26"/>
                <w:highlight w:val="none"/>
                <w:lang w:val="en-US" w:eastAsia="zh-CN"/>
              </w:rPr>
              <w:t>及勘探报告可知，采场开采最低标高以上的矿体，全部都可用作建筑石料用，无夹石，项目矿石不需选冶，项目开采过程中无废石产生。</w:t>
            </w:r>
          </w:p>
          <w:p w14:paraId="754A6141">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default" w:ascii="Times New Roman" w:hAnsi="Times New Roman"/>
                <w:color w:val="auto"/>
                <w:sz w:val="26"/>
                <w:szCs w:val="26"/>
                <w:highlight w:val="none"/>
                <w:lang w:val="en-US"/>
              </w:rPr>
            </w:pPr>
            <w:r>
              <w:rPr>
                <w:rFonts w:hint="default" w:ascii="Times New Roman" w:hAnsi="Times New Roman"/>
                <w:color w:val="auto"/>
                <w:sz w:val="26"/>
                <w:szCs w:val="26"/>
                <w:highlight w:val="none"/>
                <w:lang w:val="en-US"/>
              </w:rPr>
              <w:t>本项目矿体露出地表，基本无盖层，</w:t>
            </w:r>
            <w:r>
              <w:rPr>
                <w:rFonts w:hint="eastAsia"/>
                <w:color w:val="auto"/>
                <w:sz w:val="26"/>
                <w:szCs w:val="26"/>
                <w:highlight w:val="none"/>
                <w:lang w:val="en-US" w:eastAsia="zh-CN"/>
              </w:rPr>
              <w:t>矿区范围内部分区域矿体直接裸露地表，其余区域矿体表层</w:t>
            </w:r>
            <w:r>
              <w:rPr>
                <w:rFonts w:hint="default" w:ascii="Times New Roman" w:hAnsi="Times New Roman"/>
                <w:color w:val="auto"/>
                <w:sz w:val="26"/>
                <w:szCs w:val="26"/>
                <w:highlight w:val="none"/>
                <w:lang w:val="en-US"/>
              </w:rPr>
              <w:t>覆土薄</w:t>
            </w:r>
            <w:r>
              <w:rPr>
                <w:rFonts w:hint="eastAsia"/>
                <w:color w:val="auto"/>
                <w:sz w:val="26"/>
                <w:szCs w:val="26"/>
                <w:highlight w:val="none"/>
                <w:lang w:val="en-US" w:eastAsia="zh-CN"/>
              </w:rPr>
              <w:t>，</w:t>
            </w:r>
            <w:r>
              <w:rPr>
                <w:rFonts w:hint="default" w:ascii="Times New Roman" w:hAnsi="Times New Roman"/>
                <w:color w:val="auto"/>
                <w:sz w:val="26"/>
                <w:szCs w:val="26"/>
                <w:highlight w:val="none"/>
                <w:lang w:val="en-US"/>
              </w:rPr>
              <w:t xml:space="preserve">厚度约0. </w:t>
            </w:r>
            <w:r>
              <w:rPr>
                <w:rFonts w:hint="eastAsia"/>
                <w:color w:val="auto"/>
                <w:sz w:val="26"/>
                <w:szCs w:val="26"/>
                <w:highlight w:val="none"/>
                <w:lang w:val="en-US" w:eastAsia="zh-CN"/>
              </w:rPr>
              <w:t>5</w:t>
            </w:r>
            <w:r>
              <w:rPr>
                <w:rFonts w:hint="default" w:ascii="Times New Roman" w:hAnsi="Times New Roman"/>
                <w:color w:val="auto"/>
                <w:sz w:val="26"/>
                <w:szCs w:val="26"/>
                <w:highlight w:val="none"/>
                <w:lang w:val="en-US"/>
              </w:rPr>
              <w:t xml:space="preserve">~0. </w:t>
            </w:r>
            <w:r>
              <w:rPr>
                <w:rFonts w:hint="eastAsia"/>
                <w:color w:val="auto"/>
                <w:sz w:val="26"/>
                <w:szCs w:val="26"/>
                <w:highlight w:val="none"/>
                <w:lang w:val="en-US" w:eastAsia="zh-CN"/>
              </w:rPr>
              <w:t>15</w:t>
            </w:r>
            <w:r>
              <w:rPr>
                <w:rFonts w:hint="default" w:ascii="Times New Roman" w:hAnsi="Times New Roman"/>
                <w:color w:val="auto"/>
                <w:sz w:val="26"/>
                <w:szCs w:val="26"/>
                <w:highlight w:val="none"/>
                <w:lang w:val="en-US"/>
              </w:rPr>
              <w:t>m</w:t>
            </w:r>
            <w:r>
              <w:rPr>
                <w:rFonts w:hint="eastAsia"/>
                <w:color w:val="auto"/>
                <w:sz w:val="26"/>
                <w:szCs w:val="26"/>
                <w:highlight w:val="none"/>
                <w:lang w:val="en-US" w:eastAsia="zh-CN"/>
              </w:rPr>
              <w:t>，剥离表土量极少。</w:t>
            </w:r>
            <w:r>
              <w:rPr>
                <w:rFonts w:hint="default" w:ascii="Times New Roman" w:hAnsi="Times New Roman"/>
                <w:color w:val="auto"/>
                <w:sz w:val="26"/>
                <w:szCs w:val="26"/>
                <w:highlight w:val="none"/>
                <w:lang w:val="en-US"/>
              </w:rPr>
              <w:t>根据项目实际情况及</w:t>
            </w:r>
            <w:r>
              <w:rPr>
                <w:rFonts w:hint="eastAsia"/>
                <w:color w:val="auto"/>
                <w:sz w:val="26"/>
                <w:szCs w:val="26"/>
                <w:highlight w:val="none"/>
                <w:lang w:val="en-US" w:eastAsia="zh-CN"/>
              </w:rPr>
              <w:t>相似</w:t>
            </w:r>
            <w:r>
              <w:rPr>
                <w:rFonts w:hint="default" w:ascii="Times New Roman" w:hAnsi="Times New Roman"/>
                <w:color w:val="auto"/>
                <w:sz w:val="26"/>
                <w:szCs w:val="26"/>
                <w:highlight w:val="none"/>
                <w:lang w:val="en-US"/>
              </w:rPr>
              <w:t>工程类比，项目在运营期预计</w:t>
            </w:r>
            <w:r>
              <w:rPr>
                <w:rFonts w:hint="eastAsia"/>
                <w:color w:val="auto"/>
                <w:sz w:val="26"/>
                <w:szCs w:val="26"/>
                <w:highlight w:val="none"/>
                <w:lang w:val="en-US" w:eastAsia="zh-CN"/>
              </w:rPr>
              <w:t>剥离</w:t>
            </w:r>
            <w:r>
              <w:rPr>
                <w:rFonts w:hint="default" w:ascii="Times New Roman" w:hAnsi="Times New Roman"/>
                <w:color w:val="auto"/>
                <w:sz w:val="26"/>
                <w:szCs w:val="26"/>
                <w:highlight w:val="none"/>
                <w:lang w:val="en-US"/>
              </w:rPr>
              <w:t>表土约</w:t>
            </w:r>
            <w:r>
              <w:rPr>
                <w:rFonts w:hint="eastAsia"/>
                <w:color w:val="auto"/>
                <w:sz w:val="26"/>
                <w:szCs w:val="26"/>
                <w:highlight w:val="none"/>
                <w:lang w:val="en-US" w:eastAsia="zh-CN"/>
              </w:rPr>
              <w:t>1000</w:t>
            </w:r>
            <w:r>
              <w:rPr>
                <w:rFonts w:hint="default" w:ascii="Times New Roman" w:hAnsi="Times New Roman"/>
                <w:color w:val="auto"/>
                <w:sz w:val="26"/>
                <w:szCs w:val="26"/>
                <w:highlight w:val="none"/>
                <w:lang w:val="en-US"/>
              </w:rPr>
              <w:t>m</w:t>
            </w:r>
            <w:r>
              <w:rPr>
                <w:rFonts w:hint="eastAsia"/>
                <w:color w:val="auto"/>
                <w:sz w:val="26"/>
                <w:szCs w:val="26"/>
                <w:highlight w:val="none"/>
                <w:vertAlign w:val="superscript"/>
                <w:lang w:val="en-US" w:eastAsia="zh-CN"/>
              </w:rPr>
              <w:t>3</w:t>
            </w:r>
            <w:r>
              <w:rPr>
                <w:rFonts w:hint="default" w:ascii="Times New Roman" w:hAnsi="Times New Roman"/>
                <w:color w:val="auto"/>
                <w:sz w:val="26"/>
                <w:szCs w:val="26"/>
                <w:highlight w:val="none"/>
                <w:lang w:val="en-US"/>
              </w:rPr>
              <w:t>，弃表土用于</w:t>
            </w:r>
            <w:r>
              <w:rPr>
                <w:rFonts w:hint="eastAsia"/>
                <w:color w:val="auto"/>
                <w:sz w:val="26"/>
                <w:szCs w:val="26"/>
                <w:highlight w:val="none"/>
                <w:lang w:val="en-US" w:eastAsia="zh-CN"/>
              </w:rPr>
              <w:t>平整</w:t>
            </w:r>
            <w:r>
              <w:rPr>
                <w:rFonts w:hint="default" w:ascii="Times New Roman" w:hAnsi="Times New Roman"/>
                <w:color w:val="auto"/>
                <w:sz w:val="26"/>
                <w:szCs w:val="26"/>
                <w:highlight w:val="none"/>
                <w:lang w:val="en-US"/>
              </w:rPr>
              <w:t>工业场地</w:t>
            </w:r>
            <w:r>
              <w:rPr>
                <w:rFonts w:hint="eastAsia"/>
                <w:color w:val="auto"/>
                <w:sz w:val="26"/>
                <w:szCs w:val="26"/>
                <w:highlight w:val="none"/>
                <w:lang w:val="en-US" w:eastAsia="zh-CN"/>
              </w:rPr>
              <w:t>的北部</w:t>
            </w:r>
            <w:r>
              <w:rPr>
                <w:rFonts w:hint="default" w:ascii="Times New Roman" w:hAnsi="Times New Roman"/>
                <w:color w:val="auto"/>
                <w:sz w:val="26"/>
                <w:szCs w:val="26"/>
                <w:highlight w:val="none"/>
                <w:lang w:val="en-US"/>
              </w:rPr>
              <w:t>。</w:t>
            </w:r>
          </w:p>
          <w:p w14:paraId="576F87B3">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color w:val="auto"/>
                <w:sz w:val="26"/>
                <w:szCs w:val="26"/>
                <w:highlight w:val="none"/>
                <w:lang w:val="en-US" w:eastAsia="zh-CN"/>
              </w:rPr>
            </w:pPr>
            <w:r>
              <w:rPr>
                <w:rFonts w:hint="eastAsia"/>
                <w:color w:val="auto"/>
                <w:sz w:val="26"/>
                <w:szCs w:val="26"/>
                <w:highlight w:val="none"/>
                <w:lang w:val="en-US" w:eastAsia="zh-CN"/>
              </w:rPr>
              <w:t>故本项目无废石、弃土外排，利用率为100%，影响较小。</w:t>
            </w:r>
          </w:p>
          <w:p w14:paraId="39A6E03B">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hint="eastAsia" w:ascii="Times New Roman" w:hAnsi="Times New Roman"/>
                <w:color w:val="auto"/>
                <w:sz w:val="26"/>
                <w:szCs w:val="26"/>
                <w:highlight w:val="none"/>
              </w:rPr>
            </w:pPr>
            <w:r>
              <w:rPr>
                <w:rFonts w:hint="eastAsia" w:ascii="宋体" w:hAnsi="宋体" w:eastAsia="宋体" w:cs="宋体"/>
                <w:color w:val="auto"/>
                <w:sz w:val="26"/>
                <w:szCs w:val="26"/>
                <w:highlight w:val="none"/>
              </w:rPr>
              <w:t>⑤</w:t>
            </w:r>
            <w:r>
              <w:rPr>
                <w:rFonts w:hint="eastAsia" w:ascii="Times New Roman" w:hAnsi="Times New Roman"/>
                <w:color w:val="auto"/>
                <w:sz w:val="26"/>
                <w:szCs w:val="26"/>
                <w:highlight w:val="none"/>
              </w:rPr>
              <w:t>布袋除尘器粉尘</w:t>
            </w:r>
          </w:p>
          <w:p w14:paraId="71B86C8D">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本项目破碎场各产尘环节产生的粉尘由收尘管收集，</w:t>
            </w:r>
            <w:r>
              <w:rPr>
                <w:rFonts w:hint="eastAsia"/>
                <w:color w:val="auto"/>
                <w:sz w:val="26"/>
                <w:szCs w:val="26"/>
                <w:highlight w:val="none"/>
                <w:lang w:val="en-US" w:eastAsia="zh-CN"/>
              </w:rPr>
              <w:t>有2套</w:t>
            </w:r>
            <w:r>
              <w:rPr>
                <w:rFonts w:hint="eastAsia" w:ascii="Times New Roman" w:hAnsi="Times New Roman"/>
                <w:color w:val="auto"/>
                <w:sz w:val="26"/>
                <w:szCs w:val="26"/>
                <w:highlight w:val="none"/>
              </w:rPr>
              <w:t>布袋除尘器处理。</w:t>
            </w:r>
            <w:r>
              <w:rPr>
                <w:rFonts w:hint="eastAsia"/>
                <w:color w:val="auto"/>
                <w:sz w:val="26"/>
                <w:szCs w:val="26"/>
                <w:highlight w:val="none"/>
                <w:lang w:val="en-US" w:eastAsia="zh-CN"/>
              </w:rPr>
              <w:t>2套布</w:t>
            </w:r>
            <w:r>
              <w:rPr>
                <w:rFonts w:hint="eastAsia" w:ascii="Times New Roman" w:hAnsi="Times New Roman"/>
                <w:color w:val="auto"/>
                <w:sz w:val="26"/>
                <w:szCs w:val="26"/>
                <w:highlight w:val="none"/>
              </w:rPr>
              <w:t>袋除尘器收集的粉尘量约</w:t>
            </w:r>
            <w:r>
              <w:rPr>
                <w:rFonts w:hint="eastAsia"/>
                <w:color w:val="auto"/>
                <w:sz w:val="26"/>
                <w:szCs w:val="26"/>
                <w:highlight w:val="none"/>
                <w:lang w:val="en-US" w:eastAsia="zh-CN"/>
              </w:rPr>
              <w:t>63.956</w:t>
            </w:r>
            <w:r>
              <w:rPr>
                <w:rFonts w:hint="eastAsia" w:ascii="Times New Roman" w:hAnsi="Times New Roman"/>
                <w:color w:val="auto"/>
                <w:sz w:val="26"/>
                <w:szCs w:val="26"/>
                <w:highlight w:val="none"/>
              </w:rPr>
              <w:t>t/a，全部做产品出售。</w:t>
            </w:r>
          </w:p>
          <w:p w14:paraId="729697F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r>
              <w:rPr>
                <w:rFonts w:hint="eastAsia" w:ascii="Times New Roman" w:hAnsi="Times New Roman"/>
                <w:color w:val="auto"/>
                <w:sz w:val="26"/>
                <w:szCs w:val="26"/>
                <w:highlight w:val="none"/>
              </w:rPr>
              <w:t>综上，本项目的固体废弃物均得到妥善处置，处置效率100%，本项目产生的固废对环境影响较小。</w:t>
            </w:r>
          </w:p>
          <w:p w14:paraId="35D48F98">
            <w:pPr>
              <w:pStyle w:val="15"/>
              <w:spacing w:line="480" w:lineRule="exact"/>
              <w:ind w:firstLine="522" w:firstLineChars="200"/>
              <w:rPr>
                <w:rFonts w:hint="default" w:ascii="Times New Roman" w:hAnsi="Times New Roman" w:eastAsia="宋体" w:cs="Times New Roman"/>
                <w:b/>
                <w:bCs/>
                <w:color w:val="auto"/>
                <w:kern w:val="2"/>
                <w:sz w:val="26"/>
                <w:szCs w:val="26"/>
                <w:highlight w:val="none"/>
                <w:lang w:val="en-US" w:eastAsia="zh-CN" w:bidi="ar-SA"/>
              </w:rPr>
            </w:pPr>
            <w:r>
              <w:rPr>
                <w:rFonts w:hint="eastAsia" w:ascii="Times New Roman" w:hAnsi="Times New Roman" w:cs="Times New Roman"/>
                <w:b/>
                <w:bCs/>
                <w:color w:val="auto"/>
                <w:kern w:val="2"/>
                <w:sz w:val="26"/>
                <w:szCs w:val="26"/>
                <w:highlight w:val="none"/>
                <w:lang w:val="en-US" w:eastAsia="zh-CN" w:bidi="ar-SA"/>
              </w:rPr>
              <w:t>（5）</w:t>
            </w:r>
            <w:r>
              <w:rPr>
                <w:rFonts w:hint="eastAsia" w:ascii="Times New Roman" w:hAnsi="Times New Roman" w:eastAsia="宋体" w:cs="Times New Roman"/>
                <w:b/>
                <w:bCs/>
                <w:color w:val="auto"/>
                <w:kern w:val="2"/>
                <w:sz w:val="26"/>
                <w:szCs w:val="26"/>
                <w:highlight w:val="none"/>
                <w:lang w:val="en-US" w:eastAsia="zh-CN" w:bidi="ar-SA"/>
              </w:rPr>
              <w:t>地下水影响分析</w:t>
            </w:r>
          </w:p>
          <w:p w14:paraId="46201110">
            <w:pPr>
              <w:pStyle w:val="15"/>
              <w:spacing w:line="480" w:lineRule="exact"/>
              <w:ind w:firstLine="520" w:firstLineChars="200"/>
              <w:rPr>
                <w:rFonts w:hint="eastAsia" w:hAnsi="宋体" w:cs="宋体"/>
                <w:color w:val="auto"/>
                <w:sz w:val="26"/>
                <w:szCs w:val="26"/>
                <w:highlight w:val="none"/>
                <w:lang w:val="en-US" w:eastAsia="zh-CN"/>
              </w:rPr>
            </w:pPr>
            <w:r>
              <w:rPr>
                <w:rFonts w:hint="eastAsia" w:ascii="Times New Roman" w:hAnsi="Times New Roman"/>
                <w:color w:val="auto"/>
                <w:sz w:val="26"/>
                <w:szCs w:val="26"/>
                <w:highlight w:val="none"/>
              </w:rPr>
              <w:t>根据《环境影响评价技术导则地下水环境》（HJ610-2016）</w:t>
            </w:r>
            <w:r>
              <w:rPr>
                <w:rFonts w:hint="eastAsia" w:ascii="Times New Roman" w:hAnsi="Times New Roman"/>
                <w:color w:val="auto"/>
                <w:sz w:val="26"/>
                <w:szCs w:val="26"/>
                <w:highlight w:val="none"/>
                <w:lang w:val="en-US" w:eastAsia="zh-CN"/>
              </w:rPr>
              <w:t>附录A</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本项目土砂石开采报告表，属于</w:t>
            </w:r>
            <w:r>
              <w:rPr>
                <w:rFonts w:hint="eastAsia" w:ascii="宋体" w:hAnsi="宋体" w:eastAsia="宋体" w:cs="宋体"/>
                <w:color w:val="auto"/>
                <w:sz w:val="26"/>
                <w:szCs w:val="26"/>
                <w:highlight w:val="none"/>
                <w:lang w:val="en-US" w:eastAsia="zh-CN"/>
              </w:rPr>
              <w:t>Ⅳ</w:t>
            </w:r>
            <w:r>
              <w:rPr>
                <w:rFonts w:hint="eastAsia" w:hAnsi="宋体" w:cs="宋体"/>
                <w:color w:val="auto"/>
                <w:sz w:val="26"/>
                <w:szCs w:val="26"/>
                <w:highlight w:val="none"/>
                <w:lang w:val="en-US" w:eastAsia="zh-CN"/>
              </w:rPr>
              <w:t>类</w:t>
            </w:r>
            <w:r>
              <w:rPr>
                <w:rFonts w:hint="eastAsia" w:ascii="Times New Roman" w:hAnsi="Times New Roman"/>
                <w:color w:val="auto"/>
                <w:sz w:val="26"/>
                <w:szCs w:val="26"/>
                <w:highlight w:val="none"/>
                <w:lang w:val="en-US" w:eastAsia="zh-CN"/>
              </w:rPr>
              <w:t>，因此该项目的地下水评价类别为</w:t>
            </w:r>
            <w:r>
              <w:rPr>
                <w:rFonts w:hint="eastAsia" w:ascii="宋体" w:hAnsi="宋体" w:eastAsia="宋体" w:cs="宋体"/>
                <w:color w:val="auto"/>
                <w:sz w:val="26"/>
                <w:szCs w:val="26"/>
                <w:highlight w:val="none"/>
                <w:lang w:val="en-US" w:eastAsia="zh-CN"/>
              </w:rPr>
              <w:t>Ⅳ</w:t>
            </w:r>
            <w:r>
              <w:rPr>
                <w:rFonts w:hint="eastAsia" w:hAnsi="宋体" w:cs="宋体"/>
                <w:color w:val="auto"/>
                <w:sz w:val="26"/>
                <w:szCs w:val="26"/>
                <w:highlight w:val="none"/>
                <w:lang w:val="en-US" w:eastAsia="zh-CN"/>
              </w:rPr>
              <w:t>类。据</w:t>
            </w:r>
            <w:r>
              <w:rPr>
                <w:rFonts w:hint="eastAsia" w:ascii="Times New Roman" w:hAnsi="Times New Roman"/>
                <w:color w:val="auto"/>
                <w:sz w:val="26"/>
                <w:szCs w:val="26"/>
                <w:highlight w:val="none"/>
              </w:rPr>
              <w:t>《环境影响评价技术导则地下水环境》（HJ610-2016）</w:t>
            </w:r>
            <w:r>
              <w:rPr>
                <w:rFonts w:hint="eastAsia" w:ascii="Times New Roman" w:hAnsi="Times New Roman"/>
                <w:color w:val="auto"/>
                <w:sz w:val="26"/>
                <w:szCs w:val="26"/>
                <w:highlight w:val="none"/>
                <w:lang w:val="en-US" w:eastAsia="zh-CN"/>
              </w:rPr>
              <w:t>4.1可知，</w:t>
            </w:r>
            <w:r>
              <w:rPr>
                <w:rFonts w:hint="eastAsia" w:ascii="宋体" w:hAnsi="宋体" w:eastAsia="宋体" w:cs="宋体"/>
                <w:color w:val="auto"/>
                <w:sz w:val="26"/>
                <w:szCs w:val="26"/>
                <w:highlight w:val="none"/>
                <w:lang w:val="en-US" w:eastAsia="zh-CN"/>
              </w:rPr>
              <w:t>Ⅳ</w:t>
            </w:r>
            <w:r>
              <w:rPr>
                <w:rFonts w:hint="eastAsia" w:hAnsi="宋体" w:cs="宋体"/>
                <w:color w:val="auto"/>
                <w:sz w:val="26"/>
                <w:szCs w:val="26"/>
                <w:highlight w:val="none"/>
                <w:lang w:val="en-US" w:eastAsia="zh-CN"/>
              </w:rPr>
              <w:t>类建设项目不开展地下水环境影响评价。</w:t>
            </w:r>
          </w:p>
          <w:p w14:paraId="70B318C1">
            <w:pPr>
              <w:pStyle w:val="15"/>
              <w:keepNext w:val="0"/>
              <w:keepLines w:val="0"/>
              <w:pageBreakBefore w:val="0"/>
              <w:widowControl w:val="0"/>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cs="Times New Roman"/>
                <w:color w:val="auto"/>
                <w:spacing w:val="16"/>
                <w:sz w:val="26"/>
                <w:szCs w:val="26"/>
                <w:highlight w:val="none"/>
              </w:rPr>
            </w:pPr>
            <w:r>
              <w:rPr>
                <w:rFonts w:hint="eastAsia" w:ascii="Times New Roman" w:hAnsi="Times New Roman" w:cs="Times New Roman"/>
                <w:color w:val="auto"/>
                <w:sz w:val="26"/>
                <w:szCs w:val="26"/>
                <w:highlight w:val="none"/>
                <w:lang w:val="en-US" w:eastAsia="zh-CN"/>
              </w:rPr>
              <w:t>本项目为露天开采石灰岩矿项目，开采标高为</w:t>
            </w:r>
            <w:r>
              <w:rPr>
                <w:rFonts w:hint="eastAsia" w:ascii="Times New Roman" w:hAnsi="Times New Roman" w:cs="Times New Roman"/>
                <w:b w:val="0"/>
                <w:color w:val="auto"/>
                <w:sz w:val="26"/>
                <w:szCs w:val="26"/>
                <w:highlight w:val="none"/>
              </w:rPr>
              <w:t>开采标高</w:t>
            </w:r>
            <w:r>
              <w:rPr>
                <w:rFonts w:hint="eastAsia" w:ascii="Times New Roman" w:hAnsi="Times New Roman" w:cs="Times New Roman"/>
                <w:b w:val="0"/>
                <w:color w:val="auto"/>
                <w:sz w:val="26"/>
                <w:szCs w:val="26"/>
                <w:highlight w:val="none"/>
                <w:lang w:val="en-US" w:eastAsia="zh-CN"/>
              </w:rPr>
              <w:t>1200</w:t>
            </w:r>
            <w:r>
              <w:rPr>
                <w:rFonts w:hint="eastAsia" w:ascii="Times New Roman" w:hAnsi="Times New Roman" w:cs="Times New Roman"/>
                <w:b w:val="0"/>
                <w:color w:val="auto"/>
                <w:sz w:val="26"/>
                <w:szCs w:val="26"/>
                <w:highlight w:val="none"/>
              </w:rPr>
              <w:t>m-1</w:t>
            </w:r>
            <w:r>
              <w:rPr>
                <w:rFonts w:hint="eastAsia" w:ascii="Times New Roman" w:hAnsi="Times New Roman" w:cs="Times New Roman"/>
                <w:b w:val="0"/>
                <w:color w:val="auto"/>
                <w:sz w:val="26"/>
                <w:szCs w:val="26"/>
                <w:highlight w:val="none"/>
                <w:lang w:val="en-US" w:eastAsia="zh-CN"/>
              </w:rPr>
              <w:t>030</w:t>
            </w:r>
            <w:r>
              <w:rPr>
                <w:rFonts w:hint="eastAsia" w:ascii="Times New Roman" w:hAnsi="Times New Roman" w:cs="Times New Roman"/>
                <w:b w:val="0"/>
                <w:color w:val="auto"/>
                <w:sz w:val="26"/>
                <w:szCs w:val="26"/>
                <w:highlight w:val="none"/>
              </w:rPr>
              <w:t>m，</w:t>
            </w:r>
            <w:r>
              <w:rPr>
                <w:rFonts w:hint="eastAsia" w:ascii="Times New Roman" w:hAnsi="Times New Roman" w:cs="Times New Roman"/>
                <w:b w:val="0"/>
                <w:color w:val="auto"/>
                <w:sz w:val="26"/>
                <w:szCs w:val="26"/>
                <w:highlight w:val="none"/>
                <w:lang w:val="en-US" w:eastAsia="zh-CN"/>
              </w:rPr>
              <w:t>矿区为山体，地势为四高东低，</w:t>
            </w:r>
            <w:r>
              <w:rPr>
                <w:rFonts w:ascii="Times New Roman" w:hAnsi="Times New Roman" w:cs="Times New Roman"/>
                <w:color w:val="auto"/>
                <w:sz w:val="26"/>
                <w:szCs w:val="26"/>
                <w:highlight w:val="none"/>
              </w:rPr>
              <w:t>矿区及矿区附近主要出露地层为</w:t>
            </w:r>
            <w:r>
              <w:rPr>
                <w:rFonts w:hint="eastAsia" w:ascii="Times New Roman" w:hAnsi="Times New Roman" w:cs="Times New Roman"/>
                <w:color w:val="auto"/>
                <w:sz w:val="26"/>
                <w:szCs w:val="26"/>
                <w:highlight w:val="none"/>
              </w:rPr>
              <w:t>元</w:t>
            </w:r>
            <w:r>
              <w:rPr>
                <w:rFonts w:ascii="Times New Roman" w:hAnsi="Times New Roman" w:cs="Times New Roman"/>
                <w:color w:val="auto"/>
                <w:sz w:val="26"/>
                <w:szCs w:val="26"/>
                <w:highlight w:val="none"/>
              </w:rPr>
              <w:t>古界</w:t>
            </w:r>
            <w:r>
              <w:rPr>
                <w:rFonts w:hint="eastAsia" w:ascii="Times New Roman" w:hAnsi="Times New Roman" w:cs="Times New Roman"/>
                <w:color w:val="auto"/>
                <w:sz w:val="26"/>
                <w:szCs w:val="26"/>
                <w:highlight w:val="none"/>
              </w:rPr>
              <w:t>昆阳群大龙口组下段</w:t>
            </w:r>
            <w:r>
              <w:rPr>
                <w:rFonts w:ascii="Times New Roman" w:hAnsi="Times New Roman" w:cs="Times New Roman"/>
                <w:color w:val="auto"/>
                <w:sz w:val="26"/>
                <w:szCs w:val="26"/>
                <w:highlight w:val="none"/>
              </w:rPr>
              <w:t>（P</w:t>
            </w:r>
            <w:r>
              <w:rPr>
                <w:rFonts w:hint="eastAsia" w:ascii="Times New Roman" w:hAnsi="Times New Roman" w:cs="Times New Roman"/>
                <w:color w:val="auto"/>
                <w:sz w:val="26"/>
                <w:szCs w:val="26"/>
                <w:highlight w:val="none"/>
              </w:rPr>
              <w:t>td</w:t>
            </w:r>
            <w:r>
              <w:rPr>
                <w:rFonts w:hint="eastAsia" w:ascii="Times New Roman" w:hAnsi="Times New Roman" w:cs="Times New Roman"/>
                <w:color w:val="auto"/>
                <w:sz w:val="26"/>
                <w:szCs w:val="26"/>
                <w:highlight w:val="none"/>
                <w:vertAlign w:val="superscript"/>
              </w:rPr>
              <w:t>1</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、大龙口组上段</w:t>
            </w:r>
            <w:r>
              <w:rPr>
                <w:rFonts w:ascii="Times New Roman" w:hAnsi="Times New Roman" w:cs="Times New Roman"/>
                <w:color w:val="auto"/>
                <w:sz w:val="26"/>
                <w:szCs w:val="26"/>
                <w:highlight w:val="none"/>
              </w:rPr>
              <w:t>（P</w:t>
            </w:r>
            <w:r>
              <w:rPr>
                <w:rFonts w:hint="eastAsia" w:ascii="Times New Roman" w:hAnsi="Times New Roman" w:cs="Times New Roman"/>
                <w:color w:val="auto"/>
                <w:sz w:val="26"/>
                <w:szCs w:val="26"/>
                <w:highlight w:val="none"/>
              </w:rPr>
              <w:t>td</w:t>
            </w:r>
            <w:r>
              <w:rPr>
                <w:rFonts w:hint="eastAsia" w:ascii="Times New Roman" w:hAnsi="Times New Roman" w:cs="Times New Roman"/>
                <w:color w:val="auto"/>
                <w:sz w:val="26"/>
                <w:szCs w:val="26"/>
                <w:highlight w:val="none"/>
                <w:vertAlign w:val="superscript"/>
              </w:rPr>
              <w:t>2</w:t>
            </w:r>
            <w:r>
              <w:rPr>
                <w:rFonts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rPr>
              <w:t>、美党</w:t>
            </w:r>
            <w:r>
              <w:rPr>
                <w:rFonts w:ascii="Times New Roman" w:hAnsi="Times New Roman" w:cs="Times New Roman"/>
                <w:color w:val="auto"/>
                <w:sz w:val="26"/>
                <w:szCs w:val="26"/>
                <w:highlight w:val="none"/>
              </w:rPr>
              <w:t>组（P</w:t>
            </w:r>
            <w:r>
              <w:rPr>
                <w:rFonts w:hint="eastAsia" w:ascii="Times New Roman" w:hAnsi="Times New Roman" w:cs="Times New Roman"/>
                <w:color w:val="auto"/>
                <w:sz w:val="26"/>
                <w:szCs w:val="26"/>
                <w:highlight w:val="none"/>
              </w:rPr>
              <w:t>t</w:t>
            </w:r>
            <w:r>
              <w:rPr>
                <w:rFonts w:ascii="Times New Roman" w:hAnsi="Times New Roman" w:cs="Times New Roman"/>
                <w:color w:val="auto"/>
                <w:sz w:val="26"/>
                <w:szCs w:val="26"/>
                <w:highlight w:val="none"/>
              </w:rPr>
              <w:t>m）</w:t>
            </w:r>
            <w:r>
              <w:rPr>
                <w:rFonts w:hint="eastAsia" w:ascii="Times New Roman" w:hAnsi="Times New Roman" w:cs="Times New Roman"/>
                <w:color w:val="auto"/>
                <w:spacing w:val="16"/>
                <w:sz w:val="26"/>
                <w:szCs w:val="26"/>
                <w:highlight w:val="none"/>
              </w:rPr>
              <w:t>，其岩石结构紧密，不含水，隔水效果好。</w:t>
            </w:r>
          </w:p>
          <w:p w14:paraId="7CB9A2CD">
            <w:pPr>
              <w:pStyle w:val="15"/>
              <w:keepNext w:val="0"/>
              <w:keepLines w:val="0"/>
              <w:pageBreakBefore w:val="0"/>
              <w:widowControl w:val="0"/>
              <w:kinsoku/>
              <w:wordWrap/>
              <w:overflowPunct/>
              <w:topLinePunct w:val="0"/>
              <w:autoSpaceDE/>
              <w:autoSpaceDN/>
              <w:bidi w:val="0"/>
              <w:adjustRightInd/>
              <w:snapToGrid/>
              <w:spacing w:line="480" w:lineRule="exact"/>
              <w:ind w:firstLine="584" w:firstLineChars="200"/>
              <w:textAlignment w:val="auto"/>
              <w:rPr>
                <w:rFonts w:hint="default" w:ascii="Times New Roman" w:hAnsi="Times New Roman" w:eastAsia="宋体" w:cs="Times New Roman"/>
                <w:color w:val="auto"/>
                <w:spacing w:val="16"/>
                <w:sz w:val="26"/>
                <w:szCs w:val="26"/>
                <w:highlight w:val="none"/>
                <w:lang w:val="en-US" w:eastAsia="zh-CN"/>
              </w:rPr>
            </w:pPr>
            <w:r>
              <w:rPr>
                <w:rFonts w:hint="eastAsia" w:ascii="Times New Roman" w:hAnsi="Times New Roman" w:cs="Times New Roman"/>
                <w:color w:val="auto"/>
                <w:spacing w:val="16"/>
                <w:sz w:val="26"/>
                <w:szCs w:val="26"/>
                <w:highlight w:val="none"/>
              </w:rPr>
              <w:t>根据矿区周边地下水分布的岩土体工程地质特征及本项目的开采范围，不会触及地下水层，出露岩层不含水，且具有良好的隔水效果，矿山开采不会引起地下水水位下降。</w:t>
            </w:r>
            <w:r>
              <w:rPr>
                <w:rFonts w:hint="eastAsia" w:ascii="Times New Roman" w:hAnsi="Times New Roman" w:cs="Times New Roman"/>
                <w:color w:val="auto"/>
                <w:spacing w:val="16"/>
                <w:sz w:val="26"/>
                <w:szCs w:val="26"/>
                <w:highlight w:val="none"/>
                <w:lang w:val="en-US" w:eastAsia="zh-CN"/>
              </w:rPr>
              <w:t>本项目主要产生的为粉尘，粉尘降落至地表，不会渗入地下水，故本项目开采活动对</w:t>
            </w:r>
            <w:r>
              <w:rPr>
                <w:rFonts w:hint="eastAsia" w:ascii="Times New Roman" w:hAnsi="Times New Roman" w:cs="Times New Roman"/>
                <w:color w:val="auto"/>
                <w:spacing w:val="16"/>
                <w:sz w:val="26"/>
                <w:szCs w:val="26"/>
                <w:highlight w:val="none"/>
              </w:rPr>
              <w:t>地下水</w:t>
            </w:r>
            <w:r>
              <w:rPr>
                <w:rFonts w:hint="eastAsia" w:ascii="Times New Roman" w:hAnsi="Times New Roman" w:cs="Times New Roman"/>
                <w:color w:val="auto"/>
                <w:spacing w:val="16"/>
                <w:sz w:val="26"/>
                <w:szCs w:val="26"/>
                <w:highlight w:val="none"/>
                <w:lang w:val="en-US" w:eastAsia="zh-CN"/>
              </w:rPr>
              <w:t>水质影响极小</w:t>
            </w:r>
            <w:r>
              <w:rPr>
                <w:rFonts w:hint="eastAsia" w:ascii="Times New Roman" w:hAnsi="Times New Roman" w:cs="Times New Roman"/>
                <w:color w:val="auto"/>
                <w:spacing w:val="16"/>
                <w:sz w:val="26"/>
                <w:szCs w:val="26"/>
                <w:highlight w:val="none"/>
              </w:rPr>
              <w:t>。</w:t>
            </w:r>
          </w:p>
          <w:p w14:paraId="52AD154B">
            <w:pPr>
              <w:adjustRightInd w:val="0"/>
              <w:snapToGrid w:val="0"/>
              <w:spacing w:line="480" w:lineRule="exact"/>
              <w:ind w:firstLine="522" w:firstLineChars="200"/>
              <w:rPr>
                <w:rFonts w:ascii="Times New Roman" w:hAnsi="Times New Roman"/>
                <w:b/>
                <w:bCs/>
                <w:color w:val="auto"/>
                <w:sz w:val="26"/>
                <w:szCs w:val="26"/>
                <w:highlight w:val="none"/>
              </w:rPr>
            </w:pPr>
            <w:r>
              <w:rPr>
                <w:rFonts w:hint="eastAsia"/>
                <w:b/>
                <w:bCs/>
                <w:color w:val="auto"/>
                <w:sz w:val="26"/>
                <w:szCs w:val="26"/>
                <w:highlight w:val="none"/>
                <w:lang w:val="en-US" w:eastAsia="zh-CN"/>
              </w:rPr>
              <w:t>（6）</w:t>
            </w:r>
            <w:r>
              <w:rPr>
                <w:rFonts w:hint="eastAsia" w:ascii="Times New Roman" w:hAnsi="Times New Roman"/>
                <w:b/>
                <w:bCs/>
                <w:color w:val="auto"/>
                <w:sz w:val="26"/>
                <w:szCs w:val="26"/>
                <w:highlight w:val="none"/>
              </w:rPr>
              <w:t>土壤环境影响分析</w:t>
            </w:r>
          </w:p>
          <w:p w14:paraId="4246FEBF">
            <w:pPr>
              <w:pStyle w:val="15"/>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项目区土壤以红壤为主，红壤为垂直带谱的土壤，隐异性土壤为紫色土。根据现场勘查，本项目</w:t>
            </w:r>
            <w:r>
              <w:rPr>
                <w:rFonts w:hint="eastAsia" w:ascii="Times New Roman" w:hAnsi="Times New Roman"/>
                <w:color w:val="auto"/>
                <w:sz w:val="26"/>
                <w:szCs w:val="26"/>
                <w:highlight w:val="none"/>
                <w:lang w:val="en-US" w:eastAsia="zh-CN"/>
              </w:rPr>
              <w:t>为新建项目</w:t>
            </w:r>
            <w:r>
              <w:rPr>
                <w:rFonts w:hint="eastAsia" w:ascii="Times New Roman" w:hAnsi="Times New Roman"/>
                <w:color w:val="auto"/>
                <w:sz w:val="26"/>
                <w:szCs w:val="26"/>
                <w:highlight w:val="none"/>
              </w:rPr>
              <w:t>。项目周边有</w:t>
            </w:r>
            <w:r>
              <w:rPr>
                <w:rFonts w:hint="eastAsia" w:ascii="Times New Roman" w:hAnsi="Times New Roman"/>
                <w:color w:val="auto"/>
                <w:sz w:val="26"/>
                <w:szCs w:val="26"/>
                <w:highlight w:val="none"/>
                <w:lang w:val="en-US" w:eastAsia="zh-CN"/>
              </w:rPr>
              <w:t>无</w:t>
            </w:r>
            <w:r>
              <w:rPr>
                <w:rFonts w:hint="eastAsia" w:ascii="Times New Roman" w:hAnsi="Times New Roman"/>
                <w:color w:val="auto"/>
                <w:sz w:val="26"/>
                <w:szCs w:val="26"/>
                <w:highlight w:val="none"/>
              </w:rPr>
              <w:t>工业企业，土壤环境现状良好。</w:t>
            </w:r>
          </w:p>
          <w:p w14:paraId="7379ED9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lang w:val="en-US" w:eastAsia="zh-CN"/>
              </w:rPr>
            </w:pPr>
            <w:r>
              <w:rPr>
                <w:rFonts w:hint="eastAsia" w:ascii="Times New Roman" w:hAnsi="Times New Roman"/>
                <w:color w:val="auto"/>
                <w:sz w:val="26"/>
                <w:szCs w:val="26"/>
                <w:highlight w:val="none"/>
              </w:rPr>
              <w:t>根据《环境影响评价技术导则 土壤环境》（HJ 964-2018），根据建设项目土壤环境影响评价项目类别、占地规模和敏感程度判定评价工作等级。根据《环境影响评价技术导则 土壤环境》（HJ 964-2018）附录A，本项目为</w:t>
            </w:r>
            <w:r>
              <w:rPr>
                <w:rFonts w:hint="eastAsia" w:ascii="Times New Roman" w:hAnsi="Times New Roman"/>
                <w:color w:val="auto"/>
                <w:sz w:val="26"/>
                <w:szCs w:val="26"/>
                <w:highlight w:val="none"/>
                <w:lang w:val="en-US" w:eastAsia="zh-CN"/>
              </w:rPr>
              <w:t>采选建筑用石灰岩矿，</w:t>
            </w:r>
            <w:r>
              <w:rPr>
                <w:rFonts w:hint="eastAsia" w:ascii="Times New Roman" w:hAnsi="Times New Roman"/>
                <w:color w:val="auto"/>
                <w:sz w:val="26"/>
                <w:szCs w:val="26"/>
                <w:highlight w:val="none"/>
              </w:rPr>
              <w:t>属于附录A中Ⅲ类项目，项目占地面积</w:t>
            </w:r>
            <w:r>
              <w:rPr>
                <w:rFonts w:hint="eastAsia" w:ascii="Times New Roman" w:hAnsi="Times New Roman"/>
                <w:color w:val="auto"/>
                <w:sz w:val="26"/>
                <w:szCs w:val="26"/>
                <w:highlight w:val="none"/>
                <w:lang w:val="en-US" w:eastAsia="zh-CN"/>
              </w:rPr>
              <w:t>0.1365k</w:t>
            </w:r>
            <w:r>
              <w:rPr>
                <w:rFonts w:hint="eastAsia" w:ascii="Times New Roman" w:hAnsi="Times New Roman"/>
                <w:color w:val="auto"/>
                <w:sz w:val="26"/>
                <w:szCs w:val="26"/>
                <w:highlight w:val="none"/>
              </w:rPr>
              <w:t>m</w:t>
            </w:r>
            <w:r>
              <w:rPr>
                <w:rFonts w:hint="eastAsia" w:ascii="Times New Roman" w:hAnsi="Times New Roman"/>
                <w:color w:val="auto"/>
                <w:sz w:val="26"/>
                <w:szCs w:val="26"/>
                <w:highlight w:val="none"/>
                <w:vertAlign w:val="superscript"/>
              </w:rPr>
              <w:t>2</w:t>
            </w:r>
            <w:r>
              <w:rPr>
                <w:rFonts w:hint="eastAsia" w:ascii="Times New Roman" w:hAnsi="Times New Roman"/>
                <w:color w:val="auto"/>
                <w:sz w:val="26"/>
                <w:szCs w:val="26"/>
                <w:highlight w:val="none"/>
              </w:rPr>
              <w:t>，占地规模属于中型</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lang w:val="en-US" w:eastAsia="zh-CN"/>
              </w:rPr>
              <w:t>本项目周边存在耕地、居民，据</w:t>
            </w:r>
            <w:r>
              <w:rPr>
                <w:rFonts w:hint="eastAsia" w:ascii="Times New Roman" w:hAnsi="Times New Roman"/>
                <w:color w:val="auto"/>
                <w:sz w:val="26"/>
                <w:szCs w:val="26"/>
                <w:highlight w:val="none"/>
              </w:rPr>
              <w:t>《环境影响评价技术导则 土壤环境》（HJ 964-2018）</w:t>
            </w:r>
            <w:r>
              <w:rPr>
                <w:rFonts w:hint="eastAsia" w:ascii="Times New Roman" w:hAnsi="Times New Roman"/>
                <w:color w:val="auto"/>
                <w:sz w:val="26"/>
                <w:szCs w:val="26"/>
                <w:highlight w:val="none"/>
                <w:lang w:val="en-US" w:eastAsia="zh-CN"/>
              </w:rPr>
              <w:t>6.2.2表3可知，</w:t>
            </w:r>
            <w:r>
              <w:rPr>
                <w:rFonts w:hint="eastAsia" w:ascii="Times New Roman" w:hAnsi="Times New Roman"/>
                <w:color w:val="auto"/>
                <w:sz w:val="26"/>
                <w:szCs w:val="26"/>
                <w:highlight w:val="none"/>
              </w:rPr>
              <w:t>项目所在地周边土壤敏感程度为“敏感”，根据评价工作等级划分，项目土壤环境影响评价等级为三级评价。项目运营期间无废水外排，无固体废弃物外排，产生的废气主要为粉尘。</w:t>
            </w:r>
            <w:r>
              <w:rPr>
                <w:rFonts w:hint="eastAsia" w:ascii="Times New Roman" w:hAnsi="Times New Roman"/>
                <w:color w:val="auto"/>
                <w:sz w:val="26"/>
                <w:szCs w:val="26"/>
                <w:highlight w:val="none"/>
                <w:lang w:val="en-US" w:eastAsia="zh-CN"/>
              </w:rPr>
              <w:t>本项目的原料、产品</w:t>
            </w:r>
            <w:r>
              <w:rPr>
                <w:rFonts w:hint="eastAsia" w:ascii="Times New Roman" w:hAnsi="Times New Roman"/>
                <w:color w:val="auto"/>
                <w:sz w:val="26"/>
                <w:szCs w:val="26"/>
                <w:highlight w:val="none"/>
              </w:rPr>
              <w:t>中不含有其他有毒有害物质。项目</w:t>
            </w:r>
            <w:r>
              <w:rPr>
                <w:rFonts w:hint="eastAsia" w:ascii="Times New Roman" w:hAnsi="Times New Roman"/>
                <w:color w:val="auto"/>
                <w:sz w:val="26"/>
                <w:szCs w:val="26"/>
                <w:highlight w:val="none"/>
                <w:lang w:val="en-US" w:eastAsia="zh-CN"/>
              </w:rPr>
              <w:t>粉尘排放主要为无组织排放，</w:t>
            </w:r>
            <w:r>
              <w:rPr>
                <w:rFonts w:hint="eastAsia" w:ascii="Times New Roman" w:hAnsi="Times New Roman"/>
                <w:color w:val="auto"/>
                <w:sz w:val="26"/>
                <w:szCs w:val="26"/>
                <w:highlight w:val="none"/>
              </w:rPr>
              <w:t>有组织粉尘的排放主要采取布袋除尘措施，同时采取洒水降尘等措施，进一步降低无组织粉尘的排放量，经大气沉降到土壤表层的粉尘较少。</w:t>
            </w:r>
            <w:r>
              <w:rPr>
                <w:rFonts w:hint="eastAsia" w:ascii="Times New Roman" w:hAnsi="Times New Roman"/>
                <w:color w:val="auto"/>
                <w:sz w:val="26"/>
                <w:szCs w:val="26"/>
                <w:highlight w:val="none"/>
                <w:lang w:val="en-US" w:eastAsia="zh-CN"/>
              </w:rPr>
              <w:t>故本项目运营对周边土壤环境影响较小。</w:t>
            </w:r>
          </w:p>
          <w:p w14:paraId="7B18C49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r>
              <w:rPr>
                <w:rFonts w:hint="eastAsia" w:ascii="Times New Roman" w:hAnsi="Times New Roman"/>
                <w:color w:val="auto"/>
                <w:sz w:val="26"/>
                <w:szCs w:val="26"/>
                <w:highlight w:val="none"/>
              </w:rPr>
              <w:t>据建设单位于202</w:t>
            </w:r>
            <w:r>
              <w:rPr>
                <w:rFonts w:hint="eastAsia" w:ascii="Times New Roman" w:hAnsi="Times New Roman"/>
                <w:color w:val="auto"/>
                <w:sz w:val="26"/>
                <w:szCs w:val="26"/>
                <w:highlight w:val="none"/>
                <w:lang w:val="en-US" w:eastAsia="zh-CN"/>
              </w:rPr>
              <w:t>1</w:t>
            </w:r>
            <w:r>
              <w:rPr>
                <w:rFonts w:hint="eastAsia" w:ascii="Times New Roman" w:hAnsi="Times New Roman"/>
                <w:color w:val="auto"/>
                <w:sz w:val="26"/>
                <w:szCs w:val="26"/>
                <w:highlight w:val="none"/>
              </w:rPr>
              <w:t>年1月委托</w:t>
            </w:r>
            <w:r>
              <w:rPr>
                <w:rFonts w:hint="eastAsia" w:ascii="Times New Roman" w:hAnsi="Times New Roman"/>
                <w:color w:val="auto"/>
                <w:kern w:val="0"/>
                <w:sz w:val="26"/>
                <w:szCs w:val="26"/>
                <w:highlight w:val="none"/>
              </w:rPr>
              <w:t>云南健牛生物科技有限公司对本项目区土壤</w:t>
            </w:r>
            <w:r>
              <w:rPr>
                <w:rFonts w:ascii="Times New Roman" w:hAnsi="Times New Roman"/>
                <w:color w:val="auto"/>
                <w:kern w:val="0"/>
                <w:sz w:val="26"/>
                <w:szCs w:val="26"/>
                <w:highlight w:val="none"/>
                <w:lang w:val="zh-CN"/>
              </w:rPr>
              <w:t>监测</w:t>
            </w:r>
            <w:r>
              <w:rPr>
                <w:rFonts w:hint="eastAsia" w:ascii="Times New Roman" w:hAnsi="Times New Roman"/>
                <w:color w:val="auto"/>
                <w:kern w:val="0"/>
                <w:sz w:val="26"/>
                <w:szCs w:val="26"/>
                <w:highlight w:val="none"/>
              </w:rPr>
              <w:t>的数据分析</w:t>
            </w:r>
            <w:r>
              <w:rPr>
                <w:rFonts w:ascii="Times New Roman" w:hAnsi="Times New Roman"/>
                <w:color w:val="auto"/>
                <w:kern w:val="0"/>
                <w:sz w:val="26"/>
                <w:szCs w:val="26"/>
                <w:highlight w:val="none"/>
                <w:lang w:val="zh-CN"/>
              </w:rPr>
              <w:t>，</w:t>
            </w:r>
            <w:r>
              <w:rPr>
                <w:rFonts w:hint="eastAsia" w:ascii="Times New Roman" w:hAnsi="Times New Roman"/>
                <w:color w:val="auto"/>
                <w:kern w:val="0"/>
                <w:sz w:val="26"/>
                <w:szCs w:val="26"/>
                <w:highlight w:val="none"/>
              </w:rPr>
              <w:t>场区内的土壤能够满足</w:t>
            </w:r>
            <w:r>
              <w:rPr>
                <w:rFonts w:ascii="Times New Roman" w:hAnsi="Times New Roman"/>
                <w:color w:val="auto"/>
                <w:kern w:val="0"/>
                <w:sz w:val="26"/>
                <w:szCs w:val="26"/>
                <w:highlight w:val="none"/>
                <w:lang w:val="zh-CN"/>
              </w:rPr>
              <w:t>《土壤环境质量 建设用地土壤污染风险管控标准（试行）》（GB36600-2018）第二类用地筛选值标准</w:t>
            </w:r>
            <w:r>
              <w:rPr>
                <w:rFonts w:hint="eastAsia" w:ascii="Times New Roman" w:hAnsi="Times New Roman"/>
                <w:color w:val="auto"/>
                <w:kern w:val="0"/>
                <w:sz w:val="26"/>
                <w:szCs w:val="26"/>
                <w:highlight w:val="none"/>
                <w:lang w:val="zh-CN"/>
              </w:rPr>
              <w:t>。</w:t>
            </w:r>
          </w:p>
          <w:p w14:paraId="573622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（7）</w:t>
            </w:r>
            <w:r>
              <w:rPr>
                <w:rFonts w:hint="eastAsia" w:ascii="Times New Roman" w:hAnsi="Times New Roman"/>
                <w:b/>
                <w:bCs/>
                <w:color w:val="auto"/>
                <w:sz w:val="26"/>
                <w:szCs w:val="26"/>
                <w:highlight w:val="none"/>
                <w:vertAlign w:val="baseline"/>
              </w:rPr>
              <w:t>生态影响分析</w:t>
            </w:r>
          </w:p>
          <w:p w14:paraId="68996A5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①</w:t>
            </w:r>
            <w:r>
              <w:rPr>
                <w:rFonts w:hint="eastAsia" w:ascii="Times New Roman" w:hAnsi="Times New Roman"/>
                <w:color w:val="auto"/>
                <w:sz w:val="26"/>
                <w:szCs w:val="26"/>
                <w:highlight w:val="none"/>
                <w:vertAlign w:val="baseline"/>
              </w:rPr>
              <w:t>土地占用</w:t>
            </w:r>
          </w:p>
          <w:p w14:paraId="0B72A8E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本项目为新建</w:t>
            </w:r>
            <w:r>
              <w:rPr>
                <w:rFonts w:hint="eastAsia" w:ascii="Times New Roman" w:hAnsi="Times New Roman"/>
                <w:color w:val="auto"/>
                <w:sz w:val="26"/>
                <w:szCs w:val="26"/>
                <w:highlight w:val="none"/>
                <w:vertAlign w:val="baseline"/>
              </w:rPr>
              <w:t>项目，占用的土地类型为荒山，项目开采时，由于部分灌木丛变成了矿场用地，土地利用类型发生了改变，但就项目区域来说，土地利用类型发生改变的范围较小</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不占用基本农田，因此不会影响土地的使用。</w:t>
            </w:r>
          </w:p>
          <w:p w14:paraId="3C1FC4D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②</w:t>
            </w:r>
            <w:r>
              <w:rPr>
                <w:rFonts w:hint="eastAsia" w:ascii="Times New Roman" w:hAnsi="Times New Roman"/>
                <w:color w:val="auto"/>
                <w:sz w:val="26"/>
                <w:szCs w:val="26"/>
                <w:highlight w:val="none"/>
                <w:vertAlign w:val="baseline"/>
              </w:rPr>
              <w:t>植被破坏</w:t>
            </w:r>
          </w:p>
          <w:p w14:paraId="1E08831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根据现场调查，矿山所在区域植被类型主要为灌木和</w:t>
            </w:r>
            <w:r>
              <w:rPr>
                <w:rFonts w:hint="eastAsia" w:ascii="Times New Roman" w:hAnsi="Times New Roman"/>
                <w:color w:val="auto"/>
                <w:sz w:val="26"/>
                <w:szCs w:val="26"/>
                <w:highlight w:val="none"/>
                <w:vertAlign w:val="baseline"/>
                <w:lang w:val="en-US" w:eastAsia="zh-CN"/>
              </w:rPr>
              <w:t>草本</w:t>
            </w:r>
            <w:r>
              <w:rPr>
                <w:rFonts w:hint="eastAsia" w:ascii="Times New Roman" w:hAnsi="Times New Roman"/>
                <w:color w:val="auto"/>
                <w:sz w:val="26"/>
                <w:szCs w:val="26"/>
                <w:highlight w:val="none"/>
                <w:vertAlign w:val="baseline"/>
              </w:rPr>
              <w:t>植物，植物种类</w:t>
            </w:r>
            <w:r>
              <w:rPr>
                <w:rFonts w:hint="eastAsia" w:ascii="Times New Roman" w:hAnsi="Times New Roman"/>
                <w:color w:val="auto"/>
                <w:sz w:val="26"/>
                <w:szCs w:val="26"/>
                <w:highlight w:val="none"/>
                <w:vertAlign w:val="baseline"/>
                <w:lang w:val="en-US" w:eastAsia="zh-CN"/>
              </w:rPr>
              <w:t>较少</w:t>
            </w:r>
            <w:r>
              <w:rPr>
                <w:rFonts w:hint="eastAsia" w:ascii="Times New Roman" w:hAnsi="Times New Roman"/>
                <w:color w:val="auto"/>
                <w:sz w:val="26"/>
                <w:szCs w:val="26"/>
                <w:highlight w:val="none"/>
                <w:vertAlign w:val="baseline"/>
              </w:rPr>
              <w:t>，均为常见种类，项目的开采不会导致物种消失。根据项目地质环境保护与治理恢复方案报告，矿山开采结束后，对采场、废土场、堆料场复垦为草地，采用藤生植物上攀绿化治理，底部种植藤生植物，利用藤生植物上攀遮盖采场高陡边坡、台阶平台和废土场恢复为草地。矿山开采结束后，对其进行复垦，可最大限度地控制水土流失程度、恢复矿区的生态。</w:t>
            </w:r>
          </w:p>
          <w:p w14:paraId="2782DBC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w:t>
            </w:r>
            <w:r>
              <w:rPr>
                <w:rFonts w:hint="eastAsia" w:ascii="Times New Roman" w:hAnsi="Times New Roman"/>
                <w:color w:val="auto"/>
                <w:sz w:val="26"/>
                <w:szCs w:val="26"/>
                <w:highlight w:val="none"/>
                <w:vertAlign w:val="baseline"/>
                <w:lang w:val="en-US" w:eastAsia="zh-CN"/>
              </w:rPr>
              <w:t>建设</w:t>
            </w:r>
            <w:r>
              <w:rPr>
                <w:rFonts w:hint="eastAsia" w:ascii="Times New Roman" w:hAnsi="Times New Roman"/>
                <w:color w:val="auto"/>
                <w:sz w:val="26"/>
                <w:szCs w:val="26"/>
                <w:highlight w:val="none"/>
                <w:vertAlign w:val="baseline"/>
              </w:rPr>
              <w:t>完成后运输车辆增多，运输车辆产生扬尘增多。矿区排放的粉尘、运输车辆产生的扬尘等均使空气质量不利于野生动植物生长繁殖，粉尘降落在植物叶面会堵塞气孔，不利于植物光合作用，对植物生长有一定的影响。项目在开采过程中，定期洒水降尘，运输车辆采取防尘运输和减速慢行等措施使扬尘中颗粒物浓度控制在1.0mg/m</w:t>
            </w:r>
            <w:r>
              <w:rPr>
                <w:rFonts w:hint="eastAsia" w:ascii="Times New Roman" w:hAnsi="Times New Roman"/>
                <w:color w:val="auto"/>
                <w:sz w:val="26"/>
                <w:szCs w:val="26"/>
                <w:highlight w:val="none"/>
                <w:vertAlign w:val="superscript"/>
              </w:rPr>
              <w:t>3</w:t>
            </w:r>
            <w:r>
              <w:rPr>
                <w:rFonts w:hint="eastAsia" w:ascii="Times New Roman" w:hAnsi="Times New Roman"/>
                <w:color w:val="auto"/>
                <w:sz w:val="26"/>
                <w:szCs w:val="26"/>
                <w:highlight w:val="none"/>
                <w:vertAlign w:val="baseline"/>
              </w:rPr>
              <w:t>以下，因此扬尘和粉尘对植被影响不大。</w:t>
            </w:r>
          </w:p>
          <w:p w14:paraId="76A539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③</w:t>
            </w:r>
            <w:r>
              <w:rPr>
                <w:rFonts w:hint="eastAsia" w:ascii="Times New Roman" w:hAnsi="Times New Roman"/>
                <w:color w:val="auto"/>
                <w:sz w:val="26"/>
                <w:szCs w:val="26"/>
                <w:highlight w:val="none"/>
                <w:vertAlign w:val="baseline"/>
              </w:rPr>
              <w:t>对野生动物的影响分析</w:t>
            </w:r>
          </w:p>
          <w:p w14:paraId="62BB472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周围的周围野生动物大多为适应人类活动干扰的种类，项目</w:t>
            </w:r>
            <w:r>
              <w:rPr>
                <w:rFonts w:hint="eastAsia" w:ascii="Times New Roman" w:hAnsi="Times New Roman"/>
                <w:color w:val="auto"/>
                <w:sz w:val="26"/>
                <w:szCs w:val="26"/>
                <w:highlight w:val="none"/>
                <w:vertAlign w:val="baseline"/>
                <w:lang w:val="en-US" w:eastAsia="zh-CN"/>
              </w:rPr>
              <w:t>建设</w:t>
            </w:r>
            <w:r>
              <w:rPr>
                <w:rFonts w:hint="eastAsia" w:ascii="Times New Roman" w:hAnsi="Times New Roman"/>
                <w:color w:val="auto"/>
                <w:sz w:val="26"/>
                <w:szCs w:val="26"/>
                <w:highlight w:val="none"/>
                <w:vertAlign w:val="baseline"/>
              </w:rPr>
              <w:t>后对周围野生动物的影响不大。评价范围内未发现有国家保护珍稀动植物，因此项且营运对生态环境影响不大，不会导致任何动植物种类的濒危，对生物多样性的影响不大。</w:t>
            </w:r>
          </w:p>
          <w:p w14:paraId="63BD20B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④</w:t>
            </w:r>
            <w:r>
              <w:rPr>
                <w:rFonts w:hint="eastAsia" w:ascii="Times New Roman" w:hAnsi="Times New Roman"/>
                <w:color w:val="auto"/>
                <w:sz w:val="26"/>
                <w:szCs w:val="26"/>
                <w:highlight w:val="none"/>
                <w:vertAlign w:val="baseline"/>
              </w:rPr>
              <w:t>水土流失</w:t>
            </w:r>
          </w:p>
          <w:p w14:paraId="009BBA6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项目在开采过程中破坏了原有的地表植被。表土由于失去植物的附着作用，形成易被雨水等冲刷的疏松层，土壞可蚀性相应增加，抗侵蚀能力降低，地形切割加剧，从而导致水土流失增加，同时在开采过程中形成边坡，遇暴雨季节，雨水冲刷表土，更易造成水士流失。一旦发生滑坡，矿区的水土将淹没地势低洼处的植被，破坏原来的生态系统。对此，项目采取防治水土流失的措施</w:t>
            </w:r>
            <w:r>
              <w:rPr>
                <w:rFonts w:hint="eastAsia" w:ascii="Times New Roman" w:hAnsi="Times New Roman"/>
                <w:color w:val="auto"/>
                <w:sz w:val="26"/>
                <w:szCs w:val="26"/>
                <w:highlight w:val="none"/>
                <w:vertAlign w:val="baseline"/>
                <w:lang w:eastAsia="zh-CN"/>
              </w:rPr>
              <w:t>：</w:t>
            </w:r>
          </w:p>
          <w:p w14:paraId="1C6DB6E0">
            <w:pPr>
              <w:pStyle w:val="1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对现有的水土保持措施进行维护，保证正常运行</w:t>
            </w:r>
            <w:r>
              <w:rPr>
                <w:rFonts w:hint="eastAsia" w:ascii="Times New Roman" w:hAnsi="Times New Roman"/>
                <w:color w:val="auto"/>
                <w:sz w:val="26"/>
                <w:szCs w:val="26"/>
                <w:highlight w:val="none"/>
                <w:vertAlign w:val="baseline"/>
                <w:lang w:eastAsia="zh-CN"/>
              </w:rPr>
              <w:t>；</w:t>
            </w:r>
          </w:p>
          <w:p w14:paraId="1206A7C2">
            <w:pPr>
              <w:pStyle w:val="1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对矿区开采区周边设置截水沟，与现状的沉淀池相连接</w:t>
            </w:r>
            <w:r>
              <w:rPr>
                <w:rFonts w:hint="eastAsia" w:ascii="Times New Roman" w:hAnsi="Times New Roman"/>
                <w:color w:val="auto"/>
                <w:sz w:val="26"/>
                <w:szCs w:val="26"/>
                <w:highlight w:val="none"/>
                <w:vertAlign w:val="baseline"/>
                <w:lang w:eastAsia="zh-CN"/>
              </w:rPr>
              <w:t>；</w:t>
            </w:r>
          </w:p>
          <w:p w14:paraId="0C95307C">
            <w:pPr>
              <w:pStyle w:val="1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在矿区各开采工作面之前挖一条横向导流渠，将雨水引至矿区外，防止水土流失</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废石场四周、堆矿场修建截水沟</w:t>
            </w:r>
            <w:r>
              <w:rPr>
                <w:rFonts w:hint="eastAsia" w:ascii="Times New Roman" w:hAnsi="Times New Roman"/>
                <w:color w:val="auto"/>
                <w:sz w:val="26"/>
                <w:szCs w:val="26"/>
                <w:highlight w:val="none"/>
                <w:vertAlign w:val="baseline"/>
                <w:lang w:eastAsia="zh-CN"/>
              </w:rPr>
              <w:t>；</w:t>
            </w:r>
          </w:p>
          <w:p w14:paraId="344144E8">
            <w:pPr>
              <w:pStyle w:val="1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堆矿场遵循“先治后用”原则，同时采用篷布遮盖，防止雨水直接冲刷，废石场设挡土墙，将从挡土墙底部排泄出的雨水导入沉淀池</w:t>
            </w:r>
            <w:r>
              <w:rPr>
                <w:rFonts w:hint="eastAsia" w:ascii="Times New Roman" w:hAnsi="Times New Roman"/>
                <w:color w:val="auto"/>
                <w:sz w:val="26"/>
                <w:szCs w:val="26"/>
                <w:highlight w:val="none"/>
                <w:vertAlign w:val="baseline"/>
                <w:lang w:eastAsia="zh-CN"/>
              </w:rPr>
              <w:t>；</w:t>
            </w:r>
          </w:p>
          <w:p w14:paraId="7A4F3905">
            <w:pPr>
              <w:pStyle w:val="1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定期检查截水沟、导流渠等排水设施通畅，对于堵塞的部位及时清理，以便雨水及时排出，保证采场、道路、人员及设备安全。取这些措施后，能够有效的防治水土流失、保护项目所在地的生态系统。同时应定期检查维护挡土墙、排水沟等设施，发现有损坏可能或异常，及时采取必要措施加固，以保障正常运行。</w:t>
            </w:r>
          </w:p>
          <w:p w14:paraId="0417D53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开采时地表原有植被丧失，将导致水土流失。项目应加强施工管理，把难以避免的植被破坏减少到最低限度，注意对脆弱植被的保护和对环境条件恶劣的局部地区的植被的保护，要最大限度地降低对矿区周围的生态系统的破坏，使项目建设对周围环境的影响降低到最低程度。在开采结束后，进行积极的修复，恢复植被可选择当地常见树种和草种。</w:t>
            </w:r>
          </w:p>
          <w:p w14:paraId="336084C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⑤</w:t>
            </w:r>
            <w:r>
              <w:rPr>
                <w:rFonts w:hint="eastAsia" w:ascii="Times New Roman" w:hAnsi="Times New Roman"/>
                <w:color w:val="auto"/>
                <w:sz w:val="26"/>
                <w:szCs w:val="26"/>
                <w:highlight w:val="none"/>
                <w:vertAlign w:val="baseline"/>
              </w:rPr>
              <w:t>景观</w:t>
            </w:r>
          </w:p>
          <w:p w14:paraId="57C8300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矿区开采会破坏矿区范围内既有植被并形成采坑，对当地自然景观有一定影响。项目周围无风景名胜区和自然保护区，不在铁路直观可视范围内。项目采矿后采取复垦、绿化等措施恢复地表植被，采取以上措施后，项目开采对当地自然景观影响不大。</w:t>
            </w:r>
          </w:p>
          <w:p w14:paraId="3C076DC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综上所述，本项目开采对当地的生态环境影响不大。</w:t>
            </w:r>
          </w:p>
          <w:p w14:paraId="63BB17C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6"/>
                <w:szCs w:val="26"/>
                <w:highlight w:val="none"/>
                <w:vertAlign w:val="baseline"/>
                <w:lang w:val="en-US" w:eastAsia="zh-CN"/>
              </w:rPr>
              <w:t>（8）环境风险</w:t>
            </w:r>
            <w:r>
              <w:rPr>
                <w:rFonts w:hint="eastAsia" w:ascii="Times New Roman" w:hAnsi="Times New Roman"/>
                <w:b/>
                <w:bCs/>
                <w:color w:val="auto"/>
                <w:sz w:val="26"/>
                <w:szCs w:val="26"/>
                <w:highlight w:val="none"/>
                <w:vertAlign w:val="baseline"/>
              </w:rPr>
              <w:t>分析</w:t>
            </w:r>
          </w:p>
          <w:p w14:paraId="3B01922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①</w:t>
            </w:r>
            <w:r>
              <w:rPr>
                <w:rFonts w:hint="eastAsia" w:ascii="Times New Roman" w:hAnsi="Times New Roman"/>
                <w:color w:val="auto"/>
                <w:sz w:val="26"/>
                <w:szCs w:val="26"/>
                <w:highlight w:val="none"/>
                <w:vertAlign w:val="baseline"/>
              </w:rPr>
              <w:t>柴油储存和使用风险分析</w:t>
            </w:r>
          </w:p>
          <w:p w14:paraId="5F4D7D1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柴油</w:t>
            </w:r>
            <w:r>
              <w:rPr>
                <w:rFonts w:hint="eastAsia" w:ascii="Times New Roman" w:hAnsi="Times New Roman"/>
                <w:color w:val="auto"/>
                <w:sz w:val="26"/>
                <w:szCs w:val="26"/>
                <w:highlight w:val="none"/>
                <w:vertAlign w:val="baseline"/>
                <w:lang w:val="en-US" w:eastAsia="zh-CN"/>
              </w:rPr>
              <w:t>）</w:t>
            </w:r>
            <w:r>
              <w:rPr>
                <w:rFonts w:hint="eastAsia" w:ascii="Times New Roman" w:hAnsi="Times New Roman"/>
                <w:color w:val="auto"/>
                <w:sz w:val="26"/>
                <w:szCs w:val="26"/>
                <w:highlight w:val="none"/>
                <w:vertAlign w:val="baseline"/>
              </w:rPr>
              <w:t>主要是9到18个碳原子的链烷、环烷或芳烃组成的混合物，其化学和物理特性位于汽油和重油之间，沸点在170</w:t>
            </w:r>
            <w:r>
              <w:rPr>
                <w:rFonts w:hint="eastAsia" w:ascii="微软雅黑" w:hAnsi="微软雅黑" w:eastAsia="微软雅黑" w:cs="微软雅黑"/>
                <w:color w:val="auto"/>
                <w:sz w:val="26"/>
                <w:szCs w:val="26"/>
                <w:highlight w:val="none"/>
                <w:vertAlign w:val="baseline"/>
              </w:rPr>
              <w:t>℃</w:t>
            </w:r>
            <w:r>
              <w:rPr>
                <w:rFonts w:hint="eastAsia" w:ascii="Times New Roman" w:hAnsi="Times New Roman"/>
                <w:color w:val="auto"/>
                <w:sz w:val="26"/>
                <w:szCs w:val="26"/>
                <w:highlight w:val="none"/>
                <w:vertAlign w:val="baseline"/>
              </w:rPr>
              <w:t>至390</w:t>
            </w:r>
            <w:r>
              <w:rPr>
                <w:rFonts w:hint="eastAsia" w:ascii="微软雅黑" w:hAnsi="微软雅黑" w:eastAsia="微软雅黑" w:cs="微软雅黑"/>
                <w:color w:val="auto"/>
                <w:sz w:val="26"/>
                <w:szCs w:val="26"/>
                <w:highlight w:val="none"/>
                <w:vertAlign w:val="baseline"/>
              </w:rPr>
              <w:t>℃</w:t>
            </w:r>
            <w:r>
              <w:rPr>
                <w:rFonts w:hint="eastAsia" w:ascii="Times New Roman" w:hAnsi="Times New Roman"/>
                <w:color w:val="auto"/>
                <w:sz w:val="26"/>
                <w:szCs w:val="26"/>
                <w:highlight w:val="none"/>
                <w:vertAlign w:val="baseline"/>
              </w:rPr>
              <w:t>间，闪点56</w:t>
            </w:r>
            <w:r>
              <w:rPr>
                <w:rFonts w:hint="eastAsia" w:ascii="微软雅黑" w:hAnsi="微软雅黑" w:eastAsia="微软雅黑" w:cs="微软雅黑"/>
                <w:color w:val="auto"/>
                <w:sz w:val="26"/>
                <w:szCs w:val="26"/>
                <w:highlight w:val="none"/>
                <w:vertAlign w:val="baseline"/>
              </w:rPr>
              <w:t>℃</w:t>
            </w:r>
            <w:r>
              <w:rPr>
                <w:rFonts w:hint="eastAsia" w:ascii="Times New Roman" w:hAnsi="Times New Roman"/>
                <w:color w:val="auto"/>
                <w:sz w:val="26"/>
                <w:szCs w:val="26"/>
                <w:highlight w:val="none"/>
                <w:vertAlign w:val="baseline"/>
              </w:rPr>
              <w:t>，属于易燃、易爆物品。</w:t>
            </w:r>
          </w:p>
          <w:p w14:paraId="6D87EC3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根据《危险化学品名录(20</w:t>
            </w:r>
            <w:r>
              <w:rPr>
                <w:rFonts w:hint="eastAsia" w:ascii="Times New Roman" w:hAnsi="Times New Roman"/>
                <w:color w:val="auto"/>
                <w:sz w:val="26"/>
                <w:szCs w:val="26"/>
                <w:highlight w:val="none"/>
                <w:vertAlign w:val="baseline"/>
                <w:lang w:val="en-US" w:eastAsia="zh-CN"/>
              </w:rPr>
              <w:t>21</w:t>
            </w:r>
            <w:r>
              <w:rPr>
                <w:rFonts w:hint="eastAsia" w:ascii="Times New Roman" w:hAnsi="Times New Roman"/>
                <w:color w:val="auto"/>
                <w:sz w:val="26"/>
                <w:szCs w:val="26"/>
                <w:highlight w:val="none"/>
                <w:vertAlign w:val="baseline"/>
              </w:rPr>
              <w:t xml:space="preserve"> 版》，</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柴油</w:t>
            </w:r>
            <w:r>
              <w:rPr>
                <w:rFonts w:hint="eastAsia" w:ascii="Times New Roman" w:hAnsi="Times New Roman"/>
                <w:color w:val="auto"/>
                <w:sz w:val="26"/>
                <w:szCs w:val="26"/>
                <w:highlight w:val="none"/>
                <w:vertAlign w:val="baseline"/>
                <w:lang w:val="en-US" w:eastAsia="zh-CN"/>
              </w:rPr>
              <w:t>）</w:t>
            </w:r>
            <w:r>
              <w:rPr>
                <w:rFonts w:hint="eastAsia" w:ascii="Times New Roman" w:hAnsi="Times New Roman"/>
                <w:color w:val="auto"/>
                <w:sz w:val="26"/>
                <w:szCs w:val="26"/>
                <w:highlight w:val="none"/>
                <w:vertAlign w:val="baseline"/>
              </w:rPr>
              <w:t>不属于危险化学品。鉴于</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属于易燃、易爆物品，因此确定其为本项目风险评价因子。</w:t>
            </w:r>
          </w:p>
          <w:p w14:paraId="6450BBCE">
            <w:pPr>
              <w:pStyle w:val="13"/>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柴油</w:t>
            </w:r>
            <w:r>
              <w:rPr>
                <w:rFonts w:hint="eastAsia" w:ascii="Times New Roman" w:hAnsi="Times New Roman"/>
                <w:color w:val="auto"/>
                <w:sz w:val="26"/>
                <w:szCs w:val="26"/>
                <w:highlight w:val="none"/>
                <w:vertAlign w:val="baseline"/>
                <w:lang w:val="en-US" w:eastAsia="zh-CN"/>
              </w:rPr>
              <w:t>）</w:t>
            </w:r>
            <w:r>
              <w:rPr>
                <w:rFonts w:hint="eastAsia" w:ascii="Times New Roman" w:hAnsi="Times New Roman"/>
                <w:color w:val="auto"/>
                <w:sz w:val="26"/>
                <w:szCs w:val="26"/>
                <w:highlight w:val="none"/>
                <w:vertAlign w:val="baseline"/>
              </w:rPr>
              <w:t>年主要用于维持生产设备的正常运行</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项目矿区内设专门的</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储罐</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根据</w:t>
            </w:r>
            <w:r>
              <w:rPr>
                <w:rFonts w:cs="Times New Roman"/>
                <w:color w:val="auto"/>
                <w:highlight w:val="none"/>
              </w:rPr>
              <w:t>GB18218-2018</w:t>
            </w:r>
            <w:r>
              <w:rPr>
                <w:rFonts w:hint="eastAsia" w:ascii="Times New Roman" w:hAnsi="Times New Roman"/>
                <w:color w:val="auto"/>
                <w:sz w:val="26"/>
                <w:szCs w:val="26"/>
                <w:highlight w:val="none"/>
                <w:vertAlign w:val="baseline"/>
              </w:rPr>
              <w:t>《危险化学品重大危险源辨识》，</w:t>
            </w:r>
            <w:r>
              <w:rPr>
                <w:rFonts w:hint="eastAsia" w:ascii="Times New Roman" w:hAnsi="Times New Roman"/>
                <w:color w:val="auto"/>
                <w:sz w:val="26"/>
                <w:szCs w:val="26"/>
                <w:highlight w:val="none"/>
                <w:vertAlign w:val="baseline"/>
                <w:lang w:val="en-US" w:eastAsia="zh-CN"/>
              </w:rPr>
              <w:t>项目产生的废机油为0.2t/a，废机油（</w:t>
            </w:r>
            <w:r>
              <w:rPr>
                <w:rFonts w:hint="eastAsia" w:ascii="Times New Roman" w:hAnsi="Times New Roman"/>
                <w:color w:val="auto"/>
                <w:sz w:val="26"/>
                <w:szCs w:val="26"/>
                <w:highlight w:val="none"/>
                <w:vertAlign w:val="baseline"/>
              </w:rPr>
              <w:t>柴油</w:t>
            </w:r>
            <w:r>
              <w:rPr>
                <w:rFonts w:hint="eastAsia" w:ascii="Times New Roman" w:hAnsi="Times New Roman"/>
                <w:color w:val="auto"/>
                <w:sz w:val="26"/>
                <w:szCs w:val="26"/>
                <w:highlight w:val="none"/>
                <w:vertAlign w:val="baseline"/>
                <w:lang w:val="en-US" w:eastAsia="zh-CN"/>
              </w:rPr>
              <w:t>）</w:t>
            </w:r>
            <w:r>
              <w:rPr>
                <w:rFonts w:hint="eastAsia" w:ascii="Times New Roman" w:hAnsi="Times New Roman"/>
                <w:color w:val="auto"/>
                <w:sz w:val="26"/>
                <w:szCs w:val="26"/>
                <w:highlight w:val="none"/>
                <w:vertAlign w:val="baseline"/>
              </w:rPr>
              <w:t>的临界量为</w:t>
            </w:r>
            <w:r>
              <w:rPr>
                <w:rFonts w:hint="eastAsia"/>
                <w:color w:val="auto"/>
                <w:sz w:val="26"/>
                <w:szCs w:val="26"/>
                <w:highlight w:val="none"/>
                <w:vertAlign w:val="baseline"/>
                <w:lang w:val="en-US" w:eastAsia="zh-CN"/>
              </w:rPr>
              <w:t>2500</w:t>
            </w:r>
            <w:r>
              <w:rPr>
                <w:rFonts w:hint="eastAsia" w:ascii="Times New Roman" w:hAnsi="Times New Roman"/>
                <w:color w:val="auto"/>
                <w:sz w:val="26"/>
                <w:szCs w:val="26"/>
                <w:highlight w:val="none"/>
                <w:vertAlign w:val="baseline"/>
              </w:rPr>
              <w:t>t，因此项目不属于重大危险源。</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柴油</w:t>
            </w:r>
            <w:r>
              <w:rPr>
                <w:rFonts w:hint="eastAsia" w:ascii="Times New Roman" w:hAnsi="Times New Roman"/>
                <w:color w:val="auto"/>
                <w:sz w:val="26"/>
                <w:szCs w:val="26"/>
                <w:highlight w:val="none"/>
                <w:vertAlign w:val="baseline"/>
                <w:lang w:val="en-US" w:eastAsia="zh-CN"/>
              </w:rPr>
              <w:t>）</w:t>
            </w:r>
            <w:r>
              <w:rPr>
                <w:rFonts w:hint="eastAsia" w:ascii="Times New Roman" w:hAnsi="Times New Roman"/>
                <w:color w:val="auto"/>
                <w:sz w:val="26"/>
                <w:szCs w:val="26"/>
                <w:highlight w:val="none"/>
                <w:vertAlign w:val="baseline"/>
              </w:rPr>
              <w:t>的装卸运输以及生产设备加油等均需有专业人员操作，不可随意打开桶盖，以免发生泄漏，并设置防火警戒线，禁止火种进入装卸现场，并配备干粉式灭火器等相关灭火器材。项目应制定火灾应急预案，组织员工进行防火、救火培训，增强员工的防火意识和救火技能。一旦发生火灾，马上拨打119火警电话，同时组织员工救火。在认真落实以上风险防范措施的基础上，</w:t>
            </w:r>
            <w:r>
              <w:rPr>
                <w:rFonts w:hint="eastAsia" w:ascii="Times New Roman" w:hAnsi="Times New Roman"/>
                <w:color w:val="auto"/>
                <w:sz w:val="26"/>
                <w:szCs w:val="26"/>
                <w:highlight w:val="none"/>
                <w:vertAlign w:val="baseline"/>
                <w:lang w:val="en-US" w:eastAsia="zh-CN"/>
              </w:rPr>
              <w:t>废机油</w:t>
            </w:r>
            <w:r>
              <w:rPr>
                <w:rFonts w:hint="eastAsia" w:ascii="Times New Roman" w:hAnsi="Times New Roman"/>
                <w:color w:val="auto"/>
                <w:sz w:val="26"/>
                <w:szCs w:val="26"/>
                <w:highlight w:val="none"/>
                <w:vertAlign w:val="baseline"/>
              </w:rPr>
              <w:t>引发的环境风险不大。</w:t>
            </w:r>
          </w:p>
          <w:p w14:paraId="025D30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宋体" w:hAnsi="宋体" w:eastAsia="宋体" w:cs="宋体"/>
                <w:color w:val="auto"/>
                <w:sz w:val="26"/>
                <w:szCs w:val="26"/>
                <w:highlight w:val="none"/>
                <w:vertAlign w:val="baseline"/>
              </w:rPr>
              <w:t>②</w:t>
            </w:r>
            <w:r>
              <w:rPr>
                <w:rFonts w:hint="eastAsia" w:ascii="Times New Roman" w:hAnsi="Times New Roman"/>
                <w:color w:val="auto"/>
                <w:sz w:val="26"/>
                <w:szCs w:val="26"/>
                <w:highlight w:val="none"/>
                <w:vertAlign w:val="baseline"/>
              </w:rPr>
              <w:t>采矿过程的环境风险分析</w:t>
            </w:r>
          </w:p>
          <w:p w14:paraId="2DBB239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1）</w:t>
            </w:r>
            <w:r>
              <w:rPr>
                <w:rFonts w:hint="eastAsia" w:ascii="Times New Roman" w:hAnsi="Times New Roman"/>
                <w:color w:val="auto"/>
                <w:sz w:val="26"/>
                <w:szCs w:val="26"/>
                <w:highlight w:val="none"/>
                <w:vertAlign w:val="baseline"/>
              </w:rPr>
              <w:t>爆破事故</w:t>
            </w:r>
          </w:p>
          <w:p w14:paraId="1A731BB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爆破是一种特殊行业，安全在这一行业中具有突出地位。采石场主要的事故类型是爆破事故，主要包括爆破地震、冲击波、个别飞石和爆破噪声等，其中爆破产生的飞石伤人等事故，引发纠纷不计其数。另外，还有盲炮、半爆、早爆和冲天炮等。</w:t>
            </w:r>
          </w:p>
          <w:p w14:paraId="2A1F68D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2）</w:t>
            </w:r>
            <w:r>
              <w:rPr>
                <w:rFonts w:hint="eastAsia" w:ascii="Times New Roman" w:hAnsi="Times New Roman"/>
                <w:color w:val="auto"/>
                <w:sz w:val="26"/>
                <w:szCs w:val="26"/>
                <w:highlight w:val="none"/>
                <w:vertAlign w:val="baseline"/>
              </w:rPr>
              <w:t>炸药爆炸事故</w:t>
            </w:r>
          </w:p>
          <w:p w14:paraId="256DF59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炸药在保存和使用过程中，由于操作失误和其它人为因素造成爆炸事故，导致人员伤亡和受损。该矿炸药由当地爆破公司直接配送使用，炸药不存放在项目区内，不合格爆破用品也由爆破公司当天回收，因此不存在保存过程的炸药爆炸事故风险，但炸药作为一种易爆物品，使用过程还是要求规范化操作和使用，要求施工单位加强管理，在爆破瞬时相关工作人员全部撤离至200m爆破警戒线之外，根据项目原矿山多年的采矿经验，</w:t>
            </w:r>
            <w:r>
              <w:rPr>
                <w:rFonts w:hint="eastAsia" w:ascii="Times New Roman" w:hAnsi="Times New Roman"/>
                <w:color w:val="auto"/>
                <w:sz w:val="26"/>
                <w:szCs w:val="26"/>
                <w:highlight w:val="none"/>
                <w:vertAlign w:val="baseline"/>
                <w:lang w:val="en-US" w:eastAsia="zh-CN"/>
              </w:rPr>
              <w:t>一</w:t>
            </w:r>
            <w:r>
              <w:rPr>
                <w:rFonts w:hint="eastAsia" w:ascii="Times New Roman" w:hAnsi="Times New Roman"/>
                <w:color w:val="auto"/>
                <w:sz w:val="26"/>
                <w:szCs w:val="26"/>
                <w:highlight w:val="none"/>
                <w:vertAlign w:val="baseline"/>
              </w:rPr>
              <w:t>般炸药在使用过程中爆炸事故的发生几率极低。</w:t>
            </w:r>
          </w:p>
          <w:p w14:paraId="3F6470C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3）</w:t>
            </w:r>
            <w:r>
              <w:rPr>
                <w:rFonts w:hint="eastAsia" w:ascii="Times New Roman" w:hAnsi="Times New Roman"/>
                <w:color w:val="auto"/>
                <w:sz w:val="26"/>
                <w:szCs w:val="26"/>
                <w:highlight w:val="none"/>
                <w:vertAlign w:val="baseline"/>
              </w:rPr>
              <w:t>地质灾害</w:t>
            </w:r>
          </w:p>
          <w:p w14:paraId="26C6407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在开采过程中，由于台阶高差大，坡度陡，岩体极易在作业过程中突然塌落，造成采石人员及设备受伤受损。矿区外高陡山坡由于受到自然和人为的风化、破坏，使表面水土流失，植物根系断裂，岩体失稳而造成崩塌。</w:t>
            </w:r>
          </w:p>
          <w:p w14:paraId="4A5ECB3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rPr>
              <w:t>由于坡体地质结构复杂，岩层破碎、软弱，在重力作用和雨水的淋漓、冲刷下，坡体沿岩层结构表面或软弱面产生滑动，形成滑坡。矿区滑坡主要为采场边坡滑坡</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以构造带软弱层滑坡类型为主</w:t>
            </w:r>
            <w:r>
              <w:rPr>
                <w:rFonts w:hint="eastAsia" w:ascii="Times New Roman" w:hAnsi="Times New Roman"/>
                <w:color w:val="auto"/>
                <w:sz w:val="26"/>
                <w:szCs w:val="26"/>
                <w:highlight w:val="none"/>
                <w:vertAlign w:val="baseline"/>
                <w:lang w:eastAsia="zh-CN"/>
              </w:rPr>
              <w:t>。</w:t>
            </w:r>
          </w:p>
          <w:p w14:paraId="7EBB257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泥石流又称山洪流或泥石洪流，是指斜坡上或沟谷中含有大量的泥、砂、石的固液相颗粒流体，泥石流是地质不良山区的一种介于洪水和滑坡之间的地质灾害现象。矿山泥石流是山地沟槽或河谷在暂时性急水流与流域内大量土石相互作用的洪流过程和现象。产生的主要因素有</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沟中水量大，岩土量多，山沟坡度大时，泥石流危害就大。</w:t>
            </w:r>
          </w:p>
          <w:p w14:paraId="321906B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4）</w:t>
            </w:r>
            <w:r>
              <w:rPr>
                <w:rFonts w:hint="eastAsia" w:ascii="Times New Roman" w:hAnsi="Times New Roman"/>
                <w:color w:val="auto"/>
                <w:sz w:val="26"/>
                <w:szCs w:val="26"/>
                <w:highlight w:val="none"/>
                <w:vertAlign w:val="baseline"/>
              </w:rPr>
              <w:t>废石场溃坝</w:t>
            </w:r>
          </w:p>
          <w:p w14:paraId="552E267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废石场在堆放过程中由于堆放过高可能会产生崩塌、滑坡</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暴雨时可能会造成拦渣坝溃解，引发滑坡、泥石流等地质灾害。</w:t>
            </w:r>
          </w:p>
          <w:p w14:paraId="67D7D6D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5）</w:t>
            </w:r>
            <w:r>
              <w:rPr>
                <w:rFonts w:hint="eastAsia" w:ascii="Times New Roman" w:hAnsi="Times New Roman"/>
                <w:color w:val="auto"/>
                <w:sz w:val="26"/>
                <w:szCs w:val="26"/>
                <w:highlight w:val="none"/>
                <w:vertAlign w:val="baseline"/>
              </w:rPr>
              <w:t>事故性排放</w:t>
            </w:r>
          </w:p>
          <w:p w14:paraId="2D41A35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在洪水及暴雨等恶劣气候条件下，雨水冲击开采区内的泥砂，形成泥沙含量较大的雨水径流，如不能进行及时沉淀或设置沉淀池设计处理负荷不足都有可能造成大量泥沙直接外排，形成流失水土淤积周边的山沟，以及最终对周边农林地的影响。</w:t>
            </w:r>
          </w:p>
          <w:p w14:paraId="19DD879E">
            <w:pPr>
              <w:pStyle w:val="15"/>
              <w:keepNext w:val="0"/>
              <w:keepLines w:val="0"/>
              <w:pageBreakBefore w:val="0"/>
              <w:widowControl w:val="0"/>
              <w:kinsoku/>
              <w:wordWrap/>
              <w:overflowPunct/>
              <w:topLinePunct w:val="0"/>
              <w:autoSpaceDE/>
              <w:autoSpaceDN/>
              <w:bidi w:val="0"/>
              <w:adjustRightInd/>
              <w:snapToGrid/>
              <w:spacing w:line="480" w:lineRule="exact"/>
              <w:ind w:left="0" w:leftChars="0" w:firstLine="520" w:firstLineChars="200"/>
              <w:textAlignment w:val="auto"/>
              <w:rPr>
                <w:rFonts w:hint="eastAsia" w:ascii="Times New Roman" w:hAnsi="Times New Roman"/>
                <w:color w:val="auto"/>
                <w:sz w:val="26"/>
                <w:szCs w:val="26"/>
                <w:highlight w:val="none"/>
                <w:vertAlign w:val="baseline"/>
              </w:rPr>
            </w:pPr>
            <w:r>
              <w:rPr>
                <w:rFonts w:hint="eastAsia" w:ascii="Times New Roman" w:hAnsi="Times New Roman" w:eastAsia="宋体"/>
                <w:color w:val="auto"/>
                <w:sz w:val="26"/>
                <w:szCs w:val="26"/>
                <w:highlight w:val="none"/>
                <w:vertAlign w:val="baseline"/>
                <w:lang w:val="en-US" w:eastAsia="zh-CN"/>
              </w:rPr>
              <w:t>东川</w:t>
            </w:r>
            <w:r>
              <w:rPr>
                <w:rFonts w:hint="eastAsia" w:ascii="Times New Roman" w:hAnsi="Times New Roman" w:eastAsia="宋体"/>
                <w:color w:val="auto"/>
                <w:sz w:val="26"/>
                <w:szCs w:val="26"/>
                <w:highlight w:val="none"/>
                <w:vertAlign w:val="baseline"/>
              </w:rPr>
              <w:t>年平均降水量约为1000.5毫米</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矿区面积小，汇水面积不大，降雨时形成的山洪较小。</w:t>
            </w:r>
          </w:p>
          <w:p w14:paraId="0C3FC239">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矿山的开采过程中所处理的物料主要是灰岩矿，与其它工业生产过程中处理气态物料相比，其生产事故性排放比较容易控制。本项目露天作业没有严格的连续性作业要求，因此，在出现生产设备发生故障时，可以及时停车，对生产事故风险加以控制。</w:t>
            </w:r>
          </w:p>
          <w:p w14:paraId="06C904B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山体塌方、边坡失稳的发生会使周边表面植被受到较大的破坏</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山体塌方、边坡失稳事故会使采矿难度加大，影响生产</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山体塌方、边坡失稳事故的发生会对工人生命受到威胁，严重的会导致工人死亡。</w:t>
            </w:r>
          </w:p>
          <w:p w14:paraId="5BB5706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项目开采应认真贯却落实以下各种生产安全事故风险防范措施:</w:t>
            </w:r>
          </w:p>
          <w:p w14:paraId="3E134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1）</w:t>
            </w:r>
            <w:r>
              <w:rPr>
                <w:rFonts w:hint="eastAsia" w:ascii="Times New Roman" w:hAnsi="Times New Roman"/>
                <w:color w:val="auto"/>
                <w:sz w:val="26"/>
                <w:szCs w:val="26"/>
                <w:highlight w:val="none"/>
                <w:vertAlign w:val="baseline"/>
              </w:rPr>
              <w:t>矿场设立安全生产机构，明确安全生产责任制，由矿场法定代表人根据《中华人民共和国安全生产法》、《中华人民共和国矿山安全法》相关法律条文，组织管理安全生产</w:t>
            </w:r>
            <w:r>
              <w:rPr>
                <w:rFonts w:hint="eastAsia" w:ascii="Times New Roman" w:hAnsi="Times New Roman"/>
                <w:color w:val="auto"/>
                <w:sz w:val="26"/>
                <w:szCs w:val="26"/>
                <w:highlight w:val="none"/>
                <w:vertAlign w:val="baseline"/>
                <w:lang w:eastAsia="zh-CN"/>
              </w:rPr>
              <w:t>；</w:t>
            </w:r>
          </w:p>
          <w:p w14:paraId="5ACD18B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2）</w:t>
            </w:r>
            <w:r>
              <w:rPr>
                <w:rFonts w:hint="eastAsia" w:ascii="Times New Roman" w:hAnsi="Times New Roman"/>
                <w:color w:val="auto"/>
                <w:sz w:val="26"/>
                <w:szCs w:val="26"/>
                <w:highlight w:val="none"/>
                <w:vertAlign w:val="baseline"/>
              </w:rPr>
              <w:t>加强从业人员的安全生产教育，提高全体从业人员的安全意识，特种作业人员必须按国家规定进行培训、考核合格后持证上岗</w:t>
            </w:r>
            <w:r>
              <w:rPr>
                <w:rFonts w:hint="eastAsia" w:ascii="Times New Roman" w:hAnsi="Times New Roman"/>
                <w:color w:val="auto"/>
                <w:sz w:val="26"/>
                <w:szCs w:val="26"/>
                <w:highlight w:val="none"/>
                <w:vertAlign w:val="baseline"/>
                <w:lang w:eastAsia="zh-CN"/>
              </w:rPr>
              <w:t>；</w:t>
            </w:r>
          </w:p>
          <w:p w14:paraId="373EF31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3）</w:t>
            </w:r>
            <w:r>
              <w:rPr>
                <w:rFonts w:hint="eastAsia" w:ascii="Times New Roman" w:hAnsi="Times New Roman"/>
                <w:color w:val="auto"/>
                <w:sz w:val="26"/>
                <w:szCs w:val="26"/>
                <w:highlight w:val="none"/>
                <w:vertAlign w:val="baseline"/>
              </w:rPr>
              <w:t>定期检查开采工作面、工作平台和边坡，处理高空危石，加固存在安全隐患的边坡，防止坍塌事故发生</w:t>
            </w:r>
            <w:r>
              <w:rPr>
                <w:rFonts w:hint="eastAsia" w:ascii="Times New Roman" w:hAnsi="Times New Roman"/>
                <w:color w:val="auto"/>
                <w:sz w:val="26"/>
                <w:szCs w:val="26"/>
                <w:highlight w:val="none"/>
                <w:vertAlign w:val="baseline"/>
                <w:lang w:eastAsia="zh-CN"/>
              </w:rPr>
              <w:t>；</w:t>
            </w:r>
          </w:p>
          <w:p w14:paraId="1097CEF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4）</w:t>
            </w:r>
            <w:r>
              <w:rPr>
                <w:rFonts w:hint="eastAsia" w:ascii="Times New Roman" w:hAnsi="Times New Roman"/>
                <w:color w:val="auto"/>
                <w:sz w:val="26"/>
                <w:szCs w:val="26"/>
                <w:highlight w:val="none"/>
                <w:vertAlign w:val="baseline"/>
              </w:rPr>
              <w:t>进行高空作业，如:凿岩布孔、装药、清理工作平台等，工作人员必须系好安全带，并由专人负责监督指挥，防止高空坠落事故的发生</w:t>
            </w:r>
            <w:r>
              <w:rPr>
                <w:rFonts w:hint="eastAsia" w:ascii="Times New Roman" w:hAnsi="Times New Roman"/>
                <w:color w:val="auto"/>
                <w:sz w:val="26"/>
                <w:szCs w:val="26"/>
                <w:highlight w:val="none"/>
                <w:vertAlign w:val="baseline"/>
                <w:lang w:eastAsia="zh-CN"/>
              </w:rPr>
              <w:t>；</w:t>
            </w:r>
          </w:p>
          <w:p w14:paraId="371DC75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5）</w:t>
            </w:r>
            <w:r>
              <w:rPr>
                <w:rFonts w:hint="eastAsia" w:ascii="Times New Roman" w:hAnsi="Times New Roman"/>
                <w:color w:val="auto"/>
                <w:sz w:val="26"/>
                <w:szCs w:val="26"/>
                <w:highlight w:val="none"/>
                <w:vertAlign w:val="baseline"/>
              </w:rPr>
              <w:t>爆破时，必须确保安全警戒范围内的所有人员和村民已经撤离，同时设立警戒岗哨，防止外人误入，避免爆破伤害的发生</w:t>
            </w:r>
            <w:r>
              <w:rPr>
                <w:rFonts w:hint="eastAsia" w:ascii="Times New Roman" w:hAnsi="Times New Roman"/>
                <w:color w:val="auto"/>
                <w:sz w:val="26"/>
                <w:szCs w:val="26"/>
                <w:highlight w:val="none"/>
                <w:vertAlign w:val="baseline"/>
                <w:lang w:eastAsia="zh-CN"/>
              </w:rPr>
              <w:t>；</w:t>
            </w:r>
          </w:p>
          <w:p w14:paraId="16D14E6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color w:val="auto"/>
                <w:sz w:val="26"/>
                <w:szCs w:val="26"/>
                <w:highlight w:val="none"/>
                <w:vertAlign w:val="baseline"/>
                <w:lang w:eastAsia="zh-CN"/>
              </w:rPr>
            </w:pPr>
            <w:r>
              <w:rPr>
                <w:rFonts w:hint="eastAsia" w:ascii="Times New Roman" w:hAnsi="Times New Roman"/>
                <w:color w:val="auto"/>
                <w:sz w:val="26"/>
                <w:szCs w:val="26"/>
                <w:highlight w:val="none"/>
                <w:vertAlign w:val="baseline"/>
                <w:lang w:val="en-US" w:eastAsia="zh-CN"/>
              </w:rPr>
              <w:t>6）</w:t>
            </w:r>
            <w:r>
              <w:rPr>
                <w:rFonts w:hint="eastAsia" w:ascii="Times New Roman" w:hAnsi="Times New Roman"/>
                <w:color w:val="auto"/>
                <w:sz w:val="26"/>
                <w:szCs w:val="26"/>
                <w:highlight w:val="none"/>
                <w:vertAlign w:val="baseline"/>
              </w:rPr>
              <w:t>服从各级行政主管 部门监督，对上级主管部门检查提出的整改意见，及时进行整改，排除安全隐患，保证矿场安全生产</w:t>
            </w:r>
            <w:r>
              <w:rPr>
                <w:rFonts w:hint="eastAsia" w:ascii="Times New Roman" w:hAnsi="Times New Roman"/>
                <w:color w:val="auto"/>
                <w:sz w:val="26"/>
                <w:szCs w:val="26"/>
                <w:highlight w:val="none"/>
                <w:vertAlign w:val="baseline"/>
                <w:lang w:eastAsia="zh-CN"/>
              </w:rPr>
              <w:t>；</w:t>
            </w:r>
          </w:p>
          <w:p w14:paraId="1E50B55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lang w:val="en-US" w:eastAsia="zh-CN"/>
              </w:rPr>
              <w:t>7）</w:t>
            </w:r>
            <w:r>
              <w:rPr>
                <w:rFonts w:hint="eastAsia" w:ascii="Times New Roman" w:hAnsi="Times New Roman"/>
                <w:color w:val="auto"/>
                <w:sz w:val="26"/>
                <w:szCs w:val="26"/>
                <w:highlight w:val="none"/>
                <w:vertAlign w:val="baseline"/>
              </w:rPr>
              <w:t>废石场拦渣坝必须按照相关设计规范进行建设，同时在废石场四周设置防洪截排水沟等工程措施，并保证排水顺畅，减少洪水对废石场的冲刷，提高其抗洪能力。堆放的废石对坡率严格控制在1:1.5~1:1.75之间。</w:t>
            </w:r>
          </w:p>
          <w:p w14:paraId="484F09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项目建设存在一定的风险，但在采取相应措施对矿山建设可能引发或者遭受的地质灾害进行有效防护后，就可能避免或者减轻地质灾害的危害。因此就地质灾害防治而言，矿山建设可行。</w:t>
            </w:r>
          </w:p>
          <w:p w14:paraId="462AB8F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落实以上风险防范措施后，项目开采所造成环境风险影响不大。</w:t>
            </w:r>
          </w:p>
          <w:p w14:paraId="7D31AA4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bCs/>
                <w:color w:val="auto"/>
                <w:sz w:val="26"/>
                <w:szCs w:val="26"/>
                <w:highlight w:val="none"/>
                <w:lang w:val="en-US" w:eastAsia="zh-CN"/>
              </w:rPr>
            </w:pPr>
            <w:r>
              <w:rPr>
                <w:rFonts w:hint="eastAsia" w:ascii="Times New Roman" w:hAnsi="Times New Roman" w:eastAsia="宋体"/>
                <w:b/>
                <w:bCs/>
                <w:color w:val="auto"/>
                <w:sz w:val="26"/>
                <w:szCs w:val="26"/>
                <w:highlight w:val="none"/>
                <w:lang w:val="en-US" w:eastAsia="zh-CN"/>
              </w:rPr>
              <w:t>3、产业政策相符性分析</w:t>
            </w:r>
          </w:p>
          <w:p w14:paraId="093F273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根据国家《产业结构调整指导目录(201</w:t>
            </w:r>
            <w:r>
              <w:rPr>
                <w:rFonts w:hint="eastAsia" w:ascii="Times New Roman" w:hAnsi="Times New Roman"/>
                <w:color w:val="auto"/>
                <w:sz w:val="26"/>
                <w:szCs w:val="26"/>
                <w:highlight w:val="none"/>
                <w:vertAlign w:val="baseline"/>
                <w:lang w:val="en-US" w:eastAsia="zh-CN"/>
              </w:rPr>
              <w:t>9</w:t>
            </w:r>
            <w:r>
              <w:rPr>
                <w:rFonts w:hint="eastAsia" w:ascii="Times New Roman" w:hAnsi="Times New Roman"/>
                <w:color w:val="auto"/>
                <w:sz w:val="26"/>
                <w:szCs w:val="26"/>
                <w:highlight w:val="none"/>
                <w:vertAlign w:val="baseline"/>
              </w:rPr>
              <w:t>年本)》，项目不属于国家限制类、淘汰类项目和鼓励类，为允许类，其建设符合国家产业政策的要求。且本项目的生产规模和采用的技术不是国家限制建设的矿山，符合国家产业政策。</w:t>
            </w:r>
          </w:p>
          <w:p w14:paraId="71BB89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bCs/>
                <w:color w:val="auto"/>
                <w:sz w:val="26"/>
                <w:szCs w:val="26"/>
                <w:highlight w:val="none"/>
                <w:lang w:val="en-US" w:eastAsia="zh-CN"/>
              </w:rPr>
            </w:pPr>
            <w:r>
              <w:rPr>
                <w:rFonts w:hint="eastAsia" w:ascii="Times New Roman" w:hAnsi="Times New Roman" w:eastAsia="宋体"/>
                <w:b/>
                <w:bCs/>
                <w:color w:val="auto"/>
                <w:sz w:val="26"/>
                <w:szCs w:val="26"/>
                <w:highlight w:val="none"/>
                <w:lang w:val="en-US" w:eastAsia="zh-CN"/>
              </w:rPr>
              <w:t>4、选址合理性分析</w:t>
            </w:r>
          </w:p>
          <w:p w14:paraId="7E5668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1</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矿区选址合理性</w:t>
            </w:r>
          </w:p>
          <w:p w14:paraId="5088BD01">
            <w:pPr>
              <w:ind w:firstLine="520"/>
              <w:rPr>
                <w:rFonts w:hint="eastAsia" w:ascii="Times New Roman" w:hAnsi="Times New Roman"/>
                <w:color w:val="auto"/>
                <w:highlight w:val="none"/>
              </w:rPr>
            </w:pPr>
            <w:r>
              <w:rPr>
                <w:rFonts w:hint="eastAsia" w:ascii="宋体" w:hAnsi="宋体" w:eastAsia="宋体" w:cs="宋体"/>
                <w:color w:val="auto"/>
                <w:highlight w:val="none"/>
              </w:rPr>
              <w:t>①</w:t>
            </w:r>
            <w:r>
              <w:rPr>
                <w:rFonts w:hint="eastAsia" w:ascii="Times New Roman" w:hAnsi="Times New Roman"/>
                <w:color w:val="auto"/>
                <w:highlight w:val="none"/>
              </w:rPr>
              <w:t>矿区位于东川区350°方向，直距约30km，地处东川区拖布卡镇大荒地村排子田小组境内。从矿区到龙东格国道约0.5km，经龙东格国道约4.5km到拖布卡高速路收费站，经约30km高速路可到达东川区</w:t>
            </w:r>
            <w:r>
              <w:rPr>
                <w:rFonts w:hint="eastAsia" w:ascii="Times New Roman" w:hAnsi="Times New Roman"/>
                <w:color w:val="auto"/>
                <w:highlight w:val="none"/>
                <w:lang w:eastAsia="zh-CN"/>
              </w:rPr>
              <w:t>，</w:t>
            </w:r>
            <w:r>
              <w:rPr>
                <w:rFonts w:hint="eastAsia" w:ascii="Times New Roman" w:hAnsi="Times New Roman"/>
                <w:color w:val="auto"/>
                <w:highlight w:val="none"/>
              </w:rPr>
              <w:t>交通方便。</w:t>
            </w:r>
          </w:p>
          <w:p w14:paraId="57404FAD">
            <w:pPr>
              <w:ind w:firstLine="520"/>
              <w:rPr>
                <w:rFonts w:hint="eastAsia" w:ascii="Times New Roman" w:hAnsi="Times New Roman" w:eastAsia="宋体"/>
                <w:color w:val="auto"/>
                <w:highlight w:val="none"/>
                <w:lang w:eastAsia="zh-CN"/>
              </w:rPr>
            </w:pPr>
            <w:r>
              <w:rPr>
                <w:rFonts w:hint="eastAsia" w:ascii="宋体" w:hAnsi="宋体" w:eastAsia="宋体" w:cs="宋体"/>
                <w:color w:val="auto"/>
                <w:highlight w:val="none"/>
              </w:rPr>
              <w:t>②</w:t>
            </w:r>
            <w:r>
              <w:rPr>
                <w:rFonts w:hint="eastAsia" w:ascii="Times New Roman" w:hAnsi="Times New Roman"/>
                <w:color w:val="auto"/>
                <w:highlight w:val="none"/>
              </w:rPr>
              <w:t>本项目采区开采深度由+</w:t>
            </w:r>
            <w:r>
              <w:rPr>
                <w:rFonts w:hint="eastAsia" w:ascii="Times New Roman" w:hAnsi="Times New Roman"/>
                <w:color w:val="auto"/>
                <w:highlight w:val="none"/>
                <w:lang w:val="en-US" w:eastAsia="zh-CN"/>
              </w:rPr>
              <w:t>1030</w:t>
            </w:r>
            <w:r>
              <w:rPr>
                <w:rFonts w:hint="eastAsia" w:ascii="Times New Roman" w:hAnsi="Times New Roman"/>
                <w:color w:val="auto"/>
                <w:highlight w:val="none"/>
              </w:rPr>
              <w:t>m ~+</w:t>
            </w:r>
            <w:r>
              <w:rPr>
                <w:rFonts w:hint="eastAsia" w:ascii="Times New Roman" w:hAnsi="Times New Roman"/>
                <w:color w:val="auto"/>
                <w:highlight w:val="none"/>
                <w:lang w:val="en-US" w:eastAsia="zh-CN"/>
              </w:rPr>
              <w:t>1200</w:t>
            </w:r>
            <w:r>
              <w:rPr>
                <w:rFonts w:hint="eastAsia" w:ascii="Times New Roman" w:hAnsi="Times New Roman"/>
                <w:color w:val="auto"/>
                <w:highlight w:val="none"/>
              </w:rPr>
              <w:t>m</w:t>
            </w:r>
            <w:r>
              <w:rPr>
                <w:rFonts w:hint="eastAsia" w:ascii="Times New Roman" w:hAnsi="Times New Roman"/>
                <w:color w:val="auto"/>
                <w:highlight w:val="none"/>
                <w:lang w:eastAsia="zh-CN"/>
              </w:rPr>
              <w:t>，</w:t>
            </w:r>
            <w:r>
              <w:rPr>
                <w:rFonts w:hint="eastAsia" w:ascii="Times New Roman" w:hAnsi="Times New Roman"/>
                <w:color w:val="auto"/>
                <w:highlight w:val="none"/>
              </w:rPr>
              <w:t>矿区面积0.</w:t>
            </w:r>
            <w:r>
              <w:rPr>
                <w:rFonts w:hint="eastAsia" w:ascii="Times New Roman" w:hAnsi="Times New Roman"/>
                <w:color w:val="auto"/>
                <w:highlight w:val="none"/>
                <w:lang w:val="en-US" w:eastAsia="zh-CN"/>
              </w:rPr>
              <w:t>1365</w:t>
            </w:r>
            <w:r>
              <w:rPr>
                <w:rFonts w:hint="eastAsia" w:ascii="Times New Roman" w:hAnsi="Times New Roman"/>
                <w:color w:val="auto"/>
                <w:highlight w:val="none"/>
              </w:rPr>
              <w:t>km</w:t>
            </w:r>
            <w:r>
              <w:rPr>
                <w:rFonts w:hint="eastAsia" w:ascii="Times New Roman" w:hAnsi="Times New Roman"/>
                <w:color w:val="auto"/>
                <w:highlight w:val="none"/>
                <w:vertAlign w:val="superscript"/>
              </w:rPr>
              <w:t>2</w:t>
            </w:r>
            <w:r>
              <w:rPr>
                <w:rFonts w:hint="eastAsia" w:ascii="Times New Roman" w:hAnsi="Times New Roman"/>
                <w:color w:val="auto"/>
                <w:highlight w:val="none"/>
              </w:rPr>
              <w:t>。根据《小型露天采石场安全管理与监督检查规定》(国家安全生产监督管理总局第 39号令)规定，项目矿区周边不存在矿界重叠问题，无矿权争议。本项目矿区的安全防护距离内</w:t>
            </w:r>
            <w:r>
              <w:rPr>
                <w:rFonts w:hint="eastAsia" w:ascii="Times New Roman" w:hAnsi="Times New Roman"/>
                <w:color w:val="auto"/>
                <w:highlight w:val="none"/>
                <w:lang w:val="en-US" w:eastAsia="zh-CN"/>
              </w:rPr>
              <w:t>无</w:t>
            </w:r>
            <w:r>
              <w:rPr>
                <w:rFonts w:hint="eastAsia" w:ascii="Times New Roman" w:hAnsi="Times New Roman"/>
                <w:color w:val="auto"/>
                <w:highlight w:val="none"/>
              </w:rPr>
              <w:t>村民居住</w:t>
            </w:r>
            <w:r>
              <w:rPr>
                <w:rFonts w:hint="eastAsia" w:ascii="Times New Roman" w:hAnsi="Times New Roman"/>
                <w:color w:val="auto"/>
                <w:highlight w:val="none"/>
                <w:lang w:eastAsia="zh-CN"/>
              </w:rPr>
              <w:t>。</w:t>
            </w:r>
          </w:p>
          <w:p w14:paraId="752BF504">
            <w:pPr>
              <w:ind w:firstLine="520"/>
              <w:rPr>
                <w:rFonts w:hint="eastAsia" w:ascii="Times New Roman" w:hAnsi="Times New Roman"/>
                <w:color w:val="auto"/>
                <w:highlight w:val="none"/>
              </w:rPr>
            </w:pPr>
            <w:r>
              <w:rPr>
                <w:rFonts w:hint="eastAsia" w:ascii="Times New Roman" w:hAnsi="Times New Roman"/>
                <w:color w:val="auto"/>
                <w:highlight w:val="none"/>
              </w:rPr>
              <w:t>③矿区距离最近的村民处于矿区主导风向的侧风向。</w:t>
            </w:r>
          </w:p>
          <w:p w14:paraId="560C8820">
            <w:pPr>
              <w:ind w:firstLine="520"/>
              <w:rPr>
                <w:rFonts w:hint="eastAsia" w:ascii="Times New Roman" w:hAnsi="Times New Roman"/>
                <w:color w:val="auto"/>
                <w:highlight w:val="none"/>
                <w:lang w:val="en-US" w:eastAsia="zh-CN"/>
              </w:rPr>
            </w:pPr>
            <w:r>
              <w:rPr>
                <w:rFonts w:hint="eastAsia" w:ascii="宋体" w:hAnsi="宋体" w:eastAsia="宋体" w:cs="宋体"/>
                <w:color w:val="auto"/>
                <w:highlight w:val="none"/>
                <w:lang w:val="en-US" w:eastAsia="zh-CN"/>
              </w:rPr>
              <w:t>④</w:t>
            </w:r>
            <w:r>
              <w:rPr>
                <w:rFonts w:hint="eastAsia" w:ascii="Times New Roman" w:hAnsi="Times New Roman"/>
                <w:color w:val="auto"/>
                <w:highlight w:val="none"/>
                <w:lang w:val="en-US" w:eastAsia="zh-CN"/>
              </w:rPr>
              <w:t>本工程不在自然保护区、饮用水源保护区、文物保护单位、地质公园、基本农田保护区、生态空间保护红线内，不属于地质灾害危险区，项目建设和运营对周边环境影响在环境可承受范围内。</w:t>
            </w:r>
          </w:p>
          <w:p w14:paraId="12D95209">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(2)工业场地选址合理性</w:t>
            </w:r>
          </w:p>
          <w:p w14:paraId="1174ABD1">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工业场地选址位于空矿区</w:t>
            </w:r>
            <w:r>
              <w:rPr>
                <w:rFonts w:hint="eastAsia" w:ascii="Times New Roman" w:hAnsi="Times New Roman"/>
                <w:color w:val="auto"/>
                <w:sz w:val="26"/>
                <w:szCs w:val="26"/>
                <w:highlight w:val="none"/>
                <w:vertAlign w:val="baseline"/>
                <w:lang w:val="en-US" w:eastAsia="zh-CN"/>
              </w:rPr>
              <w:t>北侧</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lang w:val="en-US" w:eastAsia="zh-CN"/>
              </w:rPr>
              <w:t>东北侧</w:t>
            </w:r>
            <w:r>
              <w:rPr>
                <w:rFonts w:hint="eastAsia" w:ascii="Times New Roman" w:hAnsi="Times New Roman"/>
                <w:color w:val="auto"/>
                <w:sz w:val="26"/>
                <w:szCs w:val="26"/>
                <w:highlight w:val="none"/>
                <w:vertAlign w:val="baseline"/>
              </w:rPr>
              <w:t>，工业场地</w:t>
            </w:r>
            <w:r>
              <w:rPr>
                <w:rFonts w:hint="eastAsia" w:ascii="Times New Roman" w:hAnsi="Times New Roman"/>
                <w:color w:val="auto"/>
                <w:sz w:val="26"/>
                <w:szCs w:val="26"/>
                <w:highlight w:val="none"/>
                <w:vertAlign w:val="baseline"/>
                <w:lang w:val="en-US" w:eastAsia="zh-CN"/>
              </w:rPr>
              <w:t>新建内部</w:t>
            </w:r>
            <w:r>
              <w:rPr>
                <w:rFonts w:hint="eastAsia" w:ascii="Times New Roman" w:hAnsi="Times New Roman"/>
                <w:color w:val="auto"/>
                <w:sz w:val="26"/>
                <w:szCs w:val="26"/>
                <w:highlight w:val="none"/>
                <w:vertAlign w:val="baseline"/>
              </w:rPr>
              <w:t>道路</w:t>
            </w:r>
            <w:r>
              <w:rPr>
                <w:rFonts w:hint="eastAsia" w:ascii="Times New Roman" w:hAnsi="Times New Roman"/>
                <w:color w:val="auto"/>
                <w:sz w:val="26"/>
                <w:szCs w:val="26"/>
                <w:highlight w:val="none"/>
                <w:vertAlign w:val="baseline"/>
                <w:lang w:val="en-US" w:eastAsia="zh-CN"/>
              </w:rPr>
              <w:t>与</w:t>
            </w:r>
            <w:r>
              <w:rPr>
                <w:rFonts w:hint="eastAsia" w:ascii="Times New Roman" w:hAnsi="Times New Roman" w:eastAsia="宋体"/>
                <w:color w:val="auto"/>
                <w:sz w:val="26"/>
                <w:szCs w:val="26"/>
                <w:highlight w:val="none"/>
                <w:vertAlign w:val="baseline"/>
              </w:rPr>
              <w:t>龙东格国道</w:t>
            </w:r>
            <w:r>
              <w:rPr>
                <w:rFonts w:hint="eastAsia" w:ascii="Times New Roman" w:hAnsi="Times New Roman" w:eastAsia="宋体"/>
                <w:color w:val="auto"/>
                <w:sz w:val="26"/>
                <w:szCs w:val="26"/>
                <w:highlight w:val="none"/>
                <w:vertAlign w:val="baseline"/>
                <w:lang w:val="en-US" w:eastAsia="zh-CN"/>
              </w:rPr>
              <w:t>相连接</w:t>
            </w:r>
            <w:r>
              <w:rPr>
                <w:rFonts w:hint="eastAsia" w:ascii="Times New Roman" w:hAnsi="Times New Roman" w:eastAsia="宋体"/>
                <w:color w:val="auto"/>
                <w:sz w:val="26"/>
                <w:szCs w:val="26"/>
                <w:highlight w:val="none"/>
                <w:vertAlign w:val="baseline"/>
              </w:rPr>
              <w:t>，交通比较便捷，便于产品外运。同时工业场地地面进行硬化</w:t>
            </w:r>
            <w:r>
              <w:rPr>
                <w:rFonts w:hint="eastAsia" w:ascii="Times New Roman" w:hAnsi="Times New Roman"/>
                <w:color w:val="auto"/>
                <w:sz w:val="26"/>
                <w:szCs w:val="26"/>
                <w:highlight w:val="none"/>
                <w:vertAlign w:val="baseline"/>
              </w:rPr>
              <w:t>防渗处理，防止场区雨水冲刷废水渗漏对地下水、周边土壤及水体造成污染。</w:t>
            </w:r>
            <w:r>
              <w:rPr>
                <w:rFonts w:hint="eastAsia" w:ascii="Times New Roman" w:hAnsi="Times New Roman"/>
                <w:color w:val="auto"/>
                <w:sz w:val="26"/>
                <w:szCs w:val="26"/>
                <w:highlight w:val="none"/>
                <w:vertAlign w:val="baseline"/>
                <w:lang w:val="en-US" w:eastAsia="zh-CN"/>
              </w:rPr>
              <w:t>本项目主导风向为西南风，</w:t>
            </w:r>
            <w:r>
              <w:rPr>
                <w:rFonts w:hint="eastAsia" w:ascii="Times New Roman" w:hAnsi="Times New Roman"/>
                <w:color w:val="auto"/>
                <w:sz w:val="26"/>
                <w:szCs w:val="26"/>
                <w:highlight w:val="none"/>
                <w:vertAlign w:val="baseline"/>
              </w:rPr>
              <w:t>办公区位于工业场地</w:t>
            </w:r>
            <w:r>
              <w:rPr>
                <w:rFonts w:hint="eastAsia" w:ascii="Times New Roman" w:hAnsi="Times New Roman"/>
                <w:color w:val="auto"/>
                <w:sz w:val="26"/>
                <w:szCs w:val="26"/>
                <w:highlight w:val="none"/>
                <w:vertAlign w:val="baseline"/>
                <w:lang w:val="en-US" w:eastAsia="zh-CN"/>
              </w:rPr>
              <w:t>东侧</w:t>
            </w:r>
            <w:r>
              <w:rPr>
                <w:rFonts w:hint="eastAsia" w:ascii="Times New Roman" w:hAnsi="Times New Roman"/>
                <w:color w:val="auto"/>
                <w:sz w:val="26"/>
                <w:szCs w:val="26"/>
                <w:highlight w:val="none"/>
                <w:vertAlign w:val="baseline"/>
              </w:rPr>
              <w:t>，处于主导风向的侧风向，且项目用水、用电等基础设施完善，供水供电等均有保障，工业场地采用全封闭式作业，减少无组织扩散</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产生的粉尘里用布袋除尘设备的方式处理后对周边环境的影响较小。</w:t>
            </w:r>
          </w:p>
          <w:p w14:paraId="5AC2B7D8">
            <w:pPr>
              <w:ind w:firstLine="520"/>
              <w:rPr>
                <w:rFonts w:hint="eastAsia" w:ascii="Times New Roman" w:hAnsi="Times New Roman"/>
                <w:color w:val="auto"/>
                <w:sz w:val="26"/>
                <w:szCs w:val="26"/>
                <w:highlight w:val="none"/>
                <w:vertAlign w:val="baseline"/>
              </w:rPr>
            </w:pPr>
            <w:r>
              <w:rPr>
                <w:rFonts w:hint="eastAsia" w:ascii="Times New Roman" w:hAnsi="Times New Roman"/>
                <w:color w:val="auto"/>
                <w:highlight w:val="none"/>
                <w:lang w:val="en-US" w:eastAsia="zh-CN"/>
              </w:rPr>
              <w:t>综上，本项目选址合理。</w:t>
            </w:r>
          </w:p>
          <w:p w14:paraId="270B0E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bCs/>
                <w:color w:val="auto"/>
                <w:sz w:val="26"/>
                <w:szCs w:val="26"/>
                <w:highlight w:val="none"/>
                <w:lang w:val="en-US" w:eastAsia="zh-CN"/>
              </w:rPr>
            </w:pPr>
            <w:r>
              <w:rPr>
                <w:rFonts w:hint="eastAsia" w:ascii="Times New Roman" w:hAnsi="Times New Roman" w:eastAsia="宋体"/>
                <w:b/>
                <w:bCs/>
                <w:color w:val="auto"/>
                <w:sz w:val="26"/>
                <w:szCs w:val="26"/>
                <w:highlight w:val="none"/>
                <w:lang w:val="en-US" w:eastAsia="zh-CN"/>
              </w:rPr>
              <w:t>5、项目选址合理性分析（“三线一单”符合性分析）</w:t>
            </w:r>
          </w:p>
          <w:p w14:paraId="54A1E0BD">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本项目与生态保护红线、环境质量底线、资源利用上线和环境准入负面清单进行对照。</w:t>
            </w:r>
          </w:p>
          <w:p w14:paraId="18E377E5">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(1)项目不涉及自然保护区、饮用水源保护区、世界自然和文化遗产、风景名胜区等需要特殊保护的区域，不涉及生态保护红线。</w:t>
            </w:r>
          </w:p>
          <w:p w14:paraId="2D540A35">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(2)项目所在区域环境空气质量现状达标，项目产生的废气主要是</w:t>
            </w:r>
            <w:r>
              <w:rPr>
                <w:rFonts w:hint="eastAsia" w:ascii="Times New Roman" w:hAnsi="Times New Roman"/>
                <w:color w:val="auto"/>
                <w:sz w:val="26"/>
                <w:szCs w:val="26"/>
                <w:highlight w:val="none"/>
                <w:lang w:val="en-US" w:eastAsia="zh-CN"/>
              </w:rPr>
              <w:t>粉尘</w:t>
            </w:r>
            <w:r>
              <w:rPr>
                <w:rFonts w:hint="eastAsia" w:ascii="Times New Roman" w:hAnsi="Times New Roman"/>
                <w:color w:val="auto"/>
                <w:sz w:val="26"/>
                <w:szCs w:val="26"/>
                <w:highlight w:val="none"/>
              </w:rPr>
              <w:t>，经</w:t>
            </w:r>
            <w:r>
              <w:rPr>
                <w:rFonts w:hint="eastAsia" w:ascii="Times New Roman" w:hAnsi="Times New Roman"/>
                <w:color w:val="auto"/>
                <w:sz w:val="26"/>
                <w:szCs w:val="26"/>
                <w:highlight w:val="none"/>
                <w:lang w:val="en-US" w:eastAsia="zh-CN"/>
              </w:rPr>
              <w:t>无组织扩散稀释及</w:t>
            </w:r>
            <w:r>
              <w:rPr>
                <w:rFonts w:hint="eastAsia" w:ascii="Times New Roman" w:hAnsi="Times New Roman"/>
                <w:color w:val="auto"/>
                <w:sz w:val="26"/>
                <w:szCs w:val="26"/>
                <w:highlight w:val="none"/>
              </w:rPr>
              <w:t>采取布袋收尘设施后排空，经分析预测，可以实现达标排放，不会降低区域环境空气功能；</w:t>
            </w:r>
          </w:p>
          <w:p w14:paraId="6F8C946B">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项目所在区域声环境现状达标，项目噪声可以实现场界达标，不降低区域声环境功能；</w:t>
            </w:r>
          </w:p>
          <w:p w14:paraId="04ABB326">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项目所在区域地表水距离较远，项目产生的冷却水不外排，不降低地表水环境功能；</w:t>
            </w:r>
          </w:p>
          <w:p w14:paraId="195B588A">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项目产生的废机油，集中暂存后交由有资质的单位清运处置，符合相关法律法规、标准的要求，对环境影响不大。</w:t>
            </w:r>
          </w:p>
          <w:p w14:paraId="715135C2">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综上，项目未触及环境质量底线。</w:t>
            </w:r>
          </w:p>
          <w:p w14:paraId="5CC217D1">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(3)项目的建设土地为建设单位厂区内现有闲置土地，未占用基本农田，未影响区域资源利用上线。</w:t>
            </w:r>
          </w:p>
          <w:p w14:paraId="4C0F740E">
            <w:pPr>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(4)项目不在当地环境准入负面清单范围。</w:t>
            </w:r>
          </w:p>
          <w:p w14:paraId="3437DB2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rPr>
              <w:t>综上所述，本工程从环保角度分析，选址合理。</w:t>
            </w:r>
          </w:p>
          <w:p w14:paraId="1AB320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bCs/>
                <w:color w:val="auto"/>
                <w:sz w:val="26"/>
                <w:szCs w:val="26"/>
                <w:highlight w:val="none"/>
                <w:lang w:val="en-US" w:eastAsia="zh-CN"/>
              </w:rPr>
            </w:pPr>
            <w:r>
              <w:rPr>
                <w:rFonts w:hint="eastAsia" w:ascii="Times New Roman" w:hAnsi="Times New Roman" w:eastAsia="宋体"/>
                <w:b/>
                <w:bCs/>
                <w:color w:val="auto"/>
                <w:sz w:val="26"/>
                <w:szCs w:val="26"/>
                <w:highlight w:val="none"/>
                <w:lang w:val="en-US" w:eastAsia="zh-CN"/>
              </w:rPr>
              <w:t>6、与环发[2005]109号相符性分析</w:t>
            </w:r>
          </w:p>
          <w:p w14:paraId="0DFE08C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根据《矿山生态环境保护与污染防治技术政策》(环发[20051]109号)的规定要求，本项目矿山开发与其符合性分析情况见</w:t>
            </w:r>
            <w:r>
              <w:rPr>
                <w:rFonts w:hint="eastAsia" w:ascii="Times New Roman" w:hAnsi="Times New Roman"/>
                <w:color w:val="auto"/>
                <w:sz w:val="26"/>
                <w:szCs w:val="26"/>
                <w:highlight w:val="none"/>
                <w:vertAlign w:val="baseline"/>
                <w:lang w:val="en-US" w:eastAsia="zh-CN"/>
              </w:rPr>
              <w:t>下</w:t>
            </w:r>
            <w:r>
              <w:rPr>
                <w:rFonts w:hint="eastAsia" w:ascii="Times New Roman" w:hAnsi="Times New Roman"/>
                <w:color w:val="auto"/>
                <w:sz w:val="26"/>
                <w:szCs w:val="26"/>
                <w:highlight w:val="none"/>
                <w:vertAlign w:val="baseline"/>
              </w:rPr>
              <w:t>表。</w:t>
            </w:r>
          </w:p>
          <w:p w14:paraId="1AFF49B8">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color w:val="auto"/>
                <w:sz w:val="26"/>
                <w:szCs w:val="26"/>
                <w:highlight w:val="none"/>
                <w:vertAlign w:val="baseline"/>
              </w:rPr>
            </w:pPr>
            <w:r>
              <w:rPr>
                <w:rFonts w:hint="eastAsia" w:ascii="Times New Roman" w:hAnsi="Times New Roman"/>
                <w:b/>
                <w:bCs/>
                <w:color w:val="auto"/>
                <w:sz w:val="21"/>
                <w:szCs w:val="21"/>
                <w:highlight w:val="none"/>
                <w:vertAlign w:val="baseline"/>
              </w:rPr>
              <w:t>表</w:t>
            </w:r>
            <w:r>
              <w:rPr>
                <w:rFonts w:hint="eastAsia" w:ascii="Times New Roman" w:hAnsi="Times New Roman"/>
                <w:b/>
                <w:bCs/>
                <w:color w:val="auto"/>
                <w:sz w:val="21"/>
                <w:szCs w:val="21"/>
                <w:highlight w:val="none"/>
                <w:vertAlign w:val="baseline"/>
                <w:lang w:val="en-US" w:eastAsia="zh-CN"/>
              </w:rPr>
              <w:t xml:space="preserve">7-13 </w:t>
            </w:r>
            <w:r>
              <w:rPr>
                <w:rFonts w:hint="eastAsia" w:ascii="Times New Roman" w:hAnsi="Times New Roman"/>
                <w:b/>
                <w:bCs/>
                <w:color w:val="auto"/>
                <w:sz w:val="21"/>
                <w:szCs w:val="21"/>
                <w:highlight w:val="none"/>
                <w:vertAlign w:val="baseline"/>
              </w:rPr>
              <w:t>项目与环发[2005]109号相符性分析</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 w:type="dxa"/>
                <w:bottom w:w="0" w:type="dxa"/>
                <w:right w:w="10" w:type="dxa"/>
              </w:tblCellMar>
            </w:tblPr>
            <w:tblGrid>
              <w:gridCol w:w="937"/>
              <w:gridCol w:w="4786"/>
              <w:gridCol w:w="2220"/>
              <w:gridCol w:w="353"/>
            </w:tblGrid>
            <w:tr w14:paraId="4BA7A1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5723" w:type="dxa"/>
                  <w:gridSpan w:val="2"/>
                  <w:shd w:val="clear" w:color="auto" w:fill="FFFFFF"/>
                  <w:vAlign w:val="center"/>
                </w:tcPr>
                <w:p w14:paraId="1173D89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《矿山生态环境保护与污染防治技术政策》的相关要点</w:t>
                  </w:r>
                </w:p>
              </w:tc>
              <w:tc>
                <w:tcPr>
                  <w:tcW w:w="2220" w:type="dxa"/>
                  <w:tcBorders>
                    <w:left w:val="single" w:color="auto" w:sz="4" w:space="0"/>
                  </w:tcBorders>
                  <w:shd w:val="clear" w:color="auto" w:fill="FFFFFF"/>
                  <w:vAlign w:val="center"/>
                </w:tcPr>
                <w:p w14:paraId="437789B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本项目设计要点</w:t>
                  </w:r>
                </w:p>
              </w:tc>
              <w:tc>
                <w:tcPr>
                  <w:tcW w:w="353" w:type="dxa"/>
                  <w:tcBorders>
                    <w:left w:val="single" w:color="auto" w:sz="4" w:space="0"/>
                  </w:tcBorders>
                  <w:shd w:val="clear" w:color="auto" w:fill="FFFFFF"/>
                  <w:vAlign w:val="center"/>
                </w:tcPr>
                <w:p w14:paraId="1C8A6E57">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 性</w:t>
                  </w:r>
                </w:p>
              </w:tc>
            </w:tr>
            <w:tr w14:paraId="2B666E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restart"/>
                  <w:tcBorders>
                    <w:top w:val="single" w:color="auto" w:sz="4" w:space="0"/>
                  </w:tcBorders>
                  <w:shd w:val="clear" w:color="auto" w:fill="FFFFFF"/>
                  <w:vAlign w:val="center"/>
                </w:tcPr>
                <w:p w14:paraId="289EB803">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选址规 定</w:t>
                  </w:r>
                </w:p>
              </w:tc>
              <w:tc>
                <w:tcPr>
                  <w:tcW w:w="4786" w:type="dxa"/>
                  <w:tcBorders>
                    <w:top w:val="single" w:color="auto" w:sz="4" w:space="0"/>
                    <w:left w:val="single" w:color="auto" w:sz="4" w:space="0"/>
                  </w:tcBorders>
                  <w:shd w:val="clear" w:color="auto" w:fill="FFFFFF"/>
                  <w:vAlign w:val="center"/>
                </w:tcPr>
                <w:p w14:paraId="0EF6F33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禁止在依法划定的自然保护区（核心区、依冲区）、 风景名胜区、森林公园、饮用水水源保护区、</w:t>
                  </w:r>
                  <w:r>
                    <w:rPr>
                      <w:rFonts w:hint="eastAsia" w:ascii="Times New Roman" w:hAnsi="Times New Roman" w:cs="Times New Roman"/>
                      <w:color w:val="auto"/>
                      <w:spacing w:val="0"/>
                      <w:w w:val="100"/>
                      <w:position w:val="0"/>
                      <w:sz w:val="22"/>
                      <w:szCs w:val="22"/>
                      <w:highlight w:val="none"/>
                      <w:lang w:val="en-US" w:eastAsia="zh-CN"/>
                    </w:rPr>
                    <w:t>重</w:t>
                  </w:r>
                  <w:r>
                    <w:rPr>
                      <w:rFonts w:ascii="Times New Roman" w:hAnsi="Times New Roman" w:eastAsia="宋体" w:cs="Times New Roman"/>
                      <w:color w:val="auto"/>
                      <w:spacing w:val="0"/>
                      <w:w w:val="100"/>
                      <w:position w:val="0"/>
                      <w:sz w:val="22"/>
                      <w:szCs w:val="22"/>
                      <w:highlight w:val="none"/>
                    </w:rPr>
                    <w:t>要湖泊周边、文物古迹所在地、地质遗迹保护区、基木农田保护区等区域内采矿</w:t>
                  </w:r>
                </w:p>
              </w:tc>
              <w:tc>
                <w:tcPr>
                  <w:tcW w:w="2220" w:type="dxa"/>
                  <w:tcBorders>
                    <w:top w:val="single" w:color="auto" w:sz="4" w:space="0"/>
                    <w:left w:val="single" w:color="auto" w:sz="4" w:space="0"/>
                  </w:tcBorders>
                  <w:shd w:val="clear" w:color="auto" w:fill="FFFFFF"/>
                  <w:vAlign w:val="center"/>
                </w:tcPr>
                <w:p w14:paraId="022DB0A5">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项目区没有规定禁止</w:t>
                  </w:r>
                  <w:bookmarkStart w:id="57" w:name="_GoBack"/>
                  <w:bookmarkEnd w:id="57"/>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矿的八类敏</w:t>
                  </w:r>
                  <w:r>
                    <w:rPr>
                      <w:rFonts w:hint="eastAsia" w:ascii="Times New Roman" w:hAnsi="Times New Roman" w:cs="Times New Roman"/>
                      <w:color w:val="auto"/>
                      <w:spacing w:val="0"/>
                      <w:w w:val="100"/>
                      <w:position w:val="0"/>
                      <w:sz w:val="22"/>
                      <w:szCs w:val="22"/>
                      <w:highlight w:val="none"/>
                      <w:lang w:val="en-US" w:eastAsia="zh-CN"/>
                    </w:rPr>
                    <w:t>感</w:t>
                  </w:r>
                  <w:r>
                    <w:rPr>
                      <w:rFonts w:ascii="Times New Roman" w:hAnsi="Times New Roman" w:eastAsia="宋体" w:cs="Times New Roman"/>
                      <w:color w:val="auto"/>
                      <w:spacing w:val="0"/>
                      <w:w w:val="100"/>
                      <w:position w:val="0"/>
                      <w:sz w:val="22"/>
                      <w:szCs w:val="22"/>
                      <w:highlight w:val="none"/>
                    </w:rPr>
                    <w:t>区</w:t>
                  </w:r>
                </w:p>
              </w:tc>
              <w:tc>
                <w:tcPr>
                  <w:tcW w:w="353" w:type="dxa"/>
                  <w:tcBorders>
                    <w:top w:val="single" w:color="auto" w:sz="4" w:space="0"/>
                    <w:left w:val="single" w:color="auto" w:sz="4" w:space="0"/>
                  </w:tcBorders>
                  <w:shd w:val="clear" w:color="auto" w:fill="FFFFFF"/>
                  <w:vAlign w:val="center"/>
                </w:tcPr>
                <w:p w14:paraId="3FBDF89C">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7F091F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5C837D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565472B8">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sz w:val="22"/>
                      <w:szCs w:val="22"/>
                      <w:highlight w:val="none"/>
                      <w:lang w:eastAsia="zh-CN"/>
                    </w:rPr>
                  </w:pPr>
                  <w:r>
                    <w:rPr>
                      <w:rFonts w:ascii="Times New Roman" w:hAnsi="Times New Roman" w:eastAsia="宋体" w:cs="Times New Roman"/>
                      <w:color w:val="auto"/>
                      <w:spacing w:val="0"/>
                      <w:w w:val="100"/>
                      <w:position w:val="0"/>
                      <w:sz w:val="22"/>
                      <w:szCs w:val="22"/>
                      <w:highlight w:val="none"/>
                    </w:rPr>
                    <w:t>禁止在铁路、国引、省道两侧的直观可视</w:t>
                  </w:r>
                  <w:r>
                    <w:rPr>
                      <w:rFonts w:ascii="Times New Roman" w:hAnsi="Times New Roman" w:eastAsia="宋体" w:cs="Times New Roman"/>
                      <w:color w:val="auto"/>
                      <w:spacing w:val="0"/>
                      <w:w w:val="100"/>
                      <w:position w:val="0"/>
                      <w:sz w:val="22"/>
                      <w:szCs w:val="22"/>
                      <w:highlight w:val="none"/>
                      <w:lang w:val="zh-CN" w:eastAsia="zh-CN" w:bidi="zh-CN"/>
                    </w:rPr>
                    <w:t>范</w:t>
                  </w:r>
                  <w:r>
                    <w:rPr>
                      <w:rFonts w:hint="eastAsia" w:ascii="Times New Roman" w:hAnsi="Times New Roman" w:cs="Times New Roman"/>
                      <w:color w:val="auto"/>
                      <w:spacing w:val="0"/>
                      <w:w w:val="100"/>
                      <w:position w:val="0"/>
                      <w:sz w:val="22"/>
                      <w:szCs w:val="22"/>
                      <w:highlight w:val="none"/>
                      <w:lang w:val="en-US" w:eastAsia="zh-CN" w:bidi="zh-CN"/>
                    </w:rPr>
                    <w:t>范</w:t>
                  </w:r>
                  <w:r>
                    <w:rPr>
                      <w:rFonts w:ascii="Times New Roman" w:hAnsi="Times New Roman" w:eastAsia="宋体" w:cs="Times New Roman"/>
                      <w:color w:val="auto"/>
                      <w:spacing w:val="0"/>
                      <w:w w:val="100"/>
                      <w:position w:val="0"/>
                      <w:sz w:val="22"/>
                      <w:szCs w:val="22"/>
                      <w:highlight w:val="none"/>
                    </w:rPr>
                    <w:t>内进行露天开</w:t>
                  </w:r>
                  <w:r>
                    <w:rPr>
                      <w:rFonts w:hint="eastAsia" w:ascii="Times New Roman" w:hAnsi="Times New Roman" w:cs="Times New Roman"/>
                      <w:color w:val="auto"/>
                      <w:spacing w:val="0"/>
                      <w:w w:val="100"/>
                      <w:position w:val="0"/>
                      <w:sz w:val="22"/>
                      <w:szCs w:val="22"/>
                      <w:highlight w:val="none"/>
                      <w:lang w:eastAsia="zh-CN"/>
                    </w:rPr>
                    <w:t>采</w:t>
                  </w:r>
                </w:p>
              </w:tc>
              <w:tc>
                <w:tcPr>
                  <w:tcW w:w="2220" w:type="dxa"/>
                  <w:tcBorders>
                    <w:top w:val="single" w:color="auto" w:sz="4" w:space="0"/>
                    <w:left w:val="single" w:color="auto" w:sz="4" w:space="0"/>
                  </w:tcBorders>
                  <w:shd w:val="clear" w:color="auto" w:fill="FFFFFF"/>
                  <w:vAlign w:val="center"/>
                </w:tcPr>
                <w:p w14:paraId="49D21D19">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pacing w:val="0"/>
                      <w:w w:val="100"/>
                      <w:position w:val="0"/>
                      <w:sz w:val="22"/>
                      <w:szCs w:val="22"/>
                      <w:highlight w:val="none"/>
                    </w:rPr>
                    <w:t>项目周边无铁路、国道等重要交通干线和重要旅游线路</w:t>
                  </w:r>
                  <w:r>
                    <w:rPr>
                      <w:rFonts w:hint="eastAsia" w:ascii="Times New Roman" w:hAnsi="Times New Roman" w:cs="Times New Roman"/>
                      <w:color w:val="auto"/>
                      <w:spacing w:val="0"/>
                      <w:w w:val="100"/>
                      <w:position w:val="0"/>
                      <w:sz w:val="22"/>
                      <w:szCs w:val="22"/>
                      <w:highlight w:val="none"/>
                      <w:lang w:val="en-US" w:eastAsia="zh-CN"/>
                    </w:rPr>
                    <w:t>在</w:t>
                  </w:r>
                  <w:r>
                    <w:rPr>
                      <w:rFonts w:hint="eastAsia" w:ascii="Times New Roman" w:hAnsi="Times New Roman" w:eastAsia="宋体" w:cs="Times New Roman"/>
                      <w:color w:val="auto"/>
                      <w:spacing w:val="0"/>
                      <w:w w:val="100"/>
                      <w:position w:val="0"/>
                      <w:sz w:val="22"/>
                      <w:szCs w:val="22"/>
                      <w:highlight w:val="none"/>
                    </w:rPr>
                    <w:t>两侧可视范围内，东侧高速公路</w:t>
                  </w:r>
                  <w:r>
                    <w:rPr>
                      <w:rFonts w:hint="eastAsia" w:ascii="Times New Roman" w:hAnsi="Times New Roman" w:cs="Times New Roman"/>
                      <w:color w:val="auto"/>
                      <w:spacing w:val="0"/>
                      <w:w w:val="100"/>
                      <w:position w:val="0"/>
                      <w:sz w:val="22"/>
                      <w:szCs w:val="22"/>
                      <w:highlight w:val="none"/>
                      <w:lang w:eastAsia="zh-CN"/>
                    </w:rPr>
                    <w:t>、</w:t>
                  </w:r>
                  <w:r>
                    <w:rPr>
                      <w:rFonts w:hint="eastAsia" w:ascii="Times New Roman" w:hAnsi="Times New Roman" w:eastAsia="宋体" w:cs="Times New Roman"/>
                      <w:color w:val="auto"/>
                      <w:spacing w:val="0"/>
                      <w:w w:val="100"/>
                      <w:position w:val="0"/>
                      <w:sz w:val="22"/>
                      <w:szCs w:val="22"/>
                      <w:highlight w:val="none"/>
                    </w:rPr>
                    <w:t>龙东格国道位于可视范围内。但本项目所属矿权首次设立于2003年，在（云政发〔2015〕38号）前取得探矿权。</w:t>
                  </w:r>
                </w:p>
              </w:tc>
              <w:tc>
                <w:tcPr>
                  <w:tcW w:w="353" w:type="dxa"/>
                  <w:tcBorders>
                    <w:top w:val="single" w:color="auto" w:sz="4" w:space="0"/>
                    <w:left w:val="single" w:color="auto" w:sz="4" w:space="0"/>
                  </w:tcBorders>
                  <w:shd w:val="clear" w:color="auto" w:fill="FFFFFF"/>
                  <w:vAlign w:val="center"/>
                </w:tcPr>
                <w:p w14:paraId="132DF91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5080C4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3F4832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0CE63E8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禁止在地质灾害危险区开</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矿产资源</w:t>
                  </w:r>
                </w:p>
              </w:tc>
              <w:tc>
                <w:tcPr>
                  <w:tcW w:w="2220" w:type="dxa"/>
                  <w:tcBorders>
                    <w:top w:val="single" w:color="auto" w:sz="4" w:space="0"/>
                    <w:left w:val="single" w:color="auto" w:sz="4" w:space="0"/>
                  </w:tcBorders>
                  <w:shd w:val="clear" w:color="auto" w:fill="FFFFFF"/>
                  <w:vAlign w:val="center"/>
                </w:tcPr>
                <w:p w14:paraId="0EE97306">
                  <w:pPr>
                    <w:pStyle w:val="49"/>
                    <w:keepNext w:val="0"/>
                    <w:keepLines w:val="0"/>
                    <w:pageBreakBefore w:val="0"/>
                    <w:widowControl w:val="0"/>
                    <w:shd w:val="clear" w:color="auto" w:fill="auto"/>
                    <w:kinsoku/>
                    <w:wordWrap/>
                    <w:overflowPunct/>
                    <w:topLinePunct w:val="0"/>
                    <w:autoSpaceDE/>
                    <w:autoSpaceDN/>
                    <w:bidi w:val="0"/>
                    <w:adjustRightInd/>
                    <w:snapToGrid/>
                    <w:spacing w:before="0" w:after="4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不属于地质灾害危险区</w:t>
                  </w:r>
                </w:p>
              </w:tc>
              <w:tc>
                <w:tcPr>
                  <w:tcW w:w="353" w:type="dxa"/>
                  <w:tcBorders>
                    <w:top w:val="single" w:color="auto" w:sz="4" w:space="0"/>
                    <w:left w:val="single" w:color="auto" w:sz="4" w:space="0"/>
                  </w:tcBorders>
                  <w:shd w:val="clear" w:color="auto" w:fill="FFFFFF"/>
                  <w:vAlign w:val="center"/>
                </w:tcPr>
                <w:p w14:paraId="6A38C656">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00340B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1D5DC9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5EC1B29E">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禁止新建对生态环境产生不可恢复利用的、产生</w:t>
                  </w:r>
                </w:p>
                <w:p w14:paraId="2FF44988">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ascii="Times New Roman" w:hAnsi="Times New Roman" w:eastAsia="宋体" w:cs="Times New Roman"/>
                      <w:color w:val="auto"/>
                      <w:spacing w:val="0"/>
                      <w:w w:val="100"/>
                      <w:position w:val="0"/>
                      <w:sz w:val="22"/>
                      <w:szCs w:val="22"/>
                      <w:highlight w:val="none"/>
                    </w:rPr>
                    <w:t>破坏性影响的矿产资源升发项</w:t>
                  </w:r>
                  <w:r>
                    <w:rPr>
                      <w:rFonts w:hint="eastAsia" w:ascii="Times New Roman" w:hAnsi="Times New Roman" w:cs="Times New Roman"/>
                      <w:color w:val="auto"/>
                      <w:spacing w:val="0"/>
                      <w:w w:val="100"/>
                      <w:position w:val="0"/>
                      <w:sz w:val="22"/>
                      <w:szCs w:val="22"/>
                      <w:highlight w:val="none"/>
                      <w:lang w:val="en-US" w:eastAsia="zh-CN"/>
                    </w:rPr>
                    <w:t>目</w:t>
                  </w:r>
                </w:p>
              </w:tc>
              <w:tc>
                <w:tcPr>
                  <w:tcW w:w="2220" w:type="dxa"/>
                  <w:tcBorders>
                    <w:top w:val="single" w:color="auto" w:sz="4" w:space="0"/>
                    <w:left w:val="single" w:color="auto" w:sz="4" w:space="0"/>
                  </w:tcBorders>
                  <w:shd w:val="clear" w:color="auto" w:fill="FFFFFF"/>
                  <w:vAlign w:val="center"/>
                </w:tcPr>
                <w:p w14:paraId="214D9C80">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矿山露天开</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后全部</w:t>
                  </w:r>
                  <w:r>
                    <w:rPr>
                      <w:rFonts w:hint="eastAsia" w:ascii="Times New Roman" w:hAnsi="Times New Roman" w:cs="Times New Roman"/>
                      <w:color w:val="auto"/>
                      <w:spacing w:val="0"/>
                      <w:w w:val="100"/>
                      <w:position w:val="0"/>
                      <w:sz w:val="22"/>
                      <w:szCs w:val="22"/>
                      <w:highlight w:val="none"/>
                      <w:lang w:val="en-US" w:eastAsia="zh-CN"/>
                    </w:rPr>
                    <w:t>复垦，</w:t>
                  </w:r>
                  <w:r>
                    <w:rPr>
                      <w:rFonts w:ascii="Times New Roman" w:hAnsi="Times New Roman" w:eastAsia="宋体" w:cs="Times New Roman"/>
                      <w:color w:val="auto"/>
                      <w:spacing w:val="0"/>
                      <w:w w:val="100"/>
                      <w:position w:val="0"/>
                      <w:sz w:val="22"/>
                      <w:szCs w:val="22"/>
                      <w:highlight w:val="none"/>
                    </w:rPr>
                    <w:t>生态影响较小</w:t>
                  </w:r>
                </w:p>
              </w:tc>
              <w:tc>
                <w:tcPr>
                  <w:tcW w:w="353" w:type="dxa"/>
                  <w:tcBorders>
                    <w:top w:val="single" w:color="auto" w:sz="4" w:space="0"/>
                    <w:left w:val="single" w:color="auto" w:sz="4" w:space="0"/>
                  </w:tcBorders>
                  <w:shd w:val="clear" w:color="auto" w:fill="FFFFFF"/>
                  <w:vAlign w:val="center"/>
                </w:tcPr>
                <w:p w14:paraId="2C82C591">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720C73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1B71D0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13646C0E">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矿产资源开发应符合国家</w:t>
                  </w:r>
                  <w:r>
                    <w:rPr>
                      <w:rFonts w:hint="eastAsia" w:ascii="Times New Roman" w:hAnsi="Times New Roman" w:cs="Times New Roman"/>
                      <w:color w:val="auto"/>
                      <w:spacing w:val="0"/>
                      <w:w w:val="100"/>
                      <w:position w:val="0"/>
                      <w:sz w:val="22"/>
                      <w:szCs w:val="22"/>
                      <w:highlight w:val="none"/>
                      <w:lang w:val="en-US" w:eastAsia="zh-CN"/>
                    </w:rPr>
                    <w:t>产</w:t>
                  </w:r>
                  <w:r>
                    <w:rPr>
                      <w:rFonts w:ascii="Times New Roman" w:hAnsi="Times New Roman" w:eastAsia="宋体" w:cs="Times New Roman"/>
                      <w:color w:val="auto"/>
                      <w:spacing w:val="0"/>
                      <w:w w:val="100"/>
                      <w:position w:val="0"/>
                      <w:sz w:val="22"/>
                      <w:szCs w:val="22"/>
                      <w:highlight w:val="none"/>
                    </w:rPr>
                    <w:t>业政策要求，选址、布局应符合所在地的区域发展规划</w:t>
                  </w:r>
                </w:p>
              </w:tc>
              <w:tc>
                <w:tcPr>
                  <w:tcW w:w="2220" w:type="dxa"/>
                  <w:tcBorders>
                    <w:top w:val="single" w:color="auto" w:sz="4" w:space="0"/>
                    <w:left w:val="single" w:color="auto" w:sz="4" w:space="0"/>
                  </w:tcBorders>
                  <w:shd w:val="clear" w:color="auto" w:fill="FFFFFF"/>
                  <w:vAlign w:val="center"/>
                </w:tcPr>
                <w:p w14:paraId="67C10723">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符合国家产业政策及矿产资源规划要求</w:t>
                  </w:r>
                </w:p>
              </w:tc>
              <w:tc>
                <w:tcPr>
                  <w:tcW w:w="353" w:type="dxa"/>
                  <w:tcBorders>
                    <w:top w:val="single" w:color="auto" w:sz="4" w:space="0"/>
                    <w:left w:val="single" w:color="auto" w:sz="4" w:space="0"/>
                  </w:tcBorders>
                  <w:shd w:val="clear" w:color="auto" w:fill="FFFFFF"/>
                  <w:vAlign w:val="center"/>
                </w:tcPr>
                <w:p w14:paraId="0BB36973">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5BA6A4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restart"/>
                  <w:tcBorders>
                    <w:top w:val="single" w:color="auto" w:sz="4" w:space="0"/>
                  </w:tcBorders>
                  <w:shd w:val="clear" w:color="auto" w:fill="FFFFFF"/>
                  <w:vAlign w:val="center"/>
                </w:tcPr>
                <w:p w14:paraId="7F05E67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16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矿产资 源开发</w:t>
                  </w:r>
                </w:p>
                <w:p w14:paraId="3C8EB07E">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设计</w:t>
                  </w:r>
                </w:p>
              </w:tc>
              <w:tc>
                <w:tcPr>
                  <w:tcW w:w="4786" w:type="dxa"/>
                  <w:tcBorders>
                    <w:top w:val="single" w:color="auto" w:sz="4" w:space="0"/>
                    <w:left w:val="single" w:color="auto" w:sz="4" w:space="0"/>
                  </w:tcBorders>
                  <w:shd w:val="clear" w:color="auto" w:fill="FFFFFF"/>
                  <w:vAlign w:val="center"/>
                </w:tcPr>
                <w:p w14:paraId="59426AF0">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应优先选择废物产生量少、水重复利用率高</w:t>
                  </w:r>
                  <w:r>
                    <w:rPr>
                      <w:rFonts w:hint="eastAsia" w:ascii="Times New Roman" w:hAnsi="Times New Roman" w:cs="Times New Roman"/>
                      <w:color w:val="auto"/>
                      <w:spacing w:val="0"/>
                      <w:w w:val="100"/>
                      <w:position w:val="0"/>
                      <w:sz w:val="22"/>
                      <w:szCs w:val="22"/>
                      <w:highlight w:val="none"/>
                      <w:lang w:eastAsia="zh-CN"/>
                    </w:rPr>
                    <w:t>，</w:t>
                  </w:r>
                  <w:r>
                    <w:rPr>
                      <w:rFonts w:ascii="Times New Roman" w:hAnsi="Times New Roman" w:eastAsia="宋体" w:cs="Times New Roman"/>
                      <w:color w:val="auto"/>
                      <w:spacing w:val="0"/>
                      <w:w w:val="100"/>
                      <w:position w:val="0"/>
                      <w:sz w:val="22"/>
                      <w:szCs w:val="22"/>
                      <w:highlight w:val="none"/>
                    </w:rPr>
                    <w:t>对矿区生态环境影响小的</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、选矿生产工艺与技术</w:t>
                  </w:r>
                </w:p>
              </w:tc>
              <w:tc>
                <w:tcPr>
                  <w:tcW w:w="2220" w:type="dxa"/>
                  <w:tcBorders>
                    <w:top w:val="single" w:color="auto" w:sz="4" w:space="0"/>
                    <w:left w:val="single" w:color="auto" w:sz="4" w:space="0"/>
                  </w:tcBorders>
                  <w:shd w:val="clear" w:color="auto" w:fill="FFFFFF"/>
                  <w:vAlign w:val="center"/>
                </w:tcPr>
                <w:p w14:paraId="740E2BD1">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ascii="Times New Roman" w:hAnsi="Times New Roman" w:eastAsia="宋体" w:cs="Times New Roman"/>
                      <w:color w:val="auto"/>
                      <w:spacing w:val="0"/>
                      <w:w w:val="100"/>
                      <w:position w:val="0"/>
                      <w:sz w:val="22"/>
                      <w:szCs w:val="22"/>
                      <w:highlight w:val="none"/>
                    </w:rPr>
                    <w:t>剥离岩土用于</w:t>
                  </w:r>
                  <w:r>
                    <w:rPr>
                      <w:rFonts w:hint="eastAsia" w:ascii="Times New Roman" w:hAnsi="Times New Roman" w:cs="Times New Roman"/>
                      <w:color w:val="auto"/>
                      <w:spacing w:val="0"/>
                      <w:w w:val="100"/>
                      <w:position w:val="0"/>
                      <w:sz w:val="22"/>
                      <w:szCs w:val="22"/>
                      <w:highlight w:val="none"/>
                      <w:lang w:val="en-US" w:eastAsia="zh-CN"/>
                    </w:rPr>
                    <w:t>场地填平</w:t>
                  </w:r>
                </w:p>
              </w:tc>
              <w:tc>
                <w:tcPr>
                  <w:tcW w:w="353" w:type="dxa"/>
                  <w:tcBorders>
                    <w:top w:val="single" w:color="auto" w:sz="4" w:space="0"/>
                    <w:left w:val="single" w:color="auto" w:sz="4" w:space="0"/>
                  </w:tcBorders>
                  <w:shd w:val="clear" w:color="auto" w:fill="FFFFFF"/>
                  <w:vAlign w:val="center"/>
                </w:tcPr>
                <w:p w14:paraId="4B21DC74">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4DD3DA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7D0069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6AA2C15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矿井水、选矿水和矿山其它外排水应统筹规划、</w:t>
                  </w:r>
                </w:p>
                <w:p w14:paraId="6011B42C">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分类管理、综合利用</w:t>
                  </w:r>
                </w:p>
              </w:tc>
              <w:tc>
                <w:tcPr>
                  <w:tcW w:w="2220" w:type="dxa"/>
                  <w:tcBorders>
                    <w:top w:val="single" w:color="auto" w:sz="4" w:space="0"/>
                    <w:left w:val="single" w:color="auto" w:sz="4" w:space="0"/>
                  </w:tcBorders>
                  <w:shd w:val="clear" w:color="auto" w:fill="FFFFFF"/>
                  <w:vAlign w:val="center"/>
                </w:tcPr>
                <w:p w14:paraId="4D7333A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cs="Times New Roman"/>
                      <w:color w:val="auto"/>
                      <w:spacing w:val="0"/>
                      <w:w w:val="100"/>
                      <w:position w:val="0"/>
                      <w:sz w:val="22"/>
                      <w:szCs w:val="22"/>
                      <w:highlight w:val="none"/>
                      <w:lang w:val="en-US" w:eastAsia="zh-CN"/>
                    </w:rPr>
                    <w:t>本项目无外排水，全部</w:t>
                  </w:r>
                  <w:r>
                    <w:rPr>
                      <w:rFonts w:ascii="Times New Roman" w:hAnsi="Times New Roman" w:eastAsia="宋体" w:cs="Times New Roman"/>
                      <w:color w:val="auto"/>
                      <w:spacing w:val="0"/>
                      <w:w w:val="100"/>
                      <w:position w:val="0"/>
                      <w:sz w:val="22"/>
                      <w:szCs w:val="22"/>
                      <w:highlight w:val="none"/>
                    </w:rPr>
                    <w:t>综合利用</w:t>
                  </w:r>
                </w:p>
              </w:tc>
              <w:tc>
                <w:tcPr>
                  <w:tcW w:w="353" w:type="dxa"/>
                  <w:tcBorders>
                    <w:top w:val="single" w:color="auto" w:sz="4" w:space="0"/>
                    <w:left w:val="single" w:color="auto" w:sz="4" w:space="0"/>
                  </w:tcBorders>
                  <w:shd w:val="clear" w:color="auto" w:fill="FFFFFF"/>
                  <w:vAlign w:val="center"/>
                </w:tcPr>
                <w:p w14:paraId="652F14B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7B9C0E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shd w:val="clear" w:color="auto" w:fill="FFFFFF"/>
                  <w:vAlign w:val="center"/>
                </w:tcPr>
                <w:p w14:paraId="095E7E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4786" w:type="dxa"/>
                  <w:tcBorders>
                    <w:top w:val="single" w:color="auto" w:sz="4" w:space="0"/>
                    <w:left w:val="single" w:color="auto" w:sz="4" w:space="0"/>
                  </w:tcBorders>
                  <w:shd w:val="clear" w:color="auto" w:fill="FFFFFF"/>
                  <w:vAlign w:val="center"/>
                </w:tcPr>
                <w:p w14:paraId="51BD393B">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矿山基建应尽量少占用农田和耕地，矿山基建临 时性占地应及时恢复。</w:t>
                  </w:r>
                </w:p>
              </w:tc>
              <w:tc>
                <w:tcPr>
                  <w:tcW w:w="2220" w:type="dxa"/>
                  <w:tcBorders>
                    <w:top w:val="single" w:color="auto" w:sz="4" w:space="0"/>
                    <w:left w:val="single" w:color="auto" w:sz="4" w:space="0"/>
                  </w:tcBorders>
                  <w:shd w:val="clear" w:color="auto" w:fill="FFFFFF"/>
                  <w:vAlign w:val="center"/>
                </w:tcPr>
                <w:p w14:paraId="75AB4712">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基建及生产过程中不占农田和耕地，临时性占地及时恢复。</w:t>
                  </w:r>
                </w:p>
              </w:tc>
              <w:tc>
                <w:tcPr>
                  <w:tcW w:w="353" w:type="dxa"/>
                  <w:tcBorders>
                    <w:top w:val="single" w:color="auto" w:sz="4" w:space="0"/>
                    <w:left w:val="single" w:color="auto" w:sz="4" w:space="0"/>
                  </w:tcBorders>
                  <w:shd w:val="clear" w:color="auto" w:fill="FFFFFF"/>
                  <w:vAlign w:val="center"/>
                </w:tcPr>
                <w:p w14:paraId="7C7AEE47">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21EBBC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tcBorders>
                  <w:shd w:val="clear" w:color="auto" w:fill="FFFFFF"/>
                  <w:vAlign w:val="center"/>
                </w:tcPr>
                <w:p w14:paraId="3FA148AB">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采矿</w:t>
                  </w:r>
                </w:p>
              </w:tc>
              <w:tc>
                <w:tcPr>
                  <w:tcW w:w="4786" w:type="dxa"/>
                  <w:tcBorders>
                    <w:top w:val="single" w:color="auto" w:sz="4" w:space="0"/>
                    <w:left w:val="single" w:color="auto" w:sz="4" w:space="0"/>
                  </w:tcBorders>
                  <w:shd w:val="clear" w:color="auto" w:fill="FFFFFF"/>
                  <w:vAlign w:val="center"/>
                </w:tcPr>
                <w:p w14:paraId="4654C37B">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推广应用充填采矿工艺技术，提倡废石不出井， 利用尾砂、废石充填</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空区</w:t>
                  </w:r>
                </w:p>
              </w:tc>
              <w:tc>
                <w:tcPr>
                  <w:tcW w:w="2220" w:type="dxa"/>
                  <w:tcBorders>
                    <w:top w:val="single" w:color="auto" w:sz="4" w:space="0"/>
                    <w:left w:val="single" w:color="auto" w:sz="4" w:space="0"/>
                  </w:tcBorders>
                  <w:shd w:val="clear" w:color="auto" w:fill="FFFFFF"/>
                  <w:vAlign w:val="center"/>
                </w:tcPr>
                <w:p w14:paraId="07196942">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矿山露天开采</w:t>
                  </w:r>
                  <w:r>
                    <w:rPr>
                      <w:rFonts w:hint="eastAsia" w:ascii="Times New Roman" w:hAnsi="Times New Roman" w:cs="Times New Roman"/>
                      <w:color w:val="auto"/>
                      <w:spacing w:val="0"/>
                      <w:w w:val="100"/>
                      <w:position w:val="0"/>
                      <w:sz w:val="22"/>
                      <w:szCs w:val="22"/>
                      <w:highlight w:val="none"/>
                      <w:lang w:eastAsia="zh-CN"/>
                    </w:rPr>
                    <w:t>，</w:t>
                  </w:r>
                  <w:r>
                    <w:rPr>
                      <w:rFonts w:ascii="Times New Roman" w:hAnsi="Times New Roman" w:eastAsia="宋体" w:cs="Times New Roman"/>
                      <w:color w:val="auto"/>
                      <w:spacing w:val="0"/>
                      <w:w w:val="100"/>
                      <w:position w:val="0"/>
                      <w:sz w:val="22"/>
                      <w:szCs w:val="22"/>
                      <w:highlight w:val="none"/>
                    </w:rPr>
                    <w:t>不存此问题</w:t>
                  </w:r>
                </w:p>
              </w:tc>
              <w:tc>
                <w:tcPr>
                  <w:tcW w:w="353" w:type="dxa"/>
                  <w:tcBorders>
                    <w:top w:val="single" w:color="auto" w:sz="4" w:space="0"/>
                    <w:left w:val="single" w:color="auto" w:sz="4" w:space="0"/>
                  </w:tcBorders>
                  <w:shd w:val="clear" w:color="auto" w:fill="FFFFFF"/>
                  <w:vAlign w:val="center"/>
                </w:tcPr>
                <w:p w14:paraId="75E73A9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01DDDF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bottom w:val="single" w:color="auto" w:sz="4" w:space="0"/>
                  </w:tcBorders>
                  <w:shd w:val="clear" w:color="auto" w:fill="FFFFFF"/>
                  <w:vAlign w:val="center"/>
                </w:tcPr>
                <w:p w14:paraId="5FD40457">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16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矿坑水 的综合</w:t>
                  </w:r>
                </w:p>
              </w:tc>
              <w:tc>
                <w:tcPr>
                  <w:tcW w:w="4786" w:type="dxa"/>
                  <w:tcBorders>
                    <w:top w:val="single" w:color="auto" w:sz="4" w:space="0"/>
                    <w:left w:val="single" w:color="auto" w:sz="4" w:space="0"/>
                    <w:bottom w:val="single" w:color="auto" w:sz="4" w:space="0"/>
                  </w:tcBorders>
                  <w:shd w:val="clear" w:color="auto" w:fill="FFFFFF"/>
                  <w:vAlign w:val="center"/>
                </w:tcPr>
                <w:p w14:paraId="136CC756">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鼓励将矿坑水优先利用为生产用水，作为辅助水 源加以利用</w:t>
                  </w:r>
                </w:p>
              </w:tc>
              <w:tc>
                <w:tcPr>
                  <w:tcW w:w="2220" w:type="dxa"/>
                  <w:tcBorders>
                    <w:top w:val="single" w:color="auto" w:sz="4" w:space="0"/>
                    <w:left w:val="single" w:color="auto" w:sz="4" w:space="0"/>
                    <w:bottom w:val="single" w:color="auto" w:sz="4" w:space="0"/>
                  </w:tcBorders>
                  <w:shd w:val="clear" w:color="auto" w:fill="FFFFFF"/>
                  <w:vAlign w:val="center"/>
                </w:tcPr>
                <w:p w14:paraId="7763220D">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无矿坑废水</w:t>
                  </w:r>
                </w:p>
              </w:tc>
              <w:tc>
                <w:tcPr>
                  <w:tcW w:w="353" w:type="dxa"/>
                  <w:tcBorders>
                    <w:top w:val="single" w:color="auto" w:sz="4" w:space="0"/>
                    <w:left w:val="single" w:color="auto" w:sz="4" w:space="0"/>
                    <w:bottom w:val="single" w:color="auto" w:sz="4" w:space="0"/>
                  </w:tcBorders>
                  <w:shd w:val="clear" w:color="auto" w:fill="FFFFFF"/>
                  <w:vAlign w:val="center"/>
                </w:tcPr>
                <w:p w14:paraId="5BA77317">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394AD3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restart"/>
                  <w:tcBorders>
                    <w:top w:val="single" w:color="auto" w:sz="4" w:space="0"/>
                    <w:bottom w:val="single" w:color="auto" w:sz="4" w:space="0"/>
                  </w:tcBorders>
                  <w:shd w:val="clear" w:color="auto" w:fill="FFFFFF"/>
                  <w:vAlign w:val="center"/>
                </w:tcPr>
                <w:p w14:paraId="2DDCEA93">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0"/>
                      <w:w w:val="100"/>
                      <w:position w:val="0"/>
                      <w:sz w:val="22"/>
                      <w:szCs w:val="22"/>
                      <w:highlight w:val="none"/>
                    </w:rPr>
                    <w:t>利用和 废水、废</w:t>
                  </w:r>
                </w:p>
                <w:p w14:paraId="61295B6A">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气的处 理</w:t>
                  </w:r>
                </w:p>
              </w:tc>
              <w:tc>
                <w:tcPr>
                  <w:tcW w:w="4786" w:type="dxa"/>
                  <w:tcBorders>
                    <w:top w:val="single" w:color="auto" w:sz="4" w:space="0"/>
                    <w:left w:val="single" w:color="auto" w:sz="4" w:space="0"/>
                    <w:bottom w:val="single" w:color="auto" w:sz="4" w:space="0"/>
                  </w:tcBorders>
                  <w:shd w:val="clear" w:color="auto" w:fill="FFFFFF"/>
                  <w:vAlign w:val="center"/>
                </w:tcPr>
                <w:p w14:paraId="5C69111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宜采取灌浆等工程措施，避免和减少</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矿活动破 坏地下水均衡系统</w:t>
                  </w:r>
                </w:p>
              </w:tc>
              <w:tc>
                <w:tcPr>
                  <w:tcW w:w="2220" w:type="dxa"/>
                  <w:tcBorders>
                    <w:top w:val="single" w:color="auto" w:sz="4" w:space="0"/>
                    <w:left w:val="single" w:color="auto" w:sz="4" w:space="0"/>
                    <w:bottom w:val="single" w:color="auto" w:sz="4" w:space="0"/>
                  </w:tcBorders>
                  <w:shd w:val="clear" w:color="auto" w:fill="FFFFFF"/>
                  <w:vAlign w:val="center"/>
                </w:tcPr>
                <w:p w14:paraId="76CC993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无矿坑废水，不会破坏地下水系统</w:t>
                  </w:r>
                </w:p>
              </w:tc>
              <w:tc>
                <w:tcPr>
                  <w:tcW w:w="353" w:type="dxa"/>
                  <w:tcBorders>
                    <w:top w:val="single" w:color="auto" w:sz="4" w:space="0"/>
                    <w:left w:val="single" w:color="auto" w:sz="4" w:space="0"/>
                    <w:bottom w:val="single" w:color="auto" w:sz="4" w:space="0"/>
                  </w:tcBorders>
                  <w:shd w:val="clear" w:color="auto" w:fill="FFFFFF"/>
                  <w:vAlign w:val="center"/>
                </w:tcPr>
                <w:p w14:paraId="2CE2A68D">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72D597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vMerge w:val="continue"/>
                  <w:tcBorders>
                    <w:top w:val="single" w:color="auto" w:sz="4" w:space="0"/>
                    <w:bottom w:val="single" w:color="auto" w:sz="4" w:space="0"/>
                  </w:tcBorders>
                  <w:shd w:val="clear" w:color="auto" w:fill="FFFFFF"/>
                  <w:vAlign w:val="center"/>
                </w:tcPr>
                <w:p w14:paraId="115A14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pacing w:val="0"/>
                      <w:w w:val="100"/>
                      <w:position w:val="0"/>
                      <w:sz w:val="22"/>
                      <w:szCs w:val="22"/>
                      <w:highlight w:val="none"/>
                    </w:rPr>
                  </w:pPr>
                </w:p>
              </w:tc>
              <w:tc>
                <w:tcPr>
                  <w:tcW w:w="4786" w:type="dxa"/>
                  <w:tcBorders>
                    <w:top w:val="single" w:color="auto" w:sz="4" w:space="0"/>
                    <w:left w:val="single" w:color="auto" w:sz="4" w:space="0"/>
                    <w:bottom w:val="single" w:color="auto" w:sz="4" w:space="0"/>
                  </w:tcBorders>
                  <w:shd w:val="clear" w:color="auto" w:fill="FFFFFF"/>
                  <w:vAlign w:val="center"/>
                </w:tcPr>
                <w:p w14:paraId="60701955">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宜采用安装除尘装置，湿式作业，个体防护等措 施，防治凿岩、铲装、运输等采矿作业中的粉尘 污染</w:t>
                  </w:r>
                </w:p>
              </w:tc>
              <w:tc>
                <w:tcPr>
                  <w:tcW w:w="2220" w:type="dxa"/>
                  <w:tcBorders>
                    <w:top w:val="single" w:color="auto" w:sz="4" w:space="0"/>
                    <w:left w:val="single" w:color="auto" w:sz="4" w:space="0"/>
                    <w:bottom w:val="single" w:color="auto" w:sz="4" w:space="0"/>
                  </w:tcBorders>
                  <w:shd w:val="clear" w:color="auto" w:fill="FFFFFF"/>
                  <w:vAlign w:val="center"/>
                </w:tcPr>
                <w:p w14:paraId="07538C1E">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采取湿式作业、喷雾洒水等除尘措施</w:t>
                  </w:r>
                </w:p>
              </w:tc>
              <w:tc>
                <w:tcPr>
                  <w:tcW w:w="353" w:type="dxa"/>
                  <w:tcBorders>
                    <w:top w:val="single" w:color="auto" w:sz="4" w:space="0"/>
                    <w:left w:val="single" w:color="auto" w:sz="4" w:space="0"/>
                    <w:bottom w:val="single" w:color="auto" w:sz="4" w:space="0"/>
                  </w:tcBorders>
                  <w:shd w:val="clear" w:color="auto" w:fill="FFFFFF"/>
                  <w:vAlign w:val="center"/>
                </w:tcPr>
                <w:p w14:paraId="3A6EFE0B">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1E541B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bottom w:val="single" w:color="auto" w:sz="4" w:space="0"/>
                  </w:tcBorders>
                  <w:shd w:val="clear" w:color="auto" w:fill="FFFFFF"/>
                  <w:vAlign w:val="center"/>
                </w:tcPr>
                <w:p w14:paraId="52197265">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固体废 物贮存 和综合 利用</w:t>
                  </w:r>
                </w:p>
              </w:tc>
              <w:tc>
                <w:tcPr>
                  <w:tcW w:w="4786" w:type="dxa"/>
                  <w:tcBorders>
                    <w:top w:val="single" w:color="auto" w:sz="4" w:space="0"/>
                    <w:left w:val="single" w:color="auto" w:sz="4" w:space="0"/>
                    <w:bottom w:val="single" w:color="auto" w:sz="4" w:space="0"/>
                  </w:tcBorders>
                  <w:shd w:val="clear" w:color="auto" w:fill="FFFFFF"/>
                  <w:vAlign w:val="center"/>
                </w:tcPr>
                <w:p w14:paraId="58609BB3">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对采矿活动所产生的固体废物，应使用专用场所堆放，并</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取有效措施防止二次环境污染及诱发 次生地质灾害。大力推广采矿固体废物的综合利 用技术</w:t>
                  </w:r>
                </w:p>
              </w:tc>
              <w:tc>
                <w:tcPr>
                  <w:tcW w:w="2220" w:type="dxa"/>
                  <w:tcBorders>
                    <w:top w:val="single" w:color="auto" w:sz="4" w:space="0"/>
                    <w:left w:val="single" w:color="auto" w:sz="4" w:space="0"/>
                    <w:bottom w:val="single" w:color="auto" w:sz="4" w:space="0"/>
                  </w:tcBorders>
                  <w:shd w:val="clear" w:color="auto" w:fill="FFFFFF"/>
                  <w:vAlign w:val="center"/>
                </w:tcPr>
                <w:p w14:paraId="4C849A58">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废土石用于</w:t>
                  </w:r>
                  <w:r>
                    <w:rPr>
                      <w:rFonts w:hint="eastAsia" w:ascii="Times New Roman" w:hAnsi="Times New Roman" w:cs="Times New Roman"/>
                      <w:color w:val="auto"/>
                      <w:spacing w:val="0"/>
                      <w:w w:val="100"/>
                      <w:position w:val="0"/>
                      <w:sz w:val="22"/>
                      <w:szCs w:val="22"/>
                      <w:highlight w:val="none"/>
                      <w:lang w:val="en-US" w:eastAsia="zh-CN"/>
                    </w:rPr>
                    <w:t>矿区北部场地回填</w:t>
                  </w:r>
                  <w:r>
                    <w:rPr>
                      <w:rFonts w:ascii="Times New Roman" w:hAnsi="Times New Roman" w:eastAsia="宋体" w:cs="Times New Roman"/>
                      <w:color w:val="auto"/>
                      <w:spacing w:val="0"/>
                      <w:w w:val="100"/>
                      <w:position w:val="0"/>
                      <w:sz w:val="22"/>
                      <w:szCs w:val="22"/>
                      <w:highlight w:val="none"/>
                    </w:rPr>
                    <w:t>。废土石全部利用</w:t>
                  </w:r>
                </w:p>
              </w:tc>
              <w:tc>
                <w:tcPr>
                  <w:tcW w:w="353" w:type="dxa"/>
                  <w:tcBorders>
                    <w:top w:val="single" w:color="auto" w:sz="4" w:space="0"/>
                    <w:left w:val="single" w:color="auto" w:sz="4" w:space="0"/>
                    <w:bottom w:val="single" w:color="auto" w:sz="4" w:space="0"/>
                  </w:tcBorders>
                  <w:shd w:val="clear" w:color="auto" w:fill="FFFFFF"/>
                  <w:vAlign w:val="center"/>
                </w:tcPr>
                <w:p w14:paraId="2C9F9E0E">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r w14:paraId="7E38DE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bottom w:val="single" w:color="auto" w:sz="4" w:space="0"/>
                  </w:tcBorders>
                  <w:shd w:val="clear" w:color="auto" w:fill="FFFFFF"/>
                  <w:vAlign w:val="center"/>
                </w:tcPr>
                <w:p w14:paraId="3699302F">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废弃地 复垦</w:t>
                  </w:r>
                </w:p>
              </w:tc>
              <w:tc>
                <w:tcPr>
                  <w:tcW w:w="4786" w:type="dxa"/>
                  <w:tcBorders>
                    <w:top w:val="single" w:color="auto" w:sz="4" w:space="0"/>
                    <w:left w:val="single" w:color="auto" w:sz="4" w:space="0"/>
                    <w:bottom w:val="single" w:color="auto" w:sz="4" w:space="0"/>
                  </w:tcBorders>
                  <w:shd w:val="clear" w:color="auto" w:fill="FFFFFF"/>
                  <w:vAlign w:val="center"/>
                </w:tcPr>
                <w:p w14:paraId="7867DA1C">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矿山</w:t>
                  </w:r>
                  <w:r>
                    <w:rPr>
                      <w:rFonts w:ascii="Times New Roman" w:hAnsi="Times New Roman" w:eastAsia="宋体" w:cs="Times New Roman"/>
                      <w:color w:val="auto"/>
                      <w:spacing w:val="0"/>
                      <w:w w:val="100"/>
                      <w:position w:val="0"/>
                      <w:sz w:val="22"/>
                      <w:szCs w:val="22"/>
                      <w:highlight w:val="none"/>
                      <w:lang w:val="zh-CN" w:eastAsia="zh-CN" w:bidi="zh-CN"/>
                    </w:rPr>
                    <w:t>生产</w:t>
                  </w:r>
                  <w:r>
                    <w:rPr>
                      <w:rFonts w:ascii="Times New Roman" w:hAnsi="Times New Roman" w:eastAsia="宋体" w:cs="Times New Roman"/>
                      <w:color w:val="auto"/>
                      <w:spacing w:val="0"/>
                      <w:w w:val="100"/>
                      <w:position w:val="0"/>
                      <w:sz w:val="22"/>
                      <w:szCs w:val="22"/>
                      <w:highlight w:val="none"/>
                    </w:rPr>
                    <w:t>过程中应</w:t>
                  </w:r>
                  <w:r>
                    <w:rPr>
                      <w:rFonts w:hint="eastAsia" w:ascii="Times New Roman" w:hAnsi="Times New Roman" w:cs="Times New Roman"/>
                      <w:color w:val="auto"/>
                      <w:spacing w:val="0"/>
                      <w:w w:val="100"/>
                      <w:position w:val="0"/>
                      <w:sz w:val="22"/>
                      <w:szCs w:val="22"/>
                      <w:highlight w:val="none"/>
                      <w:lang w:eastAsia="zh-CN"/>
                    </w:rPr>
                    <w:t>采</w:t>
                  </w:r>
                  <w:r>
                    <w:rPr>
                      <w:rFonts w:ascii="Times New Roman" w:hAnsi="Times New Roman" w:eastAsia="宋体" w:cs="Times New Roman"/>
                      <w:color w:val="auto"/>
                      <w:spacing w:val="0"/>
                      <w:w w:val="100"/>
                      <w:position w:val="0"/>
                      <w:sz w:val="22"/>
                      <w:szCs w:val="22"/>
                      <w:highlight w:val="none"/>
                    </w:rPr>
                    <w:t>取种植植物和覆盖等复址措 施，对露天坑、废石场、尾矿库、砰石山等永久 性坡面进行稳定化处理，防止水</w:t>
                  </w:r>
                  <w:r>
                    <w:rPr>
                      <w:rFonts w:hint="eastAsia" w:ascii="Times New Roman" w:hAnsi="Times New Roman" w:cs="Times New Roman"/>
                      <w:color w:val="auto"/>
                      <w:spacing w:val="0"/>
                      <w:w w:val="100"/>
                      <w:position w:val="0"/>
                      <w:sz w:val="22"/>
                      <w:szCs w:val="22"/>
                      <w:highlight w:val="none"/>
                      <w:lang w:val="en-US" w:eastAsia="zh-CN"/>
                    </w:rPr>
                    <w:t>土</w:t>
                  </w:r>
                  <w:r>
                    <w:rPr>
                      <w:rFonts w:ascii="Times New Roman" w:hAnsi="Times New Roman" w:eastAsia="宋体" w:cs="Times New Roman"/>
                      <w:color w:val="auto"/>
                      <w:spacing w:val="0"/>
                      <w:w w:val="100"/>
                      <w:position w:val="0"/>
                      <w:sz w:val="22"/>
                      <w:szCs w:val="22"/>
                      <w:highlight w:val="none"/>
                    </w:rPr>
                    <w:t>流失和滑坡。废石场、尾矿库、砰石山等固废堆场服务期满后， 应及时封场和复垦</w:t>
                  </w:r>
                  <w:r>
                    <w:rPr>
                      <w:rFonts w:hint="eastAsia" w:ascii="Times New Roman" w:hAnsi="Times New Roman" w:cs="Times New Roman"/>
                      <w:color w:val="auto"/>
                      <w:spacing w:val="0"/>
                      <w:w w:val="100"/>
                      <w:position w:val="0"/>
                      <w:sz w:val="22"/>
                      <w:szCs w:val="22"/>
                      <w:highlight w:val="none"/>
                      <w:lang w:eastAsia="zh-CN"/>
                    </w:rPr>
                    <w:t>，</w:t>
                  </w:r>
                  <w:r>
                    <w:rPr>
                      <w:rFonts w:ascii="Times New Roman" w:hAnsi="Times New Roman" w:eastAsia="宋体" w:cs="Times New Roman"/>
                      <w:color w:val="auto"/>
                      <w:spacing w:val="0"/>
                      <w:w w:val="100"/>
                      <w:position w:val="0"/>
                      <w:sz w:val="22"/>
                      <w:szCs w:val="22"/>
                      <w:highlight w:val="none"/>
                    </w:rPr>
                    <w:t>防止水土流失及风蚀扬尘等。</w:t>
                  </w:r>
                </w:p>
              </w:tc>
              <w:tc>
                <w:tcPr>
                  <w:tcW w:w="2220" w:type="dxa"/>
                  <w:tcBorders>
                    <w:top w:val="single" w:color="auto" w:sz="4" w:space="0"/>
                    <w:left w:val="single" w:color="auto" w:sz="4" w:space="0"/>
                    <w:bottom w:val="single" w:color="auto" w:sz="4" w:space="0"/>
                  </w:tcBorders>
                  <w:shd w:val="clear" w:color="auto" w:fill="FFFFFF"/>
                  <w:vAlign w:val="center"/>
                </w:tcPr>
                <w:p w14:paraId="68725208">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对开采过程形成的破损区域及时修复，封场后及时复垦。</w:t>
                  </w:r>
                </w:p>
              </w:tc>
              <w:tc>
                <w:tcPr>
                  <w:tcW w:w="353" w:type="dxa"/>
                  <w:tcBorders>
                    <w:top w:val="single" w:color="auto" w:sz="4" w:space="0"/>
                    <w:left w:val="single" w:color="auto" w:sz="4" w:space="0"/>
                    <w:bottom w:val="single" w:color="auto" w:sz="4" w:space="0"/>
                  </w:tcBorders>
                  <w:shd w:val="clear" w:color="auto" w:fill="FFFFFF"/>
                  <w:vAlign w:val="center"/>
                </w:tcPr>
                <w:p w14:paraId="7F5D5AEB">
                  <w:pPr>
                    <w:pStyle w:val="49"/>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ascii="Times New Roman" w:hAnsi="Times New Roman" w:eastAsia="宋体" w:cs="Times New Roman"/>
                      <w:color w:val="auto"/>
                      <w:spacing w:val="0"/>
                      <w:w w:val="100"/>
                      <w:position w:val="0"/>
                      <w:sz w:val="22"/>
                      <w:szCs w:val="22"/>
                      <w:highlight w:val="none"/>
                    </w:rPr>
                  </w:pPr>
                  <w:r>
                    <w:rPr>
                      <w:rFonts w:ascii="Times New Roman" w:hAnsi="Times New Roman" w:eastAsia="宋体" w:cs="Times New Roman"/>
                      <w:color w:val="auto"/>
                      <w:spacing w:val="0"/>
                      <w:w w:val="100"/>
                      <w:position w:val="0"/>
                      <w:sz w:val="22"/>
                      <w:szCs w:val="22"/>
                      <w:highlight w:val="none"/>
                    </w:rPr>
                    <w:t>相符</w:t>
                  </w:r>
                </w:p>
              </w:tc>
            </w:tr>
          </w:tbl>
          <w:p w14:paraId="0254B4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本矿山矿石开采采用湿式凿岩，破碎筛分粉尘采用</w:t>
            </w:r>
            <w:r>
              <w:rPr>
                <w:rFonts w:hint="eastAsia" w:ascii="Times New Roman" w:hAnsi="Times New Roman"/>
                <w:color w:val="auto"/>
                <w:sz w:val="26"/>
                <w:szCs w:val="26"/>
                <w:highlight w:val="none"/>
                <w:vertAlign w:val="baseline"/>
                <w:lang w:val="en-US" w:eastAsia="zh-CN"/>
              </w:rPr>
              <w:t>布袋除尘器收集</w:t>
            </w:r>
            <w:r>
              <w:rPr>
                <w:rFonts w:hint="eastAsia" w:ascii="Times New Roman" w:hAnsi="Times New Roman"/>
                <w:color w:val="auto"/>
                <w:sz w:val="26"/>
                <w:szCs w:val="26"/>
                <w:highlight w:val="none"/>
                <w:vertAlign w:val="baseline"/>
              </w:rPr>
              <w:t>措施</w:t>
            </w:r>
            <w:r>
              <w:rPr>
                <w:rFonts w:hint="eastAsia" w:ascii="Times New Roman" w:hAnsi="Times New Roman"/>
                <w:color w:val="auto"/>
                <w:sz w:val="26"/>
                <w:szCs w:val="26"/>
                <w:highlight w:val="none"/>
                <w:vertAlign w:val="baseline"/>
                <w:lang w:eastAsia="zh-CN"/>
              </w:rPr>
              <w:t>，</w:t>
            </w:r>
            <w:r>
              <w:rPr>
                <w:rFonts w:hint="eastAsia" w:ascii="Times New Roman" w:hAnsi="Times New Roman"/>
                <w:color w:val="auto"/>
                <w:sz w:val="26"/>
                <w:szCs w:val="26"/>
                <w:highlight w:val="none"/>
                <w:vertAlign w:val="baseline"/>
              </w:rPr>
              <w:t>生活污水经</w:t>
            </w:r>
            <w:r>
              <w:rPr>
                <w:rFonts w:hint="eastAsia" w:ascii="Times New Roman" w:hAnsi="Times New Roman"/>
                <w:color w:val="auto"/>
                <w:sz w:val="26"/>
                <w:szCs w:val="26"/>
                <w:highlight w:val="none"/>
                <w:vertAlign w:val="baseline"/>
                <w:lang w:val="en-US" w:eastAsia="zh-CN"/>
              </w:rPr>
              <w:t>化粪池</w:t>
            </w:r>
            <w:r>
              <w:rPr>
                <w:rFonts w:hint="eastAsia" w:ascii="Times New Roman" w:hAnsi="Times New Roman"/>
                <w:color w:val="auto"/>
                <w:sz w:val="26"/>
                <w:szCs w:val="26"/>
                <w:highlight w:val="none"/>
                <w:vertAlign w:val="baseline"/>
              </w:rPr>
              <w:t>处理</w:t>
            </w:r>
            <w:r>
              <w:rPr>
                <w:rFonts w:hint="eastAsia" w:ascii="Times New Roman" w:hAnsi="Times New Roman"/>
                <w:color w:val="auto"/>
                <w:sz w:val="26"/>
                <w:szCs w:val="26"/>
                <w:highlight w:val="none"/>
                <w:vertAlign w:val="baseline"/>
                <w:lang w:val="en-US" w:eastAsia="zh-CN"/>
              </w:rPr>
              <w:t>后委托周边农户清掏做农肥；</w:t>
            </w:r>
            <w:r>
              <w:rPr>
                <w:rFonts w:hint="eastAsia" w:ascii="Times New Roman" w:hAnsi="Times New Roman"/>
                <w:color w:val="auto"/>
                <w:sz w:val="26"/>
                <w:szCs w:val="26"/>
                <w:highlight w:val="none"/>
                <w:vertAlign w:val="baseline"/>
              </w:rPr>
              <w:t>废土石</w:t>
            </w:r>
            <w:r>
              <w:rPr>
                <w:rFonts w:hint="eastAsia" w:ascii="Times New Roman" w:hAnsi="Times New Roman"/>
                <w:color w:val="auto"/>
                <w:sz w:val="26"/>
                <w:szCs w:val="26"/>
                <w:highlight w:val="none"/>
                <w:vertAlign w:val="baseline"/>
                <w:lang w:val="en-US" w:eastAsia="zh-CN"/>
              </w:rPr>
              <w:t>用于矿区北部场地回填</w:t>
            </w:r>
            <w:r>
              <w:rPr>
                <w:rFonts w:hint="eastAsia" w:ascii="Times New Roman" w:hAnsi="Times New Roman"/>
                <w:color w:val="auto"/>
                <w:sz w:val="26"/>
                <w:szCs w:val="26"/>
                <w:highlight w:val="none"/>
                <w:vertAlign w:val="baseline"/>
              </w:rPr>
              <w:t>，不外排，符合环发[2005]109号《矿山生态环境保护与污染防治技术政策》要求。</w:t>
            </w:r>
          </w:p>
          <w:p w14:paraId="7E1DE1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宋体"/>
                <w:b/>
                <w:bCs/>
                <w:color w:val="auto"/>
                <w:sz w:val="26"/>
                <w:szCs w:val="26"/>
                <w:highlight w:val="none"/>
                <w:lang w:val="en-US" w:eastAsia="zh-CN"/>
              </w:rPr>
            </w:pPr>
            <w:r>
              <w:rPr>
                <w:rFonts w:hint="eastAsia" w:ascii="Times New Roman" w:hAnsi="Times New Roman"/>
                <w:b/>
                <w:bCs/>
                <w:color w:val="auto"/>
                <w:sz w:val="26"/>
                <w:szCs w:val="26"/>
                <w:highlight w:val="none"/>
                <w:lang w:val="en-US" w:eastAsia="zh-CN"/>
              </w:rPr>
              <w:t>7、</w:t>
            </w:r>
            <w:r>
              <w:rPr>
                <w:rFonts w:hint="eastAsia" w:ascii="Times New Roman" w:hAnsi="Times New Roman" w:eastAsia="宋体"/>
                <w:b/>
                <w:bCs/>
                <w:color w:val="auto"/>
                <w:sz w:val="26"/>
                <w:szCs w:val="26"/>
                <w:highlight w:val="none"/>
                <w:lang w:val="en-US" w:eastAsia="zh-CN"/>
              </w:rPr>
              <w:t>与《云南省矿产资源总体规划（2016-2020）》符合性</w:t>
            </w:r>
          </w:p>
          <w:p w14:paraId="70AF906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本项目开采</w:t>
            </w:r>
            <w:r>
              <w:rPr>
                <w:rFonts w:hint="eastAsia" w:ascii="Times New Roman" w:hAnsi="Times New Roman"/>
                <w:color w:val="auto"/>
                <w:sz w:val="26"/>
                <w:szCs w:val="26"/>
                <w:highlight w:val="none"/>
                <w:vertAlign w:val="baseline"/>
                <w:lang w:val="en-US" w:eastAsia="zh-CN"/>
              </w:rPr>
              <w:t>对象为建筑材料用石灰岩矿</w:t>
            </w:r>
            <w:r>
              <w:rPr>
                <w:rFonts w:hint="eastAsia" w:ascii="Times New Roman" w:hAnsi="Times New Roman"/>
                <w:color w:val="auto"/>
                <w:sz w:val="26"/>
                <w:szCs w:val="26"/>
                <w:highlight w:val="none"/>
                <w:vertAlign w:val="baseline"/>
              </w:rPr>
              <w:t>，属于非金属矿开采，矿区内未发现其他伴生矿，根据《云南省矿产资源总体规划》，</w:t>
            </w:r>
            <w:r>
              <w:rPr>
                <w:rFonts w:hint="eastAsia" w:ascii="Times New Roman" w:hAnsi="Times New Roman"/>
                <w:color w:val="auto"/>
                <w:sz w:val="26"/>
                <w:szCs w:val="26"/>
                <w:highlight w:val="none"/>
                <w:vertAlign w:val="baseline"/>
                <w:lang w:val="en-US" w:eastAsia="zh-CN"/>
              </w:rPr>
              <w:t>石灰岩矿</w:t>
            </w:r>
            <w:r>
              <w:rPr>
                <w:rFonts w:hint="eastAsia" w:ascii="Times New Roman" w:hAnsi="Times New Roman"/>
                <w:color w:val="auto"/>
                <w:sz w:val="26"/>
                <w:szCs w:val="26"/>
                <w:highlight w:val="none"/>
                <w:vertAlign w:val="baseline"/>
              </w:rPr>
              <w:t>不属于禁止开采的矿种，矿山所在区域不属于划定的限制开采区域，且矿区不在重要湖泊、河流、水源地、城市周边面山、重要基础设施、重大工程设施、军事禁区、地质灾害危险区、自然保护区的核心区以及国家和省重点保护的不能移动的历史文物、名胜古迹所在地，矿业活动不会对环境造成严重污染的。</w:t>
            </w:r>
          </w:p>
          <w:p w14:paraId="34AFF5B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因此，本项目的建设符合《云南省矿产资源总体规划（2016-2020）》。</w:t>
            </w:r>
          </w:p>
          <w:p w14:paraId="1D72F0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b/>
                <w:bCs/>
                <w:color w:val="auto"/>
                <w:sz w:val="26"/>
                <w:szCs w:val="26"/>
                <w:highlight w:val="none"/>
                <w:lang w:val="en-US" w:eastAsia="zh-CN"/>
              </w:rPr>
            </w:pPr>
            <w:r>
              <w:rPr>
                <w:rFonts w:hint="eastAsia" w:ascii="Times New Roman" w:hAnsi="Times New Roman"/>
                <w:b/>
                <w:bCs/>
                <w:color w:val="auto"/>
                <w:sz w:val="26"/>
                <w:szCs w:val="26"/>
                <w:highlight w:val="none"/>
                <w:lang w:val="en-US" w:eastAsia="zh-CN"/>
              </w:rPr>
              <w:t>8、与《云南省人民政府关于促进非煤矿山转型升级的实施意见》（云政发〔2015〕38号）符合性分析</w:t>
            </w:r>
          </w:p>
          <w:p w14:paraId="4B2186A6">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b/>
                <w:bCs/>
                <w:color w:val="auto"/>
                <w:sz w:val="21"/>
                <w:szCs w:val="21"/>
                <w:highlight w:val="none"/>
                <w:vertAlign w:val="baseline"/>
              </w:rPr>
            </w:pPr>
          </w:p>
          <w:p w14:paraId="5DF75433">
            <w:pPr>
              <w:pStyle w:val="15"/>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b/>
                <w:bCs/>
                <w:color w:val="auto"/>
                <w:sz w:val="21"/>
                <w:szCs w:val="21"/>
                <w:highlight w:val="none"/>
                <w:vertAlign w:val="baseline"/>
              </w:rPr>
            </w:pPr>
            <w:r>
              <w:rPr>
                <w:rFonts w:hint="eastAsia" w:ascii="Times New Roman" w:hAnsi="Times New Roman"/>
                <w:b/>
                <w:bCs/>
                <w:color w:val="auto"/>
                <w:sz w:val="21"/>
                <w:szCs w:val="21"/>
                <w:highlight w:val="none"/>
                <w:vertAlign w:val="baseline"/>
              </w:rPr>
              <w:t>表</w:t>
            </w:r>
            <w:r>
              <w:rPr>
                <w:rFonts w:hint="eastAsia" w:ascii="Times New Roman" w:hAnsi="Times New Roman"/>
                <w:b/>
                <w:bCs/>
                <w:color w:val="auto"/>
                <w:sz w:val="21"/>
                <w:szCs w:val="21"/>
                <w:highlight w:val="none"/>
                <w:vertAlign w:val="baseline"/>
                <w:lang w:val="en-US" w:eastAsia="zh-CN"/>
              </w:rPr>
              <w:t>7-14</w:t>
            </w:r>
            <w:r>
              <w:rPr>
                <w:rFonts w:hint="eastAsia" w:ascii="Times New Roman" w:hAnsi="Times New Roman"/>
                <w:b/>
                <w:bCs/>
                <w:color w:val="auto"/>
                <w:sz w:val="21"/>
                <w:szCs w:val="21"/>
                <w:highlight w:val="none"/>
                <w:vertAlign w:val="baseline"/>
              </w:rPr>
              <w:t>与《云南省人民政府关于促进非煤矿山转型升级的实施意见》符合性分析</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3798"/>
              <w:gridCol w:w="3549"/>
              <w:gridCol w:w="491"/>
            </w:tblGrid>
            <w:tr w14:paraId="7EB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4" w:type="pct"/>
                  <w:vAlign w:val="center"/>
                </w:tcPr>
                <w:p w14:paraId="6E633728">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序号</w:t>
                  </w:r>
                </w:p>
              </w:tc>
              <w:tc>
                <w:tcPr>
                  <w:tcW w:w="2289" w:type="pct"/>
                  <w:vAlign w:val="center"/>
                </w:tcPr>
                <w:p w14:paraId="2C003C40">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《云南省人民政府关于促进非煤矿山</w:t>
                  </w:r>
                </w:p>
                <w:p w14:paraId="4D5C12A9">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转型升级的实施意见》对现有非煤矿</w:t>
                  </w:r>
                </w:p>
                <w:p w14:paraId="6CC7F5B2">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山的要求</w:t>
                  </w:r>
                </w:p>
              </w:tc>
              <w:tc>
                <w:tcPr>
                  <w:tcW w:w="2139" w:type="pct"/>
                  <w:vAlign w:val="center"/>
                </w:tcPr>
                <w:p w14:paraId="2E4BB3C7">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本项目情况</w:t>
                  </w:r>
                </w:p>
              </w:tc>
              <w:tc>
                <w:tcPr>
                  <w:tcW w:w="296" w:type="pct"/>
                  <w:vAlign w:val="center"/>
                </w:tcPr>
                <w:p w14:paraId="4CAE3387">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符合性</w:t>
                  </w:r>
                </w:p>
                <w:p w14:paraId="7991607B">
                  <w:pPr>
                    <w:pStyle w:val="11"/>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p>
              </w:tc>
            </w:tr>
            <w:tr w14:paraId="2864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4" w:type="pct"/>
                  <w:vAlign w:val="center"/>
                </w:tcPr>
                <w:p w14:paraId="7B10726F">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2289" w:type="pct"/>
                  <w:vAlign w:val="center"/>
                </w:tcPr>
                <w:p w14:paraId="49A63D57">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云南省非煤矿山最小开采规模和最低服务年限的规定：建筑用石料类(饰面用除外)</w:t>
                  </w:r>
                </w:p>
                <w:p w14:paraId="3CA81B8F">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新建</w:t>
                  </w:r>
                  <w:r>
                    <w:rPr>
                      <w:rFonts w:hint="default" w:ascii="Times New Roman" w:hAnsi="Times New Roman" w:cs="Times New Roman"/>
                      <w:color w:val="auto"/>
                      <w:highlight w:val="none"/>
                      <w:lang w:val="en-US" w:eastAsia="zh-CN"/>
                    </w:rPr>
                    <w:t>矿山最小开采规模≥</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0万吨/a的，露天开采矿山最低服务年限6年的。矿山符合已批准的矿产资源规划、矿权业设置方案和矿区总体规划。</w:t>
                  </w:r>
                </w:p>
              </w:tc>
              <w:tc>
                <w:tcPr>
                  <w:tcW w:w="2139" w:type="pct"/>
                  <w:vAlign w:val="center"/>
                </w:tcPr>
                <w:p w14:paraId="5FED197E">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项目属于</w:t>
                  </w:r>
                  <w:r>
                    <w:rPr>
                      <w:rFonts w:hint="eastAsia" w:ascii="Times New Roman" w:hAnsi="Times New Roman" w:cs="Times New Roman"/>
                      <w:color w:val="auto"/>
                      <w:highlight w:val="none"/>
                      <w:lang w:val="en-US" w:eastAsia="zh-CN"/>
                    </w:rPr>
                    <w:t>建筑用材用石灰岩矿</w:t>
                  </w:r>
                  <w:r>
                    <w:rPr>
                      <w:rFonts w:hint="default" w:ascii="Times New Roman" w:hAnsi="Times New Roman" w:cs="Times New Roman"/>
                      <w:color w:val="auto"/>
                      <w:highlight w:val="none"/>
                      <w:lang w:val="en-US" w:eastAsia="zh-CN"/>
                    </w:rPr>
                    <w:t>露天开采，矿山设计的可持续生产服务年限20.</w:t>
                  </w:r>
                  <w:r>
                    <w:rPr>
                      <w:rFonts w:hint="eastAsia" w:ascii="Times New Roman" w:hAnsi="Times New Roman" w:cs="Times New Roman"/>
                      <w:color w:val="auto"/>
                      <w:highlight w:val="none"/>
                      <w:lang w:val="en-US" w:eastAsia="zh-CN"/>
                    </w:rPr>
                    <w:t>96</w:t>
                  </w:r>
                  <w:r>
                    <w:rPr>
                      <w:rFonts w:hint="default" w:ascii="Times New Roman" w:hAnsi="Times New Roman" w:cs="Times New Roman"/>
                      <w:color w:val="auto"/>
                      <w:highlight w:val="none"/>
                      <w:lang w:val="en-US" w:eastAsia="zh-CN"/>
                    </w:rPr>
                    <w:t>年，年生产规模</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lang w:val="en-US" w:eastAsia="zh-CN"/>
                    </w:rPr>
                    <w:t>万t/a。</w:t>
                  </w:r>
                </w:p>
              </w:tc>
              <w:tc>
                <w:tcPr>
                  <w:tcW w:w="296" w:type="pct"/>
                  <w:vAlign w:val="center"/>
                </w:tcPr>
                <w:p w14:paraId="773332D3">
                  <w:pPr>
                    <w:pStyle w:val="11"/>
                    <w:bidi w:val="0"/>
                    <w:outlineLvl w:val="9"/>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符合</w:t>
                  </w:r>
                </w:p>
              </w:tc>
            </w:tr>
            <w:tr w14:paraId="73BD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4" w:type="pct"/>
                  <w:vAlign w:val="center"/>
                </w:tcPr>
                <w:p w14:paraId="0F67F4DE">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2289" w:type="pct"/>
                  <w:vAlign w:val="center"/>
                </w:tcPr>
                <w:p w14:paraId="04E20B24">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位于国家划定的自然保护区、要风景区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国家重点保护的不能移动的历史文物和名胜古迹所在地等区域,以及位于重要城镇、城市面山的</w:t>
                  </w:r>
                  <w:r>
                    <w:rPr>
                      <w:rFonts w:hint="eastAsia" w:ascii="Times New Roman" w:hAnsi="Times New Roman" w:cs="Times New Roman"/>
                      <w:color w:val="auto"/>
                      <w:highlight w:val="none"/>
                      <w:lang w:val="en-US" w:eastAsia="zh-CN"/>
                    </w:rPr>
                    <w:t>不予批准。</w:t>
                  </w:r>
                </w:p>
              </w:tc>
              <w:tc>
                <w:tcPr>
                  <w:tcW w:w="2139" w:type="pct"/>
                  <w:vAlign w:val="center"/>
                </w:tcPr>
                <w:p w14:paraId="1D096C65">
                  <w:pPr>
                    <w:pStyle w:val="11"/>
                    <w:keepNext w:val="0"/>
                    <w:keepLines w:val="0"/>
                    <w:pageBreakBefore w:val="0"/>
                    <w:widowControl w:val="0"/>
                    <w:kinsoku/>
                    <w:wordWrap/>
                    <w:overflowPunct/>
                    <w:topLinePunct w:val="0"/>
                    <w:autoSpaceDE/>
                    <w:autoSpaceDN/>
                    <w:bidi w:val="0"/>
                    <w:adjustRightInd/>
                    <w:snapToGrid/>
                    <w:outlineLvl w:val="9"/>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本项目不</w:t>
                  </w:r>
                  <w:r>
                    <w:rPr>
                      <w:rFonts w:hint="default" w:ascii="Times New Roman" w:hAnsi="Times New Roman" w:cs="Times New Roman"/>
                      <w:color w:val="auto"/>
                      <w:highlight w:val="none"/>
                    </w:rPr>
                    <w:t>位于国家划定的自然保护区、要风景区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国家重点保护的不能移动的历史文物和名胜古迹所在地等区域</w:t>
                  </w:r>
                  <w:r>
                    <w:rPr>
                      <w:rFonts w:hint="eastAsia" w:ascii="Times New Roman" w:hAnsi="Times New Roman" w:cs="Times New Roman"/>
                      <w:color w:val="auto"/>
                      <w:highlight w:val="none"/>
                      <w:lang w:eastAsia="zh-CN"/>
                    </w:rPr>
                    <w:t>。</w:t>
                  </w:r>
                </w:p>
              </w:tc>
              <w:tc>
                <w:tcPr>
                  <w:tcW w:w="296" w:type="pct"/>
                  <w:vAlign w:val="center"/>
                </w:tcPr>
                <w:p w14:paraId="0F17FC2D">
                  <w:pPr>
                    <w:pStyle w:val="11"/>
                    <w:bidi w:val="0"/>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符合</w:t>
                  </w:r>
                </w:p>
              </w:tc>
            </w:tr>
            <w:tr w14:paraId="2D8E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4" w:type="pct"/>
                  <w:vAlign w:val="center"/>
                </w:tcPr>
                <w:p w14:paraId="5D73AC21">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p>
              </w:tc>
              <w:tc>
                <w:tcPr>
                  <w:tcW w:w="2289" w:type="pct"/>
                  <w:vAlign w:val="center"/>
                </w:tcPr>
                <w:p w14:paraId="22FE3030">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露天采石（砂）场矿界与村庄的距离小于500米，矿界与矿界之间安全距离小于300米，2个以上（含2个）露天采石（砂）场开采同一独立山头，难以实现自上而下分台阶（层）开采，位于铁路、高速公路、国道、省道等重要交通干线和重要旅游线路两侧可视范围内(本文印发之前已取得合法探矿权的除外)。</w:t>
                  </w:r>
                </w:p>
              </w:tc>
              <w:tc>
                <w:tcPr>
                  <w:tcW w:w="2139" w:type="pct"/>
                  <w:vAlign w:val="center"/>
                </w:tcPr>
                <w:p w14:paraId="40E3055E">
                  <w:pPr>
                    <w:pStyle w:val="11"/>
                    <w:keepNext w:val="0"/>
                    <w:keepLines w:val="0"/>
                    <w:pageBreakBefore w:val="0"/>
                    <w:widowControl w:val="0"/>
                    <w:kinsoku/>
                    <w:wordWrap/>
                    <w:overflowPunct/>
                    <w:topLinePunct w:val="0"/>
                    <w:autoSpaceDE/>
                    <w:autoSpaceDN/>
                    <w:bidi w:val="0"/>
                    <w:adjustRightInd/>
                    <w:snapToGrid/>
                    <w:jc w:val="center"/>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与项目矿界最近的村庄为</w:t>
                  </w:r>
                  <w:r>
                    <w:rPr>
                      <w:rFonts w:hint="eastAsia" w:ascii="Times New Roman" w:hAnsi="Times New Roman" w:cs="Times New Roman"/>
                      <w:color w:val="auto"/>
                      <w:highlight w:val="none"/>
                      <w:lang w:val="en-US" w:eastAsia="zh-CN"/>
                    </w:rPr>
                    <w:t>排子田散户</w:t>
                  </w:r>
                  <w:r>
                    <w:rPr>
                      <w:rFonts w:hint="default" w:ascii="Times New Roman" w:hAnsi="Times New Roman" w:cs="Times New Roman"/>
                      <w:color w:val="auto"/>
                      <w:highlight w:val="none"/>
                      <w:lang w:val="en-US" w:eastAsia="zh-CN"/>
                    </w:rPr>
                    <w:t>，相距约5</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0m；项目周围仅本项目一个矿权；本项目设计采用自上而下的开采方式</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项目周边无铁路、</w:t>
                  </w:r>
                  <w:r>
                    <w:rPr>
                      <w:rFonts w:hint="eastAsia" w:cs="Times New Roman"/>
                      <w:color w:val="auto"/>
                      <w:highlight w:val="none"/>
                      <w:lang w:val="en-US" w:eastAsia="zh-CN"/>
                    </w:rPr>
                    <w:t>国</w:t>
                  </w:r>
                  <w:r>
                    <w:rPr>
                      <w:rFonts w:hint="default" w:ascii="Times New Roman" w:hAnsi="Times New Roman" w:cs="Times New Roman"/>
                      <w:color w:val="auto"/>
                      <w:highlight w:val="none"/>
                      <w:lang w:val="en-US" w:eastAsia="zh-CN"/>
                    </w:rPr>
                    <w:t>道等重要交通干线和重要旅游线路两侧可视范围内</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东侧有高速公路</w:t>
                  </w:r>
                  <w:r>
                    <w:rPr>
                      <w:rFonts w:hint="eastAsia" w:cs="Times New Roman"/>
                      <w:color w:val="auto"/>
                      <w:highlight w:val="none"/>
                      <w:lang w:val="en-US" w:eastAsia="zh-CN"/>
                    </w:rPr>
                    <w:t>，距离约</w:t>
                  </w:r>
                  <w:r>
                    <w:rPr>
                      <w:rFonts w:hint="default" w:ascii="Times New Roman" w:hAnsi="Times New Roman" w:cs="Times New Roman"/>
                      <w:color w:val="auto"/>
                      <w:highlight w:val="none"/>
                      <w:lang w:val="en-US" w:eastAsia="zh-CN"/>
                    </w:rPr>
                    <w:t>620m，</w:t>
                  </w:r>
                  <w:r>
                    <w:rPr>
                      <w:rFonts w:hint="eastAsia" w:cs="Times New Roman"/>
                      <w:color w:val="auto"/>
                      <w:highlight w:val="none"/>
                      <w:lang w:val="en-US" w:eastAsia="zh-CN"/>
                    </w:rPr>
                    <w:t>距离</w:t>
                  </w:r>
                  <w:r>
                    <w:rPr>
                      <w:rFonts w:hint="default" w:ascii="Times New Roman" w:hAnsi="Times New Roman" w:cs="Times New Roman"/>
                      <w:color w:val="auto"/>
                      <w:highlight w:val="none"/>
                      <w:lang w:val="en-US" w:eastAsia="zh-CN"/>
                    </w:rPr>
                    <w:t>龙东格国道</w:t>
                  </w:r>
                  <w:r>
                    <w:rPr>
                      <w:rFonts w:hint="eastAsia" w:cs="Times New Roman"/>
                      <w:color w:val="auto"/>
                      <w:highlight w:val="none"/>
                      <w:lang w:val="en-US" w:eastAsia="zh-CN"/>
                    </w:rPr>
                    <w:t>约</w:t>
                  </w:r>
                  <w:r>
                    <w:rPr>
                      <w:rFonts w:hint="default" w:ascii="Times New Roman" w:hAnsi="Times New Roman" w:cs="Times New Roman"/>
                      <w:color w:val="auto"/>
                      <w:highlight w:val="none"/>
                      <w:lang w:val="en-US" w:eastAsia="zh-CN"/>
                    </w:rPr>
                    <w:t>540m，位于可视范围内</w:t>
                  </w:r>
                  <w:r>
                    <w:rPr>
                      <w:rFonts w:hint="eastAsia" w:cs="Times New Roman"/>
                      <w:color w:val="auto"/>
                      <w:highlight w:val="none"/>
                      <w:lang w:val="en-US" w:eastAsia="zh-CN"/>
                    </w:rPr>
                    <w:t>。但本项目所属矿权首次设立于2003年，在（云政发〔2015〕38号）前取得探矿权。</w:t>
                  </w:r>
                </w:p>
              </w:tc>
              <w:tc>
                <w:tcPr>
                  <w:tcW w:w="296" w:type="pct"/>
                  <w:vAlign w:val="center"/>
                </w:tcPr>
                <w:p w14:paraId="3E312D76">
                  <w:pPr>
                    <w:pStyle w:val="11"/>
                    <w:bidi w:val="0"/>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符合</w:t>
                  </w:r>
                </w:p>
              </w:tc>
            </w:tr>
            <w:tr w14:paraId="79DF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4" w:type="pct"/>
                  <w:vAlign w:val="center"/>
                </w:tcPr>
                <w:p w14:paraId="36E2ABC1">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w:t>
                  </w:r>
                </w:p>
              </w:tc>
              <w:tc>
                <w:tcPr>
                  <w:tcW w:w="2289" w:type="pct"/>
                  <w:vAlign w:val="center"/>
                </w:tcPr>
                <w:p w14:paraId="2DF55953">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新设采矿权必须符合矿产资源规划、产业政策和矿业权设置方案,除同属1个矿业权人的情形外,矿业权在垂直投影范围内不得重</w:t>
                  </w:r>
                  <w:r>
                    <w:rPr>
                      <w:rFonts w:hint="eastAsia" w:ascii="Times New Roman" w:hAnsi="Times New Roman" w:cs="Times New Roman"/>
                      <w:color w:val="auto"/>
                      <w:highlight w:val="none"/>
                      <w:lang w:val="en-US" w:eastAsia="zh-CN"/>
                    </w:rPr>
                    <w:t>叠，</w:t>
                  </w:r>
                  <w:r>
                    <w:rPr>
                      <w:rFonts w:hint="default" w:ascii="Times New Roman" w:hAnsi="Times New Roman" w:cs="Times New Roman"/>
                      <w:color w:val="auto"/>
                      <w:highlight w:val="none"/>
                      <w:lang w:val="en-US" w:eastAsia="zh-CN"/>
                    </w:rPr>
                    <w:t>依据固体矿产勘查评价的基本单元及开采规划,应统</w:t>
                  </w:r>
                  <w:r>
                    <w:rPr>
                      <w:rFonts w:hint="eastAsia"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val="en-US" w:eastAsia="zh-CN"/>
                    </w:rPr>
                    <w:t>开采的矿床,只能设立1个采矿权。</w:t>
                  </w:r>
                </w:p>
              </w:tc>
              <w:tc>
                <w:tcPr>
                  <w:tcW w:w="2139" w:type="pct"/>
                  <w:vAlign w:val="center"/>
                </w:tcPr>
                <w:p w14:paraId="39C04D22">
                  <w:pPr>
                    <w:pStyle w:val="11"/>
                    <w:keepNext w:val="0"/>
                    <w:keepLines w:val="0"/>
                    <w:pageBreakBefore w:val="0"/>
                    <w:widowControl w:val="0"/>
                    <w:kinsoku/>
                    <w:wordWrap/>
                    <w:overflowPunct/>
                    <w:topLinePunct w:val="0"/>
                    <w:autoSpaceDE/>
                    <w:autoSpaceDN/>
                    <w:bidi w:val="0"/>
                    <w:adjustRightInd/>
                    <w:snapToGrid/>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本项目新设了1个立采矿权，</w:t>
                  </w:r>
                  <w:r>
                    <w:rPr>
                      <w:rFonts w:hint="default" w:ascii="Times New Roman" w:hAnsi="Times New Roman" w:cs="Times New Roman"/>
                      <w:color w:val="auto"/>
                      <w:highlight w:val="none"/>
                      <w:lang w:val="en-US" w:eastAsia="zh-CN"/>
                    </w:rPr>
                    <w:t>符合矿产资源规划、产业政策</w:t>
                  </w:r>
                  <w:r>
                    <w:rPr>
                      <w:rFonts w:hint="eastAsia" w:ascii="Times New Roman" w:hAnsi="Times New Roman" w:cs="Times New Roman"/>
                      <w:color w:val="auto"/>
                      <w:highlight w:val="none"/>
                      <w:lang w:val="en-US" w:eastAsia="zh-CN"/>
                    </w:rPr>
                    <w:t>，矿业权在</w:t>
                  </w:r>
                  <w:r>
                    <w:rPr>
                      <w:rFonts w:hint="default" w:ascii="Times New Roman" w:hAnsi="Times New Roman" w:cs="Times New Roman"/>
                      <w:color w:val="auto"/>
                      <w:highlight w:val="none"/>
                      <w:lang w:val="en-US" w:eastAsia="zh-CN"/>
                    </w:rPr>
                    <w:t>垂直投影范围内</w:t>
                  </w:r>
                  <w:r>
                    <w:rPr>
                      <w:rFonts w:hint="eastAsia" w:ascii="Times New Roman" w:hAnsi="Times New Roman" w:cs="Times New Roman"/>
                      <w:color w:val="auto"/>
                      <w:highlight w:val="none"/>
                      <w:lang w:val="en-US" w:eastAsia="zh-CN"/>
                    </w:rPr>
                    <w:t>没有重叠。</w:t>
                  </w:r>
                </w:p>
              </w:tc>
              <w:tc>
                <w:tcPr>
                  <w:tcW w:w="296" w:type="pct"/>
                  <w:vAlign w:val="center"/>
                </w:tcPr>
                <w:p w14:paraId="7A2C208A">
                  <w:pPr>
                    <w:pStyle w:val="11"/>
                    <w:bidi w:val="0"/>
                    <w:outlineLvl w:val="9"/>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符合</w:t>
                  </w:r>
                </w:p>
              </w:tc>
            </w:tr>
          </w:tbl>
          <w:p w14:paraId="72AD3EE7">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 w:val="26"/>
                <w:szCs w:val="26"/>
                <w:highlight w:val="none"/>
                <w:vertAlign w:val="baseline"/>
              </w:rPr>
            </w:pPr>
            <w:r>
              <w:rPr>
                <w:rFonts w:hint="eastAsia" w:ascii="Times New Roman" w:hAnsi="Times New Roman"/>
                <w:color w:val="auto"/>
                <w:sz w:val="26"/>
                <w:szCs w:val="26"/>
                <w:highlight w:val="none"/>
                <w:vertAlign w:val="baseline"/>
              </w:rPr>
              <w:t>综上所述，项目的建设基本符合《云南省人民政府关于促进非煤矿山转型升级的实施意见》（云政发[2015]38号）。</w:t>
            </w:r>
          </w:p>
          <w:p w14:paraId="40D28D79">
            <w:pPr>
              <w:pStyle w:val="50"/>
              <w:keepNext/>
              <w:keepLines/>
              <w:pageBreakBefore w:val="0"/>
              <w:widowControl w:val="0"/>
              <w:kinsoku/>
              <w:wordWrap/>
              <w:overflowPunct/>
              <w:topLinePunct w:val="0"/>
              <w:autoSpaceDE/>
              <w:autoSpaceDN/>
              <w:bidi w:val="0"/>
              <w:adjustRightInd/>
              <w:snapToGrid/>
              <w:spacing w:beforeLines="0" w:afterLines="0"/>
              <w:jc w:val="both"/>
              <w:textAlignment w:val="auto"/>
              <w:outlineLvl w:val="9"/>
              <w:rPr>
                <w:color w:val="auto"/>
                <w:sz w:val="24"/>
                <w:szCs w:val="24"/>
                <w:highlight w:val="none"/>
              </w:rPr>
            </w:pPr>
            <w:bookmarkStart w:id="47" w:name="_Toc11388"/>
            <w:bookmarkStart w:id="48" w:name="_Toc29160"/>
            <w:bookmarkStart w:id="49" w:name="_Toc24221"/>
            <w:r>
              <w:rPr>
                <w:rFonts w:hint="eastAsia"/>
                <w:color w:val="auto"/>
                <w:sz w:val="24"/>
                <w:szCs w:val="24"/>
                <w:highlight w:val="none"/>
                <w:lang w:val="en-US" w:eastAsia="zh-CN"/>
              </w:rPr>
              <w:t>二</w:t>
            </w:r>
            <w:r>
              <w:rPr>
                <w:color w:val="auto"/>
                <w:sz w:val="24"/>
                <w:szCs w:val="24"/>
                <w:highlight w:val="none"/>
              </w:rPr>
              <w:t>、监</w:t>
            </w:r>
            <w:r>
              <w:rPr>
                <w:rFonts w:hint="eastAsia"/>
                <w:color w:val="auto"/>
                <w:sz w:val="24"/>
                <w:szCs w:val="24"/>
                <w:highlight w:val="none"/>
              </w:rPr>
              <w:t>理</w:t>
            </w:r>
            <w:r>
              <w:rPr>
                <w:color w:val="auto"/>
                <w:sz w:val="24"/>
                <w:szCs w:val="24"/>
                <w:highlight w:val="none"/>
              </w:rPr>
              <w:t>计划</w:t>
            </w:r>
            <w:bookmarkEnd w:id="47"/>
            <w:bookmarkEnd w:id="48"/>
            <w:bookmarkEnd w:id="49"/>
          </w:p>
          <w:p w14:paraId="6A05142C">
            <w:pPr>
              <w:spacing w:line="360" w:lineRule="auto"/>
              <w:ind w:firstLine="422" w:firstLineChars="200"/>
              <w:jc w:val="center"/>
              <w:rPr>
                <w:b/>
                <w:bCs/>
                <w:color w:val="auto"/>
                <w:sz w:val="21"/>
                <w:szCs w:val="21"/>
                <w:highlight w:val="none"/>
              </w:rPr>
            </w:pPr>
            <w:r>
              <w:rPr>
                <w:rFonts w:hint="eastAsia"/>
                <w:b/>
                <w:bCs/>
                <w:color w:val="auto"/>
                <w:sz w:val="21"/>
                <w:szCs w:val="21"/>
                <w:highlight w:val="none"/>
              </w:rPr>
              <w:t>表7-</w:t>
            </w:r>
            <w:r>
              <w:rPr>
                <w:rFonts w:hint="eastAsia"/>
                <w:b/>
                <w:bCs/>
                <w:color w:val="auto"/>
                <w:sz w:val="21"/>
                <w:szCs w:val="21"/>
                <w:highlight w:val="none"/>
                <w:lang w:val="en-US" w:eastAsia="zh-CN"/>
              </w:rPr>
              <w:t>15施工期</w:t>
            </w:r>
            <w:r>
              <w:rPr>
                <w:rFonts w:hint="eastAsia"/>
                <w:b/>
                <w:bCs/>
                <w:color w:val="auto"/>
                <w:sz w:val="21"/>
                <w:szCs w:val="21"/>
                <w:highlight w:val="none"/>
              </w:rPr>
              <w:t>环境监理计划表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877"/>
              <w:gridCol w:w="5372"/>
              <w:gridCol w:w="832"/>
              <w:gridCol w:w="779"/>
            </w:tblGrid>
            <w:tr w14:paraId="351B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gridSpan w:val="2"/>
                  <w:noWrap w:val="0"/>
                  <w:vAlign w:val="center"/>
                </w:tcPr>
                <w:p w14:paraId="43F98B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监理内容</w:t>
                  </w:r>
                </w:p>
              </w:tc>
              <w:tc>
                <w:tcPr>
                  <w:tcW w:w="5372" w:type="dxa"/>
                  <w:noWrap w:val="0"/>
                  <w:vAlign w:val="center"/>
                </w:tcPr>
                <w:p w14:paraId="44099DB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监理要求</w:t>
                  </w:r>
                </w:p>
              </w:tc>
              <w:tc>
                <w:tcPr>
                  <w:tcW w:w="832" w:type="dxa"/>
                  <w:noWrap w:val="0"/>
                  <w:vAlign w:val="center"/>
                </w:tcPr>
                <w:p w14:paraId="23723F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实施机构</w:t>
                  </w:r>
                </w:p>
              </w:tc>
              <w:tc>
                <w:tcPr>
                  <w:tcW w:w="779" w:type="dxa"/>
                  <w:noWrap w:val="0"/>
                  <w:vAlign w:val="center"/>
                </w:tcPr>
                <w:p w14:paraId="417729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监督机构</w:t>
                  </w:r>
                </w:p>
              </w:tc>
            </w:tr>
            <w:tr w14:paraId="5F57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dxa"/>
                  <w:vMerge w:val="restart"/>
                  <w:noWrap w:val="0"/>
                  <w:vAlign w:val="center"/>
                </w:tcPr>
                <w:p w14:paraId="1534E2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施工期</w:t>
                  </w:r>
                </w:p>
              </w:tc>
              <w:tc>
                <w:tcPr>
                  <w:tcW w:w="877" w:type="dxa"/>
                  <w:noWrap w:val="0"/>
                  <w:vAlign w:val="center"/>
                </w:tcPr>
                <w:p w14:paraId="169DFC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建筑垃圾、生活垃圾</w:t>
                  </w:r>
                </w:p>
              </w:tc>
              <w:tc>
                <w:tcPr>
                  <w:tcW w:w="5372" w:type="dxa"/>
                  <w:noWrap w:val="0"/>
                  <w:vAlign w:val="center"/>
                </w:tcPr>
                <w:p w14:paraId="204F24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及时清运处置</w:t>
                  </w:r>
                </w:p>
              </w:tc>
              <w:tc>
                <w:tcPr>
                  <w:tcW w:w="832" w:type="dxa"/>
                  <w:vMerge w:val="restart"/>
                  <w:noWrap w:val="0"/>
                  <w:vAlign w:val="center"/>
                </w:tcPr>
                <w:p w14:paraId="124D74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建设单位</w:t>
                  </w:r>
                </w:p>
              </w:tc>
              <w:tc>
                <w:tcPr>
                  <w:tcW w:w="779" w:type="dxa"/>
                  <w:vMerge w:val="restart"/>
                  <w:noWrap w:val="0"/>
                  <w:vAlign w:val="center"/>
                </w:tcPr>
                <w:p w14:paraId="630289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昆明市生态环境局东川分局</w:t>
                  </w:r>
                </w:p>
              </w:tc>
            </w:tr>
            <w:tr w14:paraId="2327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dxa"/>
                  <w:vMerge w:val="continue"/>
                  <w:noWrap w:val="0"/>
                  <w:vAlign w:val="center"/>
                </w:tcPr>
                <w:p w14:paraId="469315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p>
              </w:tc>
              <w:tc>
                <w:tcPr>
                  <w:tcW w:w="877" w:type="dxa"/>
                  <w:noWrap w:val="0"/>
                  <w:vAlign w:val="center"/>
                </w:tcPr>
                <w:p w14:paraId="5422A8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施工扬尘</w:t>
                  </w:r>
                </w:p>
              </w:tc>
              <w:tc>
                <w:tcPr>
                  <w:tcW w:w="5372" w:type="dxa"/>
                  <w:noWrap w:val="0"/>
                  <w:vAlign w:val="center"/>
                </w:tcPr>
                <w:p w14:paraId="250FE0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及时喷水抑尘；场界设置临时围挡；施工中使用商品混凝土；对需要回填的土方及石子、砂子等进行定期洒水或网布遮盖抑尘；清理施工建筑垃圾时严禁任何人随意凌空抛散；对易产尘的材料，实行轻卸慢放等</w:t>
                  </w:r>
                </w:p>
              </w:tc>
              <w:tc>
                <w:tcPr>
                  <w:tcW w:w="832" w:type="dxa"/>
                  <w:vMerge w:val="continue"/>
                  <w:noWrap w:val="0"/>
                  <w:vAlign w:val="center"/>
                </w:tcPr>
                <w:p w14:paraId="5C0A2F5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c>
                <w:tcPr>
                  <w:tcW w:w="779" w:type="dxa"/>
                  <w:vMerge w:val="continue"/>
                  <w:noWrap w:val="0"/>
                  <w:vAlign w:val="center"/>
                </w:tcPr>
                <w:p w14:paraId="76C715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r>
            <w:tr w14:paraId="689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dxa"/>
                  <w:vMerge w:val="continue"/>
                  <w:noWrap w:val="0"/>
                  <w:vAlign w:val="center"/>
                </w:tcPr>
                <w:p w14:paraId="6670725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p>
              </w:tc>
              <w:tc>
                <w:tcPr>
                  <w:tcW w:w="877" w:type="dxa"/>
                  <w:noWrap w:val="0"/>
                  <w:vAlign w:val="center"/>
                </w:tcPr>
                <w:p w14:paraId="7D8DE2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施工噪声</w:t>
                  </w:r>
                </w:p>
              </w:tc>
              <w:tc>
                <w:tcPr>
                  <w:tcW w:w="5372" w:type="dxa"/>
                  <w:noWrap w:val="0"/>
                  <w:vAlign w:val="center"/>
                </w:tcPr>
                <w:p w14:paraId="3812E19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使用的主要机械设备为低噪声机械设备，同时在施工过程中施工单位应设专人对设备进行定期保养和维护，并</w:t>
                  </w:r>
                  <w:r>
                    <w:rPr>
                      <w:rFonts w:hint="eastAsia"/>
                      <w:color w:val="auto"/>
                      <w:sz w:val="22"/>
                      <w:szCs w:val="22"/>
                      <w:highlight w:val="none"/>
                      <w:lang w:eastAsia="zh-CN"/>
                    </w:rPr>
                    <w:t>负责</w:t>
                  </w:r>
                  <w:r>
                    <w:rPr>
                      <w:rFonts w:hint="eastAsia" w:ascii="Times New Roman" w:hAnsi="Times New Roman"/>
                      <w:color w:val="auto"/>
                      <w:sz w:val="22"/>
                      <w:szCs w:val="22"/>
                      <w:highlight w:val="none"/>
                    </w:rPr>
                    <w:t>对现场工作人员进行培训，严格按操作规范使用各类机械。合理安排施工时间。使用商品混凝土，避免混凝土搅拌机等噪声的影响</w:t>
                  </w:r>
                </w:p>
              </w:tc>
              <w:tc>
                <w:tcPr>
                  <w:tcW w:w="832" w:type="dxa"/>
                  <w:vMerge w:val="continue"/>
                  <w:noWrap w:val="0"/>
                  <w:vAlign w:val="center"/>
                </w:tcPr>
                <w:p w14:paraId="27C491D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c>
                <w:tcPr>
                  <w:tcW w:w="779" w:type="dxa"/>
                  <w:vMerge w:val="continue"/>
                  <w:noWrap w:val="0"/>
                  <w:vAlign w:val="center"/>
                </w:tcPr>
                <w:p w14:paraId="68BCAC8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r>
            <w:tr w14:paraId="632A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dxa"/>
                  <w:vMerge w:val="continue"/>
                  <w:noWrap w:val="0"/>
                  <w:vAlign w:val="center"/>
                </w:tcPr>
                <w:p w14:paraId="1AA928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p>
              </w:tc>
              <w:tc>
                <w:tcPr>
                  <w:tcW w:w="877" w:type="dxa"/>
                  <w:noWrap w:val="0"/>
                  <w:vAlign w:val="center"/>
                </w:tcPr>
                <w:p w14:paraId="192B09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施工废水</w:t>
                  </w:r>
                </w:p>
              </w:tc>
              <w:tc>
                <w:tcPr>
                  <w:tcW w:w="5372" w:type="dxa"/>
                  <w:noWrap w:val="0"/>
                  <w:vAlign w:val="center"/>
                </w:tcPr>
                <w:p w14:paraId="4602FBE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Times New Roman" w:hAnsi="Times New Roman"/>
                      <w:color w:val="auto"/>
                      <w:sz w:val="22"/>
                      <w:szCs w:val="22"/>
                      <w:highlight w:val="none"/>
                    </w:rPr>
                  </w:pPr>
                  <w:r>
                    <w:rPr>
                      <w:rFonts w:hint="eastAsia" w:ascii="Times New Roman" w:hAnsi="Times New Roman"/>
                      <w:color w:val="auto"/>
                      <w:sz w:val="22"/>
                      <w:szCs w:val="22"/>
                      <w:highlight w:val="none"/>
                    </w:rPr>
                    <w:t>在施工过程中设置临时沉砂池，产生的施工废水经过沉淀处理后，回用于施工过程和喷酒工序</w:t>
                  </w:r>
                </w:p>
              </w:tc>
              <w:tc>
                <w:tcPr>
                  <w:tcW w:w="832" w:type="dxa"/>
                  <w:vMerge w:val="continue"/>
                  <w:noWrap w:val="0"/>
                  <w:vAlign w:val="center"/>
                </w:tcPr>
                <w:p w14:paraId="1457870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c>
                <w:tcPr>
                  <w:tcW w:w="779" w:type="dxa"/>
                  <w:vMerge w:val="continue"/>
                  <w:noWrap w:val="0"/>
                  <w:vAlign w:val="center"/>
                </w:tcPr>
                <w:p w14:paraId="0D86D57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color w:val="auto"/>
                      <w:sz w:val="22"/>
                      <w:szCs w:val="22"/>
                      <w:highlight w:val="none"/>
                    </w:rPr>
                  </w:pPr>
                </w:p>
              </w:tc>
            </w:tr>
          </w:tbl>
          <w:p w14:paraId="3287B614">
            <w:pPr>
              <w:pStyle w:val="50"/>
              <w:keepNext/>
              <w:keepLines/>
              <w:pageBreakBefore w:val="0"/>
              <w:widowControl w:val="0"/>
              <w:kinsoku/>
              <w:wordWrap/>
              <w:overflowPunct/>
              <w:topLinePunct w:val="0"/>
              <w:autoSpaceDE/>
              <w:autoSpaceDN/>
              <w:bidi w:val="0"/>
              <w:adjustRightInd/>
              <w:snapToGrid/>
              <w:spacing w:beforeLines="0" w:afterLines="0"/>
              <w:jc w:val="both"/>
              <w:textAlignment w:val="auto"/>
              <w:outlineLvl w:val="9"/>
              <w:rPr>
                <w:color w:val="auto"/>
                <w:highlight w:val="none"/>
              </w:rPr>
            </w:pPr>
            <w:bookmarkStart w:id="50" w:name="_Toc28274"/>
            <w:bookmarkStart w:id="51" w:name="_Toc22290"/>
            <w:bookmarkStart w:id="52" w:name="_Toc17504"/>
            <w:r>
              <w:rPr>
                <w:rFonts w:hint="eastAsia"/>
                <w:color w:val="auto"/>
                <w:sz w:val="24"/>
                <w:szCs w:val="24"/>
                <w:highlight w:val="none"/>
                <w:lang w:val="en-US" w:eastAsia="zh-CN"/>
              </w:rPr>
              <w:t>三</w:t>
            </w:r>
            <w:r>
              <w:rPr>
                <w:color w:val="auto"/>
                <w:sz w:val="24"/>
                <w:szCs w:val="24"/>
                <w:highlight w:val="none"/>
              </w:rPr>
              <w:t>、监测计划</w:t>
            </w:r>
            <w:bookmarkEnd w:id="50"/>
            <w:bookmarkEnd w:id="51"/>
            <w:bookmarkEnd w:id="52"/>
          </w:p>
          <w:p w14:paraId="70D1927B">
            <w:pPr>
              <w:spacing w:line="360" w:lineRule="auto"/>
              <w:ind w:firstLine="480" w:firstLineChars="200"/>
              <w:jc w:val="left"/>
              <w:rPr>
                <w:color w:val="auto"/>
                <w:sz w:val="24"/>
                <w:szCs w:val="24"/>
                <w:highlight w:val="none"/>
              </w:rPr>
            </w:pPr>
            <w:r>
              <w:rPr>
                <w:color w:val="auto"/>
                <w:sz w:val="24"/>
                <w:szCs w:val="24"/>
                <w:highlight w:val="none"/>
              </w:rPr>
              <w:t>本项目主要监测项目主要为大气、废水、噪声，环境监测计划见表7-</w:t>
            </w:r>
            <w:r>
              <w:rPr>
                <w:rFonts w:hint="eastAsia"/>
                <w:color w:val="auto"/>
                <w:sz w:val="24"/>
                <w:szCs w:val="24"/>
                <w:highlight w:val="none"/>
                <w:lang w:val="en-US" w:eastAsia="zh-CN"/>
              </w:rPr>
              <w:t>16</w:t>
            </w:r>
            <w:r>
              <w:rPr>
                <w:color w:val="auto"/>
                <w:sz w:val="24"/>
                <w:szCs w:val="24"/>
                <w:highlight w:val="none"/>
              </w:rPr>
              <w:t>。</w:t>
            </w:r>
          </w:p>
          <w:p w14:paraId="3E766FE3">
            <w:pPr>
              <w:jc w:val="center"/>
              <w:rPr>
                <w:b/>
                <w:color w:val="auto"/>
                <w:sz w:val="21"/>
                <w:szCs w:val="21"/>
                <w:highlight w:val="none"/>
              </w:rPr>
            </w:pPr>
            <w:r>
              <w:rPr>
                <w:b/>
                <w:color w:val="auto"/>
                <w:sz w:val="21"/>
                <w:szCs w:val="21"/>
                <w:highlight w:val="none"/>
              </w:rPr>
              <w:t>表7-</w:t>
            </w:r>
            <w:r>
              <w:rPr>
                <w:rFonts w:hint="eastAsia"/>
                <w:b/>
                <w:color w:val="auto"/>
                <w:sz w:val="21"/>
                <w:szCs w:val="21"/>
                <w:highlight w:val="none"/>
                <w:lang w:val="en-US" w:eastAsia="zh-CN"/>
              </w:rPr>
              <w:t>16</w:t>
            </w:r>
            <w:r>
              <w:rPr>
                <w:b/>
                <w:color w:val="auto"/>
                <w:sz w:val="21"/>
                <w:szCs w:val="21"/>
                <w:highlight w:val="none"/>
              </w:rPr>
              <w:t xml:space="preserve">  项目运营期环境监测计划一览表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4"/>
              <w:gridCol w:w="968"/>
              <w:gridCol w:w="2025"/>
              <w:gridCol w:w="1019"/>
              <w:gridCol w:w="2293"/>
              <w:gridCol w:w="446"/>
            </w:tblGrid>
            <w:tr w14:paraId="21EA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13" w:type="dxa"/>
                  <w:noWrap w:val="0"/>
                  <w:vAlign w:val="center"/>
                </w:tcPr>
                <w:p w14:paraId="2894052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分类</w:t>
                  </w:r>
                </w:p>
              </w:tc>
              <w:tc>
                <w:tcPr>
                  <w:tcW w:w="1363" w:type="dxa"/>
                  <w:noWrap w:val="0"/>
                  <w:vAlign w:val="center"/>
                </w:tcPr>
                <w:p w14:paraId="5B4DD2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监测</w:t>
                  </w:r>
                </w:p>
                <w:p w14:paraId="706293D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内容</w:t>
                  </w:r>
                </w:p>
              </w:tc>
              <w:tc>
                <w:tcPr>
                  <w:tcW w:w="1214" w:type="dxa"/>
                  <w:noWrap w:val="0"/>
                  <w:vAlign w:val="center"/>
                </w:tcPr>
                <w:p w14:paraId="6FC02A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监测地点</w:t>
                  </w:r>
                </w:p>
              </w:tc>
              <w:tc>
                <w:tcPr>
                  <w:tcW w:w="927" w:type="dxa"/>
                  <w:noWrap w:val="0"/>
                  <w:vAlign w:val="center"/>
                </w:tcPr>
                <w:p w14:paraId="20633D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监测</w:t>
                  </w:r>
                  <w:r>
                    <w:rPr>
                      <w:rFonts w:hint="eastAsia" w:ascii="Times New Roman" w:hAnsi="Times New Roman" w:eastAsia="宋体" w:cs="Times New Roman"/>
                      <w:color w:val="auto"/>
                      <w:sz w:val="22"/>
                      <w:szCs w:val="22"/>
                      <w:highlight w:val="none"/>
                    </w:rPr>
                    <w:t>项目</w:t>
                  </w:r>
                </w:p>
              </w:tc>
              <w:tc>
                <w:tcPr>
                  <w:tcW w:w="1120" w:type="dxa"/>
                  <w:noWrap w:val="0"/>
                  <w:vAlign w:val="center"/>
                </w:tcPr>
                <w:p w14:paraId="3CC067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监测频率</w:t>
                  </w:r>
                </w:p>
              </w:tc>
              <w:tc>
                <w:tcPr>
                  <w:tcW w:w="2505" w:type="dxa"/>
                  <w:noWrap w:val="0"/>
                  <w:vAlign w:val="center"/>
                </w:tcPr>
                <w:p w14:paraId="1A50633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执行标准</w:t>
                  </w:r>
                </w:p>
              </w:tc>
              <w:tc>
                <w:tcPr>
                  <w:tcW w:w="0" w:type="auto"/>
                  <w:noWrap w:val="0"/>
                  <w:vAlign w:val="center"/>
                </w:tcPr>
                <w:p w14:paraId="40F858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负责机构</w:t>
                  </w:r>
                </w:p>
              </w:tc>
            </w:tr>
            <w:tr w14:paraId="5C15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13" w:type="dxa"/>
                  <w:vMerge w:val="restart"/>
                  <w:noWrap w:val="0"/>
                  <w:vAlign w:val="center"/>
                </w:tcPr>
                <w:p w14:paraId="4CC42F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大气污染源监测</w:t>
                  </w:r>
                </w:p>
              </w:tc>
              <w:tc>
                <w:tcPr>
                  <w:tcW w:w="1363" w:type="dxa"/>
                  <w:noWrap w:val="0"/>
                  <w:vAlign w:val="center"/>
                </w:tcPr>
                <w:p w14:paraId="02539C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有组织废气</w:t>
                  </w:r>
                </w:p>
              </w:tc>
              <w:tc>
                <w:tcPr>
                  <w:tcW w:w="1214" w:type="dxa"/>
                  <w:noWrap w:val="0"/>
                  <w:vAlign w:val="center"/>
                </w:tcPr>
                <w:p w14:paraId="4057D74A">
                  <w:pPr>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2台除尘器</w:t>
                  </w:r>
                </w:p>
              </w:tc>
              <w:tc>
                <w:tcPr>
                  <w:tcW w:w="927" w:type="dxa"/>
                  <w:noWrap w:val="0"/>
                  <w:vAlign w:val="center"/>
                </w:tcPr>
                <w:p w14:paraId="10BCFF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TSP</w:t>
                  </w:r>
                </w:p>
              </w:tc>
              <w:tc>
                <w:tcPr>
                  <w:tcW w:w="1120" w:type="dxa"/>
                  <w:vMerge w:val="restart"/>
                  <w:noWrap w:val="0"/>
                  <w:vAlign w:val="center"/>
                </w:tcPr>
                <w:p w14:paraId="698269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每季度一次</w:t>
                  </w:r>
                </w:p>
                <w:p w14:paraId="53E2166C">
                  <w:pPr>
                    <w:pStyle w:val="15"/>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连续两天</w:t>
                  </w:r>
                </w:p>
              </w:tc>
              <w:tc>
                <w:tcPr>
                  <w:tcW w:w="2505" w:type="dxa"/>
                  <w:noWrap w:val="0"/>
                  <w:vAlign w:val="center"/>
                </w:tcPr>
                <w:p w14:paraId="4A17B07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委托有资质的环境监测单位，执行GB16297-1996《大气污染物综合排放标准》二级要求</w:t>
                  </w:r>
                </w:p>
              </w:tc>
              <w:tc>
                <w:tcPr>
                  <w:tcW w:w="454" w:type="dxa"/>
                  <w:vMerge w:val="restart"/>
                  <w:noWrap w:val="0"/>
                  <w:vAlign w:val="center"/>
                </w:tcPr>
                <w:p w14:paraId="54E069D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建设单位</w:t>
                  </w:r>
                </w:p>
              </w:tc>
            </w:tr>
            <w:tr w14:paraId="5976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13" w:type="dxa"/>
                  <w:vMerge w:val="continue"/>
                  <w:noWrap w:val="0"/>
                  <w:vAlign w:val="center"/>
                </w:tcPr>
                <w:p w14:paraId="37A7DA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1363" w:type="dxa"/>
                  <w:noWrap w:val="0"/>
                  <w:vAlign w:val="center"/>
                </w:tcPr>
                <w:p w14:paraId="72DEAE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无组织粉尘</w:t>
                  </w:r>
                </w:p>
              </w:tc>
              <w:tc>
                <w:tcPr>
                  <w:tcW w:w="1214" w:type="dxa"/>
                  <w:noWrap w:val="0"/>
                  <w:vAlign w:val="center"/>
                </w:tcPr>
                <w:p w14:paraId="4DE24A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上风向1个参照点和下风向3个监控点</w:t>
                  </w:r>
                </w:p>
              </w:tc>
              <w:tc>
                <w:tcPr>
                  <w:tcW w:w="927" w:type="dxa"/>
                  <w:noWrap w:val="0"/>
                  <w:vAlign w:val="center"/>
                </w:tcPr>
                <w:p w14:paraId="22288B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TSP</w:t>
                  </w:r>
                </w:p>
              </w:tc>
              <w:tc>
                <w:tcPr>
                  <w:tcW w:w="1120" w:type="dxa"/>
                  <w:vMerge w:val="continue"/>
                  <w:noWrap w:val="0"/>
                  <w:vAlign w:val="center"/>
                </w:tcPr>
                <w:p w14:paraId="0C7C97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p>
              </w:tc>
              <w:tc>
                <w:tcPr>
                  <w:tcW w:w="2505" w:type="dxa"/>
                  <w:noWrap w:val="0"/>
                  <w:vAlign w:val="center"/>
                </w:tcPr>
                <w:p w14:paraId="3F31525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GB16297-1996《大气污染物综合排放标准》无组织监控限值</w:t>
                  </w:r>
                </w:p>
              </w:tc>
              <w:tc>
                <w:tcPr>
                  <w:tcW w:w="454" w:type="dxa"/>
                  <w:vMerge w:val="continue"/>
                  <w:noWrap w:val="0"/>
                  <w:vAlign w:val="center"/>
                </w:tcPr>
                <w:p w14:paraId="4D7F07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r>
            <w:tr w14:paraId="250C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jc w:val="center"/>
              </w:trPr>
              <w:tc>
                <w:tcPr>
                  <w:tcW w:w="713" w:type="dxa"/>
                  <w:noWrap w:val="0"/>
                  <w:vAlign w:val="center"/>
                </w:tcPr>
                <w:p w14:paraId="67C8C7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噪声污染源监测</w:t>
                  </w:r>
                </w:p>
              </w:tc>
              <w:tc>
                <w:tcPr>
                  <w:tcW w:w="1363" w:type="dxa"/>
                  <w:noWrap w:val="0"/>
                  <w:vAlign w:val="center"/>
                </w:tcPr>
                <w:p w14:paraId="5D6166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噪声</w:t>
                  </w:r>
                </w:p>
              </w:tc>
              <w:tc>
                <w:tcPr>
                  <w:tcW w:w="1214" w:type="dxa"/>
                  <w:noWrap w:val="0"/>
                  <w:vAlign w:val="center"/>
                </w:tcPr>
                <w:p w14:paraId="255E29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 xml:space="preserve">四周厂界 </w:t>
                  </w:r>
                </w:p>
              </w:tc>
              <w:tc>
                <w:tcPr>
                  <w:tcW w:w="927" w:type="dxa"/>
                  <w:noWrap w:val="0"/>
                  <w:vAlign w:val="center"/>
                </w:tcPr>
                <w:p w14:paraId="59D55B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等效声级</w:t>
                  </w:r>
                </w:p>
              </w:tc>
              <w:tc>
                <w:tcPr>
                  <w:tcW w:w="1120" w:type="dxa"/>
                  <w:noWrap w:val="0"/>
                  <w:vAlign w:val="center"/>
                </w:tcPr>
                <w:p w14:paraId="3EC638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每季度一次</w:t>
                  </w:r>
                </w:p>
                <w:p w14:paraId="4392EE1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rPr>
                  </w:pPr>
                  <w:r>
                    <w:rPr>
                      <w:rFonts w:hint="eastAsia" w:ascii="Times New Roman" w:hAnsi="Times New Roman" w:eastAsia="宋体" w:cs="Times New Roman"/>
                      <w:color w:val="auto"/>
                      <w:sz w:val="22"/>
                      <w:szCs w:val="22"/>
                      <w:highlight w:val="none"/>
                      <w:lang w:val="en-US" w:eastAsia="zh-CN"/>
                    </w:rPr>
                    <w:t>连续两天昼夜各一次</w:t>
                  </w:r>
                </w:p>
              </w:tc>
              <w:tc>
                <w:tcPr>
                  <w:tcW w:w="2505" w:type="dxa"/>
                  <w:noWrap w:val="0"/>
                  <w:vAlign w:val="center"/>
                </w:tcPr>
                <w:p w14:paraId="605D7C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执行</w:t>
                  </w:r>
                  <w:r>
                    <w:rPr>
                      <w:rFonts w:ascii="Times New Roman" w:hAnsi="Times New Roman" w:eastAsia="宋体" w:cs="Times New Roman"/>
                      <w:color w:val="auto"/>
                      <w:sz w:val="22"/>
                      <w:szCs w:val="22"/>
                      <w:highlight w:val="none"/>
                    </w:rPr>
                    <w:t>《工业企业厂界环境噪声排放标准》（GB12348-2008）中的</w:t>
                  </w:r>
                  <w:r>
                    <w:rPr>
                      <w:rFonts w:hint="eastAsia" w:ascii="Times New Roman" w:hAnsi="Times New Roman" w:eastAsia="宋体" w:cs="Times New Roman"/>
                      <w:color w:val="auto"/>
                      <w:sz w:val="22"/>
                      <w:szCs w:val="22"/>
                      <w:highlight w:val="none"/>
                    </w:rPr>
                    <w:t>2</w:t>
                  </w:r>
                  <w:r>
                    <w:rPr>
                      <w:rFonts w:ascii="Times New Roman" w:hAnsi="Times New Roman" w:eastAsia="宋体" w:cs="Times New Roman"/>
                      <w:color w:val="auto"/>
                      <w:sz w:val="22"/>
                      <w:szCs w:val="22"/>
                      <w:highlight w:val="none"/>
                    </w:rPr>
                    <w:t>类标准</w:t>
                  </w:r>
                </w:p>
              </w:tc>
              <w:tc>
                <w:tcPr>
                  <w:tcW w:w="454" w:type="dxa"/>
                  <w:vMerge w:val="continue"/>
                  <w:noWrap w:val="0"/>
                  <w:vAlign w:val="center"/>
                </w:tcPr>
                <w:p w14:paraId="624F3C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r>
            <w:tr w14:paraId="3FEE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jc w:val="center"/>
              </w:trPr>
              <w:tc>
                <w:tcPr>
                  <w:tcW w:w="713" w:type="dxa"/>
                  <w:noWrap w:val="0"/>
                  <w:vAlign w:val="center"/>
                </w:tcPr>
                <w:p w14:paraId="252AD4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eastAsia="宋体" w:cs="Times New Roman"/>
                      <w:color w:val="auto"/>
                      <w:sz w:val="22"/>
                      <w:szCs w:val="22"/>
                      <w:highlight w:val="none"/>
                      <w:lang w:val="en-US" w:eastAsia="zh-CN"/>
                    </w:rPr>
                    <w:t>土壤</w:t>
                  </w:r>
                  <w:r>
                    <w:rPr>
                      <w:rFonts w:hint="eastAsia" w:ascii="Times New Roman" w:hAnsi="Times New Roman" w:eastAsia="宋体" w:cs="Times New Roman"/>
                      <w:color w:val="auto"/>
                      <w:sz w:val="22"/>
                      <w:szCs w:val="22"/>
                      <w:highlight w:val="none"/>
                    </w:rPr>
                    <w:t>污染源监测</w:t>
                  </w:r>
                </w:p>
              </w:tc>
              <w:tc>
                <w:tcPr>
                  <w:tcW w:w="1363" w:type="dxa"/>
                  <w:noWrap w:val="0"/>
                  <w:vAlign w:val="center"/>
                </w:tcPr>
                <w:p w14:paraId="2E050D4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eastAsia="宋体" w:cs="Times New Roman"/>
                      <w:color w:val="auto"/>
                      <w:sz w:val="22"/>
                      <w:szCs w:val="22"/>
                      <w:highlight w:val="none"/>
                      <w:lang w:val="en-US" w:eastAsia="zh-CN"/>
                    </w:rPr>
                    <w:t>土壤</w:t>
                  </w:r>
                </w:p>
              </w:tc>
              <w:tc>
                <w:tcPr>
                  <w:tcW w:w="1214" w:type="dxa"/>
                  <w:noWrap w:val="0"/>
                  <w:vAlign w:val="center"/>
                </w:tcPr>
                <w:p w14:paraId="50F9B53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color w:val="auto"/>
                      <w:sz w:val="22"/>
                      <w:highlight w:val="none"/>
                      <w:lang w:val="en-US" w:eastAsia="zh-CN"/>
                    </w:rPr>
                    <w:t>修理室、破碎站下风向</w:t>
                  </w:r>
                </w:p>
              </w:tc>
              <w:tc>
                <w:tcPr>
                  <w:tcW w:w="927" w:type="dxa"/>
                  <w:noWrap w:val="0"/>
                  <w:vAlign w:val="center"/>
                </w:tcPr>
                <w:p w14:paraId="4FE7D3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（GB36600-2018）表1中45项基本因子</w:t>
                  </w:r>
                </w:p>
              </w:tc>
              <w:tc>
                <w:tcPr>
                  <w:tcW w:w="1120" w:type="dxa"/>
                  <w:noWrap w:val="0"/>
                  <w:vAlign w:val="center"/>
                </w:tcPr>
                <w:p w14:paraId="7B3AC3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cs="Times New Roman"/>
                      <w:color w:val="auto"/>
                      <w:sz w:val="22"/>
                      <w:szCs w:val="22"/>
                      <w:highlight w:val="none"/>
                      <w:lang w:val="en-US" w:eastAsia="zh-CN"/>
                    </w:rPr>
                  </w:pPr>
                  <w:r>
                    <w:rPr>
                      <w:rFonts w:hint="eastAsia" w:cs="Times New Roman"/>
                      <w:color w:val="auto"/>
                      <w:sz w:val="22"/>
                      <w:szCs w:val="22"/>
                      <w:highlight w:val="none"/>
                      <w:lang w:val="en-US" w:eastAsia="zh-CN"/>
                    </w:rPr>
                    <w:t>3年1次，</w:t>
                  </w:r>
                </w:p>
                <w:p w14:paraId="4647E18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表层样0~0.2m</w:t>
                  </w:r>
                </w:p>
              </w:tc>
              <w:tc>
                <w:tcPr>
                  <w:tcW w:w="2505" w:type="dxa"/>
                  <w:noWrap w:val="0"/>
                  <w:vAlign w:val="center"/>
                </w:tcPr>
                <w:p w14:paraId="5353DA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执行（GB36600-2018）第二类用地筛选值；</w:t>
                  </w:r>
                </w:p>
              </w:tc>
              <w:tc>
                <w:tcPr>
                  <w:tcW w:w="454" w:type="dxa"/>
                  <w:vMerge w:val="continue"/>
                  <w:noWrap w:val="0"/>
                  <w:vAlign w:val="center"/>
                </w:tcPr>
                <w:p w14:paraId="06BEFE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r>
          </w:tbl>
          <w:p w14:paraId="3CD910EF">
            <w:pPr>
              <w:tabs>
                <w:tab w:val="left" w:pos="951"/>
              </w:tabs>
              <w:spacing w:beforeLines="50"/>
              <w:ind w:left="0" w:leftChars="0" w:firstLine="0" w:firstLineChars="0"/>
              <w:rPr>
                <w:b/>
                <w:color w:val="auto"/>
                <w:sz w:val="24"/>
                <w:highlight w:val="none"/>
              </w:rPr>
            </w:pPr>
            <w:r>
              <w:rPr>
                <w:rFonts w:hint="eastAsia"/>
                <w:b/>
                <w:color w:val="auto"/>
                <w:sz w:val="24"/>
                <w:highlight w:val="none"/>
                <w:lang w:val="en-US" w:eastAsia="zh-CN"/>
              </w:rPr>
              <w:t>四</w:t>
            </w:r>
            <w:r>
              <w:rPr>
                <w:b/>
                <w:color w:val="auto"/>
                <w:sz w:val="24"/>
                <w:highlight w:val="none"/>
              </w:rPr>
              <w:t>、环保设施竣工验收</w:t>
            </w:r>
          </w:p>
          <w:p w14:paraId="346217E8">
            <w:pPr>
              <w:tabs>
                <w:tab w:val="left" w:pos="951"/>
              </w:tabs>
              <w:spacing w:line="480" w:lineRule="exact"/>
              <w:ind w:firstLine="520" w:firstLineChars="200"/>
              <w:rPr>
                <w:color w:val="auto"/>
                <w:sz w:val="26"/>
                <w:szCs w:val="26"/>
                <w:highlight w:val="none"/>
              </w:rPr>
            </w:pPr>
            <w:r>
              <w:rPr>
                <w:color w:val="auto"/>
                <w:sz w:val="26"/>
                <w:szCs w:val="26"/>
                <w:highlight w:val="none"/>
              </w:rPr>
              <w:t>项目的环保设施建设内容按“三同时”要求建设及验收，本项目环保设施验收要求见表7-</w:t>
            </w:r>
            <w:r>
              <w:rPr>
                <w:rFonts w:hint="eastAsia"/>
                <w:color w:val="auto"/>
                <w:sz w:val="26"/>
                <w:szCs w:val="26"/>
                <w:highlight w:val="none"/>
                <w:lang w:val="en-US" w:eastAsia="zh-CN"/>
              </w:rPr>
              <w:t>17</w:t>
            </w:r>
            <w:r>
              <w:rPr>
                <w:color w:val="auto"/>
                <w:sz w:val="26"/>
                <w:szCs w:val="26"/>
                <w:highlight w:val="none"/>
              </w:rPr>
              <w:t>。</w:t>
            </w:r>
          </w:p>
          <w:p w14:paraId="12C5240D">
            <w:pPr>
              <w:jc w:val="center"/>
              <w:rPr>
                <w:b/>
                <w:color w:val="auto"/>
                <w:sz w:val="21"/>
                <w:szCs w:val="21"/>
                <w:highlight w:val="none"/>
              </w:rPr>
            </w:pPr>
            <w:r>
              <w:rPr>
                <w:b/>
                <w:color w:val="auto"/>
                <w:sz w:val="21"/>
                <w:szCs w:val="21"/>
                <w:highlight w:val="none"/>
              </w:rPr>
              <w:t>表7-</w:t>
            </w:r>
            <w:r>
              <w:rPr>
                <w:rFonts w:hint="eastAsia"/>
                <w:b/>
                <w:color w:val="auto"/>
                <w:sz w:val="21"/>
                <w:szCs w:val="21"/>
                <w:highlight w:val="none"/>
                <w:lang w:val="en-US" w:eastAsia="zh-CN"/>
              </w:rPr>
              <w:t>17</w:t>
            </w:r>
            <w:r>
              <w:rPr>
                <w:b/>
                <w:color w:val="auto"/>
                <w:sz w:val="21"/>
                <w:szCs w:val="21"/>
                <w:highlight w:val="none"/>
              </w:rPr>
              <w:t xml:space="preserve">  环保设施竣工验收内容一览表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43"/>
              <w:gridCol w:w="935"/>
              <w:gridCol w:w="3215"/>
              <w:gridCol w:w="2924"/>
            </w:tblGrid>
            <w:tr w14:paraId="21CE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22" w:type="dxa"/>
                  <w:gridSpan w:val="2"/>
                  <w:noWrap w:val="0"/>
                  <w:vAlign w:val="center"/>
                </w:tcPr>
                <w:p w14:paraId="671944A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项目</w:t>
                  </w:r>
                </w:p>
              </w:tc>
              <w:tc>
                <w:tcPr>
                  <w:tcW w:w="935" w:type="dxa"/>
                  <w:noWrap w:val="0"/>
                  <w:vAlign w:val="center"/>
                </w:tcPr>
                <w:p w14:paraId="4228F4B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处理</w:t>
                  </w:r>
                </w:p>
                <w:p w14:paraId="084FDDD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对象</w:t>
                  </w:r>
                </w:p>
              </w:tc>
              <w:tc>
                <w:tcPr>
                  <w:tcW w:w="3215" w:type="dxa"/>
                  <w:noWrap w:val="0"/>
                  <w:vAlign w:val="center"/>
                </w:tcPr>
                <w:p w14:paraId="18771EE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处理措施</w:t>
                  </w:r>
                </w:p>
              </w:tc>
              <w:tc>
                <w:tcPr>
                  <w:tcW w:w="2924" w:type="dxa"/>
                  <w:noWrap w:val="0"/>
                  <w:vAlign w:val="center"/>
                </w:tcPr>
                <w:p w14:paraId="2B202CB4">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处理效果</w:t>
                  </w:r>
                </w:p>
              </w:tc>
            </w:tr>
            <w:tr w14:paraId="6F37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79" w:type="dxa"/>
                  <w:vMerge w:val="restart"/>
                  <w:noWrap w:val="0"/>
                  <w:vAlign w:val="center"/>
                </w:tcPr>
                <w:p w14:paraId="78242B87">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运营期</w:t>
                  </w:r>
                </w:p>
              </w:tc>
              <w:tc>
                <w:tcPr>
                  <w:tcW w:w="743" w:type="dxa"/>
                  <w:vMerge w:val="restart"/>
                  <w:noWrap w:val="0"/>
                  <w:vAlign w:val="center"/>
                </w:tcPr>
                <w:p w14:paraId="78612DA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废气治理</w:t>
                  </w:r>
                </w:p>
              </w:tc>
              <w:tc>
                <w:tcPr>
                  <w:tcW w:w="935" w:type="dxa"/>
                  <w:noWrap w:val="0"/>
                  <w:vAlign w:val="center"/>
                </w:tcPr>
                <w:p w14:paraId="3F94947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有组织废气</w:t>
                  </w:r>
                </w:p>
              </w:tc>
              <w:tc>
                <w:tcPr>
                  <w:tcW w:w="3215" w:type="dxa"/>
                  <w:noWrap w:val="0"/>
                  <w:vAlign w:val="center"/>
                </w:tcPr>
                <w:p w14:paraId="741E54DA">
                  <w:pPr>
                    <w:pStyle w:val="2"/>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kern w:val="2"/>
                      <w:sz w:val="22"/>
                      <w:szCs w:val="22"/>
                      <w:highlight w:val="none"/>
                      <w:lang w:val="en-US" w:eastAsia="zh-CN" w:bidi="ar-SA"/>
                    </w:rPr>
                    <w:t>2台布袋除尘器</w:t>
                  </w:r>
                </w:p>
              </w:tc>
              <w:tc>
                <w:tcPr>
                  <w:tcW w:w="2924" w:type="dxa"/>
                  <w:noWrap w:val="0"/>
                  <w:vAlign w:val="center"/>
                </w:tcPr>
                <w:p w14:paraId="7C9D7A26">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粉尘进行处理，粉尘满足GB16297-1996《大气污染</w:t>
                  </w:r>
                </w:p>
                <w:p w14:paraId="32FB5A5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物综合排放标准》二级要求</w:t>
                  </w:r>
                </w:p>
              </w:tc>
            </w:tr>
            <w:tr w14:paraId="30C6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79" w:type="dxa"/>
                  <w:vMerge w:val="continue"/>
                  <w:noWrap w:val="0"/>
                  <w:vAlign w:val="center"/>
                </w:tcPr>
                <w:p w14:paraId="28AEB98E">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780C6B2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429C53B6">
                  <w:pPr>
                    <w:pStyle w:val="36"/>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无组织粉尘</w:t>
                  </w:r>
                </w:p>
              </w:tc>
              <w:tc>
                <w:tcPr>
                  <w:tcW w:w="3215" w:type="dxa"/>
                  <w:noWrap w:val="0"/>
                  <w:vAlign w:val="center"/>
                </w:tcPr>
                <w:p w14:paraId="011F5096">
                  <w:pPr>
                    <w:pStyle w:val="36"/>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洒水降尘措施</w:t>
                  </w:r>
                </w:p>
              </w:tc>
              <w:tc>
                <w:tcPr>
                  <w:tcW w:w="2924" w:type="dxa"/>
                  <w:noWrap w:val="0"/>
                  <w:vAlign w:val="center"/>
                </w:tcPr>
                <w:p w14:paraId="11EA4FE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粉尘满足</w:t>
                  </w:r>
                </w:p>
                <w:p w14:paraId="71CAF2E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GB16297-1996《大气污染物综合排放标准》无组织监</w:t>
                  </w:r>
                </w:p>
                <w:p w14:paraId="788BEA98">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控限值</w:t>
                  </w:r>
                </w:p>
              </w:tc>
            </w:tr>
            <w:tr w14:paraId="3EAA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79" w:type="dxa"/>
                  <w:vMerge w:val="continue"/>
                  <w:noWrap w:val="0"/>
                  <w:vAlign w:val="center"/>
                </w:tcPr>
                <w:p w14:paraId="42613F76">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restart"/>
                  <w:noWrap w:val="0"/>
                  <w:vAlign w:val="center"/>
                </w:tcPr>
                <w:p w14:paraId="200BD57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废水治理</w:t>
                  </w:r>
                </w:p>
              </w:tc>
              <w:tc>
                <w:tcPr>
                  <w:tcW w:w="935" w:type="dxa"/>
                  <w:noWrap w:val="0"/>
                  <w:vAlign w:val="center"/>
                </w:tcPr>
                <w:p w14:paraId="6E9E253E">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沉淀池</w:t>
                  </w:r>
                </w:p>
              </w:tc>
              <w:tc>
                <w:tcPr>
                  <w:tcW w:w="3215" w:type="dxa"/>
                  <w:noWrap w:val="0"/>
                  <w:vAlign w:val="center"/>
                </w:tcPr>
                <w:p w14:paraId="3A516BA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沉淀</w:t>
                  </w:r>
                  <w:r>
                    <w:rPr>
                      <w:rFonts w:ascii="Times New Roman" w:hAnsi="Times New Roman" w:eastAsia="宋体" w:cs="Times New Roman"/>
                      <w:color w:val="auto"/>
                      <w:kern w:val="0"/>
                      <w:sz w:val="22"/>
                      <w:szCs w:val="22"/>
                      <w:highlight w:val="none"/>
                    </w:rPr>
                    <w:t>池1个，</w:t>
                  </w:r>
                  <w:r>
                    <w:rPr>
                      <w:rFonts w:ascii="Times New Roman" w:hAnsi="Times New Roman" w:eastAsia="宋体" w:cs="Times New Roman"/>
                      <w:color w:val="auto"/>
                      <w:sz w:val="22"/>
                      <w:szCs w:val="22"/>
                      <w:highlight w:val="none"/>
                    </w:rPr>
                    <w:t>容积</w:t>
                  </w: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0m</w:t>
                  </w:r>
                  <w:r>
                    <w:rPr>
                      <w:rFonts w:ascii="Times New Roman" w:hAnsi="Times New Roman" w:eastAsia="宋体" w:cs="Times New Roman"/>
                      <w:color w:val="auto"/>
                      <w:sz w:val="22"/>
                      <w:szCs w:val="22"/>
                      <w:highlight w:val="none"/>
                      <w:vertAlign w:val="superscript"/>
                    </w:rPr>
                    <w:t>3</w:t>
                  </w:r>
                </w:p>
              </w:tc>
              <w:tc>
                <w:tcPr>
                  <w:tcW w:w="2924" w:type="dxa"/>
                  <w:noWrap w:val="0"/>
                  <w:vAlign w:val="center"/>
                </w:tcPr>
                <w:p w14:paraId="41F35550">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循环利用</w:t>
                  </w:r>
                </w:p>
              </w:tc>
            </w:tr>
            <w:tr w14:paraId="1C04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79" w:type="dxa"/>
                  <w:vMerge w:val="continue"/>
                  <w:noWrap w:val="0"/>
                  <w:vAlign w:val="center"/>
                </w:tcPr>
                <w:p w14:paraId="6FB53FF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color w:val="auto"/>
                      <w:highlight w:val="none"/>
                    </w:rPr>
                  </w:pPr>
                </w:p>
              </w:tc>
              <w:tc>
                <w:tcPr>
                  <w:tcW w:w="743" w:type="dxa"/>
                  <w:vMerge w:val="continue"/>
                  <w:noWrap w:val="0"/>
                  <w:vAlign w:val="center"/>
                </w:tcPr>
                <w:p w14:paraId="273B8552">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color w:val="auto"/>
                      <w:highlight w:val="none"/>
                    </w:rPr>
                  </w:pPr>
                </w:p>
              </w:tc>
              <w:tc>
                <w:tcPr>
                  <w:tcW w:w="935" w:type="dxa"/>
                  <w:noWrap w:val="0"/>
                  <w:vAlign w:val="center"/>
                </w:tcPr>
                <w:p w14:paraId="4BAC934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化粪池</w:t>
                  </w:r>
                </w:p>
              </w:tc>
              <w:tc>
                <w:tcPr>
                  <w:tcW w:w="3215" w:type="dxa"/>
                  <w:noWrap w:val="0"/>
                  <w:vAlign w:val="center"/>
                </w:tcPr>
                <w:p w14:paraId="5F4151FC">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化粪池</w:t>
                  </w:r>
                  <w:r>
                    <w:rPr>
                      <w:rFonts w:ascii="Times New Roman" w:hAnsi="Times New Roman" w:eastAsia="宋体" w:cs="Times New Roman"/>
                      <w:color w:val="auto"/>
                      <w:kern w:val="0"/>
                      <w:sz w:val="22"/>
                      <w:szCs w:val="22"/>
                      <w:highlight w:val="none"/>
                    </w:rPr>
                    <w:t>1个，</w:t>
                  </w:r>
                  <w:r>
                    <w:rPr>
                      <w:rFonts w:ascii="Times New Roman" w:hAnsi="Times New Roman" w:eastAsia="宋体" w:cs="Times New Roman"/>
                      <w:color w:val="auto"/>
                      <w:sz w:val="22"/>
                      <w:szCs w:val="22"/>
                      <w:highlight w:val="none"/>
                    </w:rPr>
                    <w:t>容积</w:t>
                  </w:r>
                  <w:r>
                    <w:rPr>
                      <w:rFonts w:hint="eastAsia" w:ascii="Times New Roman" w:hAnsi="Times New Roman" w:cs="Times New Roman"/>
                      <w:color w:val="auto"/>
                      <w:sz w:val="22"/>
                      <w:szCs w:val="22"/>
                      <w:highlight w:val="none"/>
                      <w:lang w:val="en-US" w:eastAsia="zh-CN"/>
                    </w:rPr>
                    <w:t>10</w:t>
                  </w:r>
                  <w:r>
                    <w:rPr>
                      <w:rFonts w:ascii="Times New Roman" w:hAnsi="Times New Roman" w:eastAsia="宋体" w:cs="Times New Roman"/>
                      <w:color w:val="auto"/>
                      <w:sz w:val="22"/>
                      <w:szCs w:val="22"/>
                      <w:highlight w:val="none"/>
                    </w:rPr>
                    <w:t>m</w:t>
                  </w:r>
                  <w:r>
                    <w:rPr>
                      <w:rFonts w:ascii="Times New Roman" w:hAnsi="Times New Roman" w:eastAsia="宋体" w:cs="Times New Roman"/>
                      <w:color w:val="auto"/>
                      <w:sz w:val="22"/>
                      <w:szCs w:val="22"/>
                      <w:highlight w:val="none"/>
                      <w:vertAlign w:val="superscript"/>
                    </w:rPr>
                    <w:t>3</w:t>
                  </w:r>
                </w:p>
              </w:tc>
              <w:tc>
                <w:tcPr>
                  <w:tcW w:w="2924" w:type="dxa"/>
                  <w:noWrap w:val="0"/>
                  <w:vAlign w:val="center"/>
                </w:tcPr>
                <w:p w14:paraId="4EBFAE51">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委托周边农户定期清掏用作农肥</w:t>
                  </w:r>
                </w:p>
              </w:tc>
            </w:tr>
            <w:tr w14:paraId="2D6C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79" w:type="dxa"/>
                  <w:vMerge w:val="continue"/>
                  <w:noWrap w:val="0"/>
                  <w:vAlign w:val="center"/>
                </w:tcPr>
                <w:p w14:paraId="57A7BFB4">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p>
              </w:tc>
              <w:tc>
                <w:tcPr>
                  <w:tcW w:w="743" w:type="dxa"/>
                  <w:vMerge w:val="continue"/>
                  <w:noWrap w:val="0"/>
                  <w:vAlign w:val="center"/>
                </w:tcPr>
                <w:p w14:paraId="53723E1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p>
              </w:tc>
              <w:tc>
                <w:tcPr>
                  <w:tcW w:w="935" w:type="dxa"/>
                  <w:noWrap w:val="0"/>
                  <w:vAlign w:val="center"/>
                </w:tcPr>
                <w:p w14:paraId="7C35688F">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隔油池</w:t>
                  </w:r>
                </w:p>
              </w:tc>
              <w:tc>
                <w:tcPr>
                  <w:tcW w:w="3215" w:type="dxa"/>
                  <w:noWrap w:val="0"/>
                  <w:vAlign w:val="center"/>
                </w:tcPr>
                <w:p w14:paraId="680E8B0E">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隔油池</w:t>
                  </w:r>
                  <w:r>
                    <w:rPr>
                      <w:rFonts w:ascii="Times New Roman" w:hAnsi="Times New Roman" w:eastAsia="宋体" w:cs="Times New Roman"/>
                      <w:color w:val="auto"/>
                      <w:kern w:val="0"/>
                      <w:sz w:val="22"/>
                      <w:szCs w:val="22"/>
                      <w:highlight w:val="none"/>
                    </w:rPr>
                    <w:t>1个，</w:t>
                  </w:r>
                  <w:r>
                    <w:rPr>
                      <w:rFonts w:hint="eastAsia" w:ascii="Times New Roman" w:hAnsi="Times New Roman" w:cs="Times New Roman"/>
                      <w:color w:val="auto"/>
                      <w:sz w:val="22"/>
                      <w:szCs w:val="22"/>
                      <w:highlight w:val="none"/>
                      <w:lang w:val="en-US" w:eastAsia="zh-CN"/>
                    </w:rPr>
                    <w:t>处理食堂污水</w:t>
                  </w:r>
                </w:p>
              </w:tc>
              <w:tc>
                <w:tcPr>
                  <w:tcW w:w="2924" w:type="dxa"/>
                  <w:noWrap w:val="0"/>
                  <w:vAlign w:val="center"/>
                </w:tcPr>
                <w:p w14:paraId="50B269BB">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cs="Times New Roman"/>
                      <w:color w:val="auto"/>
                      <w:sz w:val="22"/>
                      <w:szCs w:val="22"/>
                      <w:highlight w:val="none"/>
                      <w:lang w:val="en-US" w:eastAsia="zh-CN"/>
                    </w:rPr>
                    <w:t>排入化粪池</w:t>
                  </w:r>
                </w:p>
              </w:tc>
            </w:tr>
            <w:tr w14:paraId="2E37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79" w:type="dxa"/>
                  <w:vMerge w:val="continue"/>
                  <w:noWrap w:val="0"/>
                  <w:vAlign w:val="center"/>
                </w:tcPr>
                <w:p w14:paraId="6BB64B3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3FEA9660">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76D05DB1">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w:t>
                  </w:r>
                </w:p>
                <w:p w14:paraId="5B544AE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sz w:val="22"/>
                      <w:szCs w:val="22"/>
                      <w:highlight w:val="none"/>
                    </w:rPr>
                    <w:t>污水</w:t>
                  </w:r>
                </w:p>
              </w:tc>
              <w:tc>
                <w:tcPr>
                  <w:tcW w:w="3215" w:type="dxa"/>
                  <w:noWrap w:val="0"/>
                  <w:vAlign w:val="center"/>
                </w:tcPr>
                <w:p w14:paraId="6D7A9773">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sz w:val="22"/>
                      <w:szCs w:val="22"/>
                      <w:highlight w:val="none"/>
                    </w:rPr>
                    <w:t>化粪池</w:t>
                  </w:r>
                  <w:r>
                    <w:rPr>
                      <w:rFonts w:hint="eastAsia" w:ascii="Times New Roman" w:hAnsi="Times New Roman" w:eastAsia="宋体" w:cs="Times New Roman"/>
                      <w:color w:val="auto"/>
                      <w:kern w:val="0"/>
                      <w:sz w:val="22"/>
                      <w:szCs w:val="22"/>
                      <w:highlight w:val="none"/>
                      <w:lang w:val="en-US" w:eastAsia="zh-CN"/>
                    </w:rPr>
                    <w:t>1</w:t>
                  </w:r>
                  <w:r>
                    <w:rPr>
                      <w:rFonts w:ascii="Times New Roman" w:hAnsi="Times New Roman" w:eastAsia="宋体" w:cs="Times New Roman"/>
                      <w:color w:val="auto"/>
                      <w:kern w:val="0"/>
                      <w:sz w:val="22"/>
                      <w:szCs w:val="22"/>
                      <w:highlight w:val="none"/>
                    </w:rPr>
                    <w:t>个，容积</w:t>
                  </w:r>
                  <w:r>
                    <w:rPr>
                      <w:rFonts w:hint="eastAsia" w:ascii="Times New Roman" w:hAnsi="Times New Roman" w:eastAsia="宋体" w:cs="Times New Roman"/>
                      <w:color w:val="auto"/>
                      <w:kern w:val="0"/>
                      <w:sz w:val="22"/>
                      <w:szCs w:val="22"/>
                      <w:highlight w:val="none"/>
                      <w:lang w:val="en-US" w:eastAsia="zh-CN"/>
                    </w:rPr>
                    <w:t>4</w:t>
                  </w:r>
                  <w:r>
                    <w:rPr>
                      <w:rFonts w:ascii="Times New Roman" w:hAnsi="Times New Roman" w:eastAsia="宋体" w:cs="Times New Roman"/>
                      <w:color w:val="auto"/>
                      <w:kern w:val="0"/>
                      <w:sz w:val="22"/>
                      <w:szCs w:val="22"/>
                      <w:highlight w:val="none"/>
                    </w:rPr>
                    <w:t>m</w:t>
                  </w:r>
                  <w:r>
                    <w:rPr>
                      <w:rFonts w:ascii="Times New Roman" w:hAnsi="Times New Roman" w:eastAsia="宋体" w:cs="Times New Roman"/>
                      <w:color w:val="auto"/>
                      <w:kern w:val="0"/>
                      <w:sz w:val="22"/>
                      <w:szCs w:val="22"/>
                      <w:highlight w:val="none"/>
                      <w:vertAlign w:val="superscript"/>
                    </w:rPr>
                    <w:t>3</w:t>
                  </w:r>
                  <w:r>
                    <w:rPr>
                      <w:rFonts w:ascii="Times New Roman" w:hAnsi="Times New Roman" w:eastAsia="宋体" w:cs="Times New Roman"/>
                      <w:color w:val="auto"/>
                      <w:kern w:val="0"/>
                      <w:sz w:val="22"/>
                      <w:szCs w:val="22"/>
                      <w:highlight w:val="none"/>
                    </w:rPr>
                    <w:t>；</w:t>
                  </w:r>
                </w:p>
              </w:tc>
              <w:tc>
                <w:tcPr>
                  <w:tcW w:w="2924" w:type="dxa"/>
                  <w:noWrap w:val="0"/>
                  <w:vAlign w:val="center"/>
                </w:tcPr>
                <w:p w14:paraId="5FC16FF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pacing w:val="1"/>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委托周边农户定期清掏用作农肥</w:t>
                  </w:r>
                </w:p>
              </w:tc>
            </w:tr>
            <w:tr w14:paraId="4F7F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79" w:type="dxa"/>
                  <w:vMerge w:val="continue"/>
                  <w:noWrap w:val="0"/>
                  <w:vAlign w:val="center"/>
                </w:tcPr>
                <w:p w14:paraId="1BC5775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1EF1571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3118EEA8">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车辆清洗池</w:t>
                  </w:r>
                </w:p>
              </w:tc>
              <w:tc>
                <w:tcPr>
                  <w:tcW w:w="3215" w:type="dxa"/>
                  <w:noWrap w:val="0"/>
                  <w:vAlign w:val="center"/>
                </w:tcPr>
                <w:p w14:paraId="10FAEAFA">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车辆清洗池</w:t>
                  </w:r>
                  <w:r>
                    <w:rPr>
                      <w:rFonts w:hint="eastAsia" w:ascii="Times New Roman" w:hAnsi="Times New Roman" w:eastAsia="宋体" w:cs="Times New Roman"/>
                      <w:color w:val="auto"/>
                      <w:kern w:val="0"/>
                      <w:sz w:val="22"/>
                      <w:szCs w:val="22"/>
                      <w:highlight w:val="none"/>
                      <w:lang w:val="en-US" w:eastAsia="zh-CN"/>
                    </w:rPr>
                    <w:t>1</w:t>
                  </w:r>
                  <w:r>
                    <w:rPr>
                      <w:rFonts w:ascii="Times New Roman" w:hAnsi="Times New Roman" w:eastAsia="宋体" w:cs="Times New Roman"/>
                      <w:color w:val="auto"/>
                      <w:kern w:val="0"/>
                      <w:sz w:val="22"/>
                      <w:szCs w:val="22"/>
                      <w:highlight w:val="none"/>
                    </w:rPr>
                    <w:t>个，容积2m</w:t>
                  </w:r>
                  <w:r>
                    <w:rPr>
                      <w:rFonts w:ascii="Times New Roman" w:hAnsi="Times New Roman" w:eastAsia="宋体" w:cs="Times New Roman"/>
                      <w:color w:val="auto"/>
                      <w:kern w:val="0"/>
                      <w:sz w:val="22"/>
                      <w:szCs w:val="22"/>
                      <w:highlight w:val="none"/>
                      <w:vertAlign w:val="superscript"/>
                    </w:rPr>
                    <w:t>3</w:t>
                  </w:r>
                  <w:r>
                    <w:rPr>
                      <w:rFonts w:ascii="Times New Roman" w:hAnsi="Times New Roman" w:eastAsia="宋体" w:cs="Times New Roman"/>
                      <w:color w:val="auto"/>
                      <w:kern w:val="0"/>
                      <w:sz w:val="22"/>
                      <w:szCs w:val="22"/>
                      <w:highlight w:val="none"/>
                    </w:rPr>
                    <w:t>；</w:t>
                  </w:r>
                </w:p>
              </w:tc>
              <w:tc>
                <w:tcPr>
                  <w:tcW w:w="2924" w:type="dxa"/>
                  <w:noWrap w:val="0"/>
                  <w:vAlign w:val="center"/>
                </w:tcPr>
                <w:p w14:paraId="1CF7B877">
                  <w:pPr>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宋体" w:cs="Times New Roman"/>
                      <w:color w:val="auto"/>
                      <w:spacing w:val="1"/>
                      <w:sz w:val="22"/>
                      <w:szCs w:val="22"/>
                      <w:highlight w:val="none"/>
                      <w:lang w:val="en-US" w:eastAsia="zh-CN"/>
                    </w:rPr>
                  </w:pPr>
                  <w:r>
                    <w:rPr>
                      <w:rFonts w:hint="eastAsia" w:ascii="Times New Roman" w:hAnsi="Times New Roman" w:eastAsia="宋体" w:cs="Times New Roman"/>
                      <w:color w:val="auto"/>
                      <w:spacing w:val="1"/>
                      <w:sz w:val="22"/>
                      <w:szCs w:val="22"/>
                      <w:highlight w:val="none"/>
                      <w:lang w:val="en-US" w:eastAsia="zh-CN"/>
                    </w:rPr>
                    <w:t>/</w:t>
                  </w:r>
                </w:p>
              </w:tc>
            </w:tr>
            <w:tr w14:paraId="494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continue"/>
                  <w:noWrap w:val="0"/>
                  <w:vAlign w:val="center"/>
                </w:tcPr>
                <w:p w14:paraId="0D955B0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noWrap w:val="0"/>
                  <w:vAlign w:val="center"/>
                </w:tcPr>
                <w:p w14:paraId="78CE88DB">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噪声治理</w:t>
                  </w:r>
                </w:p>
              </w:tc>
              <w:tc>
                <w:tcPr>
                  <w:tcW w:w="935" w:type="dxa"/>
                  <w:noWrap w:val="0"/>
                  <w:vAlign w:val="center"/>
                </w:tcPr>
                <w:p w14:paraId="1F2620DD">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设备</w:t>
                  </w:r>
                </w:p>
                <w:p w14:paraId="06B739D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噪声</w:t>
                  </w:r>
                </w:p>
              </w:tc>
              <w:tc>
                <w:tcPr>
                  <w:tcW w:w="3215" w:type="dxa"/>
                  <w:noWrap w:val="0"/>
                  <w:vAlign w:val="center"/>
                </w:tcPr>
                <w:p w14:paraId="3CD053C6">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bidi="en-US"/>
                    </w:rPr>
                    <w:t>隔声、减震</w:t>
                  </w:r>
                </w:p>
              </w:tc>
              <w:tc>
                <w:tcPr>
                  <w:tcW w:w="2924" w:type="dxa"/>
                  <w:noWrap w:val="0"/>
                  <w:vAlign w:val="center"/>
                </w:tcPr>
                <w:p w14:paraId="12EDD0D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《工业企业厂界环境噪声排放标准》（GB12348-2008）中的</w:t>
                  </w:r>
                  <w:r>
                    <w:rPr>
                      <w:rFonts w:hint="eastAsia" w:ascii="Times New Roman" w:hAnsi="Times New Roman" w:eastAsia="宋体" w:cs="Times New Roman"/>
                      <w:color w:val="auto"/>
                      <w:sz w:val="22"/>
                      <w:szCs w:val="22"/>
                      <w:highlight w:val="none"/>
                    </w:rPr>
                    <w:t>2</w:t>
                  </w:r>
                  <w:r>
                    <w:rPr>
                      <w:rFonts w:ascii="Times New Roman" w:hAnsi="Times New Roman" w:eastAsia="宋体" w:cs="Times New Roman"/>
                      <w:color w:val="auto"/>
                      <w:sz w:val="22"/>
                      <w:szCs w:val="22"/>
                      <w:highlight w:val="none"/>
                    </w:rPr>
                    <w:t>类标准</w:t>
                  </w:r>
                </w:p>
              </w:tc>
            </w:tr>
            <w:tr w14:paraId="35E5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continue"/>
                  <w:noWrap w:val="0"/>
                  <w:vAlign w:val="center"/>
                </w:tcPr>
                <w:p w14:paraId="76A4CEA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restart"/>
                  <w:noWrap w:val="0"/>
                  <w:vAlign w:val="center"/>
                </w:tcPr>
                <w:p w14:paraId="79AA423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固废治理</w:t>
                  </w:r>
                </w:p>
              </w:tc>
              <w:tc>
                <w:tcPr>
                  <w:tcW w:w="935" w:type="dxa"/>
                  <w:noWrap w:val="0"/>
                  <w:vAlign w:val="center"/>
                </w:tcPr>
                <w:p w14:paraId="76DEA824">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val="en-US" w:eastAsia="zh-CN" w:bidi="en-US"/>
                    </w:rPr>
                    <w:t>生活垃圾</w:t>
                  </w:r>
                </w:p>
              </w:tc>
              <w:tc>
                <w:tcPr>
                  <w:tcW w:w="3215" w:type="dxa"/>
                  <w:noWrap w:val="0"/>
                  <w:vAlign w:val="center"/>
                </w:tcPr>
                <w:p w14:paraId="05D2F41A">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生活区设垃圾桶，经垃圾桶统一收集后运至环卫部门指定地点</w:t>
                  </w:r>
                </w:p>
              </w:tc>
              <w:tc>
                <w:tcPr>
                  <w:tcW w:w="2924" w:type="dxa"/>
                  <w:noWrap w:val="0"/>
                  <w:vAlign w:val="center"/>
                </w:tcPr>
                <w:p w14:paraId="5FA4922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w:t>
                  </w:r>
                </w:p>
              </w:tc>
            </w:tr>
            <w:tr w14:paraId="7156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continue"/>
                  <w:noWrap w:val="0"/>
                  <w:vAlign w:val="center"/>
                </w:tcPr>
                <w:p w14:paraId="3F7D622A">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1F64F35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6C59A112">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val="en-US" w:eastAsia="zh-CN" w:bidi="en-US"/>
                    </w:rPr>
                    <w:t>厕所</w:t>
                  </w:r>
                </w:p>
              </w:tc>
              <w:tc>
                <w:tcPr>
                  <w:tcW w:w="3215" w:type="dxa"/>
                  <w:noWrap w:val="0"/>
                  <w:vAlign w:val="center"/>
                </w:tcPr>
                <w:p w14:paraId="4281D386">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项目区设有水冲厕，污粪水进入化粪池污粪水委托周边农户清掏用作农肥</w:t>
                  </w:r>
                </w:p>
              </w:tc>
              <w:tc>
                <w:tcPr>
                  <w:tcW w:w="2924" w:type="dxa"/>
                  <w:noWrap w:val="0"/>
                  <w:vAlign w:val="center"/>
                </w:tcPr>
                <w:p w14:paraId="30A3AD03">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w:t>
                  </w:r>
                </w:p>
              </w:tc>
            </w:tr>
            <w:tr w14:paraId="7DFD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continue"/>
                  <w:noWrap w:val="0"/>
                  <w:vAlign w:val="center"/>
                </w:tcPr>
                <w:p w14:paraId="06C043BC">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1F066EBE">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05253F47">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val="en-US" w:eastAsia="zh-CN" w:bidi="en-US"/>
                    </w:rPr>
                    <w:t>废石</w:t>
                  </w:r>
                </w:p>
              </w:tc>
              <w:tc>
                <w:tcPr>
                  <w:tcW w:w="3215" w:type="dxa"/>
                  <w:noWrap w:val="0"/>
                  <w:vAlign w:val="center"/>
                </w:tcPr>
                <w:p w14:paraId="1842C37C">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eastAsia="宋体" w:cs="Times New Roman"/>
                      <w:b w:val="0"/>
                      <w:bCs w:val="0"/>
                      <w:color w:val="auto"/>
                      <w:sz w:val="22"/>
                      <w:szCs w:val="22"/>
                      <w:highlight w:val="none"/>
                      <w:vertAlign w:val="baseline"/>
                      <w:lang w:bidi="en-US"/>
                    </w:rPr>
                    <w:t>用于修路或平整工业场地的北部及东部</w:t>
                  </w:r>
                </w:p>
              </w:tc>
              <w:tc>
                <w:tcPr>
                  <w:tcW w:w="2924" w:type="dxa"/>
                  <w:noWrap w:val="0"/>
                  <w:vAlign w:val="center"/>
                </w:tcPr>
                <w:p w14:paraId="1CEC3561">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val="en-US" w:eastAsia="zh-CN" w:bidi="en-US"/>
                    </w:rPr>
                    <w:t>GB18599-2001《一般工业固体废弃物存放、处置场污染控制标准》及2013修订单的要求。</w:t>
                  </w:r>
                </w:p>
              </w:tc>
            </w:tr>
            <w:tr w14:paraId="415F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vMerge w:val="continue"/>
                  <w:noWrap w:val="0"/>
                  <w:vAlign w:val="center"/>
                </w:tcPr>
                <w:p w14:paraId="59E72BB5">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743" w:type="dxa"/>
                  <w:vMerge w:val="continue"/>
                  <w:noWrap w:val="0"/>
                  <w:vAlign w:val="center"/>
                </w:tcPr>
                <w:p w14:paraId="404CB819">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p>
              </w:tc>
              <w:tc>
                <w:tcPr>
                  <w:tcW w:w="935" w:type="dxa"/>
                  <w:noWrap w:val="0"/>
                  <w:vAlign w:val="center"/>
                </w:tcPr>
                <w:p w14:paraId="1DB5B90F">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cs="Times New Roman"/>
                      <w:b w:val="0"/>
                      <w:bCs w:val="0"/>
                      <w:color w:val="auto"/>
                      <w:sz w:val="22"/>
                      <w:szCs w:val="22"/>
                      <w:highlight w:val="none"/>
                      <w:vertAlign w:val="baseline"/>
                      <w:lang w:val="en-US" w:eastAsia="zh-CN" w:bidi="en-US"/>
                    </w:rPr>
                    <w:t>危废间</w:t>
                  </w:r>
                </w:p>
              </w:tc>
              <w:tc>
                <w:tcPr>
                  <w:tcW w:w="3215" w:type="dxa"/>
                  <w:noWrap w:val="0"/>
                  <w:vAlign w:val="center"/>
                </w:tcPr>
                <w:p w14:paraId="6D14E362">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bidi="en-US"/>
                    </w:rPr>
                  </w:pPr>
                  <w:r>
                    <w:rPr>
                      <w:rFonts w:hint="eastAsia" w:ascii="Times New Roman" w:hAnsi="Times New Roman" w:cs="Times New Roman"/>
                      <w:b w:val="0"/>
                      <w:bCs w:val="0"/>
                      <w:color w:val="auto"/>
                      <w:sz w:val="22"/>
                      <w:szCs w:val="22"/>
                      <w:highlight w:val="none"/>
                      <w:vertAlign w:val="baseline"/>
                      <w:lang w:val="en-US" w:eastAsia="zh-CN" w:bidi="en-US"/>
                    </w:rPr>
                    <w:t>废机油暂存于危废间，</w:t>
                  </w:r>
                  <w:r>
                    <w:rPr>
                      <w:rFonts w:hint="eastAsia" w:ascii="Times New Roman" w:hAnsi="Times New Roman" w:eastAsia="宋体" w:cs="Times New Roman"/>
                      <w:b w:val="0"/>
                      <w:bCs w:val="0"/>
                      <w:color w:val="auto"/>
                      <w:sz w:val="22"/>
                      <w:szCs w:val="22"/>
                      <w:highlight w:val="none"/>
                      <w:vertAlign w:val="baseline"/>
                      <w:lang w:bidi="en-US"/>
                    </w:rPr>
                    <w:t>外售给有资质单位综合利用或处置</w:t>
                  </w:r>
                </w:p>
              </w:tc>
              <w:tc>
                <w:tcPr>
                  <w:tcW w:w="2924" w:type="dxa"/>
                  <w:noWrap w:val="0"/>
                  <w:vAlign w:val="center"/>
                </w:tcPr>
                <w:p w14:paraId="46A24BE0">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val="0"/>
                      <w:bCs w:val="0"/>
                      <w:color w:val="auto"/>
                      <w:sz w:val="22"/>
                      <w:szCs w:val="22"/>
                      <w:highlight w:val="none"/>
                      <w:vertAlign w:val="baseline"/>
                      <w:lang w:val="en-US" w:eastAsia="zh-CN" w:bidi="en-US"/>
                    </w:rPr>
                  </w:pPr>
                  <w:r>
                    <w:rPr>
                      <w:rFonts w:hint="eastAsia" w:ascii="Times New Roman" w:hAnsi="Times New Roman" w:eastAsia="宋体" w:cs="Times New Roman"/>
                      <w:b w:val="0"/>
                      <w:bCs w:val="0"/>
                      <w:color w:val="auto"/>
                      <w:sz w:val="22"/>
                      <w:szCs w:val="22"/>
                      <w:highlight w:val="none"/>
                      <w:vertAlign w:val="baseline"/>
                      <w:lang w:val="en-US" w:eastAsia="zh-CN" w:bidi="en-US"/>
                    </w:rPr>
                    <w:t>GB 18597-2001《 危险废物贮存污染控制</w:t>
                  </w:r>
                </w:p>
                <w:p w14:paraId="00BA9C72">
                  <w:pPr>
                    <w:pStyle w:val="15"/>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b w:val="0"/>
                      <w:bCs w:val="0"/>
                      <w:color w:val="auto"/>
                      <w:sz w:val="22"/>
                      <w:szCs w:val="22"/>
                      <w:highlight w:val="none"/>
                      <w:vertAlign w:val="baseline"/>
                      <w:lang w:val="en-US" w:eastAsia="zh-CN" w:bidi="en-US"/>
                    </w:rPr>
                    <w:t>标准》及其2013年修改单的要求</w:t>
                  </w:r>
                </w:p>
              </w:tc>
            </w:tr>
          </w:tbl>
          <w:p w14:paraId="04485F15">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3DDD9BC2">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2F60965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4B76E45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4ED5D4C0">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2A0DEC99">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1ED1373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 w:val="26"/>
                <w:szCs w:val="26"/>
                <w:highlight w:val="none"/>
                <w:vertAlign w:val="baseline"/>
              </w:rPr>
            </w:pPr>
          </w:p>
          <w:p w14:paraId="07355E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olor w:val="auto"/>
                <w:sz w:val="26"/>
                <w:szCs w:val="26"/>
                <w:highlight w:val="none"/>
                <w:vertAlign w:val="baseline"/>
                <w:lang w:val="en-US" w:eastAsia="zh-CN"/>
              </w:rPr>
            </w:pPr>
            <w:r>
              <w:rPr>
                <w:rFonts w:hint="eastAsia" w:ascii="Times New Roman" w:hAnsi="Times New Roman"/>
                <w:color w:val="auto"/>
                <w:sz w:val="26"/>
                <w:szCs w:val="26"/>
                <w:highlight w:val="none"/>
                <w:vertAlign w:val="baseline"/>
                <w:lang w:val="en-US" w:eastAsia="zh-CN"/>
              </w:rPr>
              <w:t xml:space="preserve">  </w:t>
            </w:r>
          </w:p>
          <w:p w14:paraId="0E54C7B0">
            <w:pPr>
              <w:pStyle w:val="15"/>
              <w:ind w:left="0" w:leftChars="0" w:firstLine="0" w:firstLineChars="0"/>
              <w:rPr>
                <w:color w:val="auto"/>
                <w:highlight w:val="none"/>
                <w:vertAlign w:val="baseline"/>
              </w:rPr>
            </w:pPr>
          </w:p>
        </w:tc>
      </w:tr>
    </w:tbl>
    <w:p w14:paraId="01C3F36D">
      <w:pPr>
        <w:pStyle w:val="6"/>
        <w:keepNext/>
        <w:keepLines/>
        <w:pageBreakBefore/>
        <w:widowControl w:val="0"/>
        <w:kinsoku/>
        <w:wordWrap/>
        <w:overflowPunct/>
        <w:topLinePunct w:val="0"/>
        <w:autoSpaceDE/>
        <w:autoSpaceDN/>
        <w:bidi w:val="0"/>
        <w:adjustRightInd/>
        <w:snapToGrid/>
        <w:spacing w:before="312" w:after="312"/>
        <w:jc w:val="left"/>
        <w:textAlignment w:val="auto"/>
        <w:rPr>
          <w:rFonts w:ascii="Times New Roman" w:hAnsi="Times New Roman" w:eastAsia="宋体"/>
          <w:color w:val="auto"/>
          <w:highlight w:val="none"/>
        </w:rPr>
      </w:pPr>
      <w:bookmarkStart w:id="53" w:name="_Toc1341"/>
      <w:bookmarkStart w:id="54" w:name="_Toc4015"/>
      <w:r>
        <w:rPr>
          <w:rFonts w:ascii="Times New Roman" w:hAnsi="Times New Roman" w:eastAsia="宋体"/>
          <w:color w:val="auto"/>
          <w:highlight w:val="none"/>
        </w:rPr>
        <w:t>表</w:t>
      </w:r>
      <w:r>
        <w:rPr>
          <w:rFonts w:hint="eastAsia" w:ascii="Times New Roman" w:hAnsi="Times New Roman" w:eastAsia="宋体"/>
          <w:color w:val="auto"/>
          <w:highlight w:val="none"/>
          <w:lang w:val="en-US" w:eastAsia="zh-CN"/>
        </w:rPr>
        <w:t>八、</w:t>
      </w:r>
      <w:r>
        <w:rPr>
          <w:rFonts w:ascii="Times New Roman" w:hAnsi="Times New Roman" w:eastAsia="宋体"/>
          <w:color w:val="auto"/>
          <w:highlight w:val="none"/>
        </w:rPr>
        <w:t>建设项目拟采取的防治措施及预期治理效果</w:t>
      </w:r>
      <w:bookmarkEnd w:id="53"/>
      <w:bookmarkEnd w:id="54"/>
    </w:p>
    <w:tbl>
      <w:tblPr>
        <w:tblStyle w:val="22"/>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491"/>
        <w:gridCol w:w="1454"/>
        <w:gridCol w:w="1221"/>
        <w:gridCol w:w="2550"/>
        <w:gridCol w:w="2464"/>
      </w:tblGrid>
      <w:tr w14:paraId="3DBCD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91" w:type="dxa"/>
            <w:tcBorders>
              <w:top w:val="single" w:color="auto" w:sz="6" w:space="0"/>
              <w:left w:val="single" w:color="auto" w:sz="6" w:space="0"/>
              <w:bottom w:val="single" w:color="auto" w:sz="4" w:space="0"/>
              <w:right w:val="single" w:color="auto" w:sz="6" w:space="0"/>
              <w:tl2br w:val="single" w:color="auto" w:sz="6" w:space="0"/>
            </w:tcBorders>
            <w:noWrap w:val="0"/>
            <w:vAlign w:val="center"/>
          </w:tcPr>
          <w:p w14:paraId="1168898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内容          类型</w:t>
            </w:r>
          </w:p>
        </w:tc>
        <w:tc>
          <w:tcPr>
            <w:tcW w:w="1945" w:type="dxa"/>
            <w:gridSpan w:val="2"/>
            <w:tcBorders>
              <w:top w:val="single" w:color="auto" w:sz="6" w:space="0"/>
              <w:left w:val="single" w:color="auto" w:sz="6" w:space="0"/>
              <w:bottom w:val="single" w:color="auto" w:sz="6" w:space="0"/>
              <w:right w:val="single" w:color="auto" w:sz="6" w:space="0"/>
            </w:tcBorders>
            <w:noWrap w:val="0"/>
            <w:vAlign w:val="center"/>
          </w:tcPr>
          <w:p w14:paraId="1860C08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排放源</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4BB2A7E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污染物名称</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242C254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防治措施</w:t>
            </w:r>
          </w:p>
        </w:tc>
        <w:tc>
          <w:tcPr>
            <w:tcW w:w="2464" w:type="dxa"/>
            <w:tcBorders>
              <w:top w:val="single" w:color="auto" w:sz="6" w:space="0"/>
              <w:left w:val="single" w:color="auto" w:sz="6" w:space="0"/>
              <w:bottom w:val="single" w:color="auto" w:sz="6" w:space="0"/>
              <w:right w:val="single" w:color="auto" w:sz="6" w:space="0"/>
            </w:tcBorders>
            <w:noWrap w:val="0"/>
            <w:vAlign w:val="center"/>
          </w:tcPr>
          <w:p w14:paraId="6EC061E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预期治理效果</w:t>
            </w:r>
          </w:p>
        </w:tc>
      </w:tr>
      <w:tr w14:paraId="0F6BC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restart"/>
            <w:tcBorders>
              <w:top w:val="single" w:color="auto" w:sz="4" w:space="0"/>
              <w:left w:val="single" w:color="auto" w:sz="6" w:space="0"/>
              <w:right w:val="single" w:color="auto" w:sz="6" w:space="0"/>
            </w:tcBorders>
            <w:noWrap w:val="0"/>
            <w:vAlign w:val="center"/>
          </w:tcPr>
          <w:p w14:paraId="24CB68C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大</w:t>
            </w:r>
          </w:p>
          <w:p w14:paraId="3EDA19A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气</w:t>
            </w:r>
          </w:p>
          <w:p w14:paraId="5F8A293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污</w:t>
            </w:r>
          </w:p>
          <w:p w14:paraId="15FE443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染</w:t>
            </w:r>
          </w:p>
          <w:p w14:paraId="0DF0590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物</w:t>
            </w:r>
          </w:p>
        </w:tc>
        <w:tc>
          <w:tcPr>
            <w:tcW w:w="491" w:type="dxa"/>
            <w:vMerge w:val="restart"/>
            <w:tcBorders>
              <w:top w:val="single" w:color="auto" w:sz="4" w:space="0"/>
              <w:left w:val="single" w:color="auto" w:sz="6" w:space="0"/>
              <w:right w:val="single" w:color="auto" w:sz="6" w:space="0"/>
            </w:tcBorders>
            <w:noWrap w:val="0"/>
            <w:vAlign w:val="center"/>
          </w:tcPr>
          <w:p w14:paraId="5FF9C9A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   工</w:t>
            </w:r>
          </w:p>
          <w:p w14:paraId="500F0528">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期</w:t>
            </w:r>
          </w:p>
        </w:tc>
        <w:tc>
          <w:tcPr>
            <w:tcW w:w="1454" w:type="dxa"/>
            <w:tcBorders>
              <w:top w:val="single" w:color="auto" w:sz="6" w:space="0"/>
              <w:left w:val="single" w:color="auto" w:sz="6" w:space="0"/>
              <w:bottom w:val="single" w:color="auto" w:sz="6" w:space="0"/>
              <w:right w:val="single" w:color="auto" w:sz="6" w:space="0"/>
            </w:tcBorders>
            <w:noWrap w:val="0"/>
            <w:vAlign w:val="center"/>
          </w:tcPr>
          <w:p w14:paraId="1DCCECD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场地平整、房屋建盖、材料运送</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12134C9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粉（扬）尘</w:t>
            </w:r>
          </w:p>
        </w:tc>
        <w:tc>
          <w:tcPr>
            <w:tcW w:w="2550" w:type="dxa"/>
            <w:tcBorders>
              <w:top w:val="single" w:color="auto" w:sz="6" w:space="0"/>
              <w:left w:val="single" w:color="auto" w:sz="6" w:space="0"/>
              <w:right w:val="single" w:color="auto" w:sz="6" w:space="0"/>
            </w:tcBorders>
            <w:noWrap w:val="0"/>
            <w:vAlign w:val="center"/>
          </w:tcPr>
          <w:p w14:paraId="5289E7AF">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施工场地喷洒水、薄膜覆盖料场、规范车辆装载方式、车辆密闭运输、及时清扫运输路面等</w:t>
            </w:r>
          </w:p>
        </w:tc>
        <w:tc>
          <w:tcPr>
            <w:tcW w:w="2464" w:type="dxa"/>
            <w:tcBorders>
              <w:top w:val="single" w:color="auto" w:sz="6" w:space="0"/>
              <w:left w:val="single" w:color="auto" w:sz="6" w:space="0"/>
              <w:right w:val="single" w:color="auto" w:sz="6" w:space="0"/>
            </w:tcBorders>
            <w:noWrap w:val="0"/>
            <w:vAlign w:val="center"/>
          </w:tcPr>
          <w:p w14:paraId="554B1AB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102AE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2C090208">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023A6F3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4679281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施工机械、机动车辆</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463A9BC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总烃、CO、</w:t>
            </w:r>
          </w:p>
          <w:p w14:paraId="2495C53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NOx</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6B92C278">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采用环保型、节能型机械设备，对机械设备进行检修，分散施工、场内通风条件好</w:t>
            </w:r>
          </w:p>
        </w:tc>
        <w:tc>
          <w:tcPr>
            <w:tcW w:w="2464" w:type="dxa"/>
            <w:tcBorders>
              <w:top w:val="single" w:color="auto" w:sz="6" w:space="0"/>
              <w:left w:val="single" w:color="auto" w:sz="6" w:space="0"/>
              <w:bottom w:val="single" w:color="auto" w:sz="6" w:space="0"/>
              <w:right w:val="single" w:color="auto" w:sz="6" w:space="0"/>
            </w:tcBorders>
            <w:noWrap w:val="0"/>
            <w:vAlign w:val="center"/>
          </w:tcPr>
          <w:p w14:paraId="38F13EE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2F192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91" w:type="dxa"/>
            <w:vMerge w:val="continue"/>
            <w:tcBorders>
              <w:left w:val="single" w:color="auto" w:sz="6" w:space="0"/>
              <w:right w:val="single" w:color="auto" w:sz="6" w:space="0"/>
            </w:tcBorders>
            <w:noWrap w:val="0"/>
            <w:vAlign w:val="center"/>
          </w:tcPr>
          <w:p w14:paraId="5A3130B3">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restart"/>
            <w:tcBorders>
              <w:top w:val="single" w:color="auto" w:sz="6" w:space="0"/>
              <w:left w:val="single" w:color="auto" w:sz="6" w:space="0"/>
              <w:right w:val="single" w:color="auto" w:sz="6" w:space="0"/>
            </w:tcBorders>
            <w:noWrap w:val="0"/>
            <w:vAlign w:val="center"/>
          </w:tcPr>
          <w:p w14:paraId="11B1770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   营</w:t>
            </w:r>
          </w:p>
          <w:p w14:paraId="45B8C40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期</w:t>
            </w:r>
          </w:p>
        </w:tc>
        <w:tc>
          <w:tcPr>
            <w:tcW w:w="1454" w:type="dxa"/>
            <w:tcBorders>
              <w:top w:val="single" w:color="auto" w:sz="6" w:space="0"/>
              <w:left w:val="single" w:color="auto" w:sz="6" w:space="0"/>
              <w:right w:val="single" w:color="auto" w:sz="6" w:space="0"/>
            </w:tcBorders>
            <w:noWrap w:val="0"/>
            <w:vAlign w:val="center"/>
          </w:tcPr>
          <w:p w14:paraId="21AC282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有组织粉尘</w:t>
            </w:r>
          </w:p>
        </w:tc>
        <w:tc>
          <w:tcPr>
            <w:tcW w:w="1221" w:type="dxa"/>
            <w:tcBorders>
              <w:top w:val="single" w:color="auto" w:sz="6" w:space="0"/>
              <w:left w:val="single" w:color="auto" w:sz="6" w:space="0"/>
              <w:right w:val="single" w:color="auto" w:sz="6" w:space="0"/>
            </w:tcBorders>
            <w:noWrap w:val="0"/>
            <w:vAlign w:val="center"/>
          </w:tcPr>
          <w:p w14:paraId="4669234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TSP</w:t>
            </w:r>
          </w:p>
        </w:tc>
        <w:tc>
          <w:tcPr>
            <w:tcW w:w="2550" w:type="dxa"/>
            <w:tcBorders>
              <w:top w:val="single" w:color="auto" w:sz="6" w:space="0"/>
              <w:left w:val="single" w:color="auto" w:sz="6" w:space="0"/>
              <w:right w:val="single" w:color="auto" w:sz="6" w:space="0"/>
            </w:tcBorders>
            <w:noWrap w:val="0"/>
            <w:vAlign w:val="center"/>
          </w:tcPr>
          <w:p w14:paraId="4F476E0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设置</w:t>
            </w:r>
            <w:r>
              <w:rPr>
                <w:rFonts w:hint="eastAsia" w:ascii="Times New Roman" w:hAnsi="Times New Roman" w:eastAsia="宋体" w:cs="Times New Roman"/>
                <w:color w:val="auto"/>
                <w:sz w:val="22"/>
                <w:szCs w:val="22"/>
                <w:highlight w:val="none"/>
                <w:lang w:val="en-US" w:eastAsia="zh-CN"/>
              </w:rPr>
              <w:t>2</w:t>
            </w:r>
            <w:r>
              <w:rPr>
                <w:rFonts w:ascii="Times New Roman" w:hAnsi="Times New Roman" w:eastAsia="宋体" w:cs="Times New Roman"/>
                <w:color w:val="auto"/>
                <w:sz w:val="22"/>
                <w:szCs w:val="22"/>
                <w:highlight w:val="none"/>
              </w:rPr>
              <w:t>台</w:t>
            </w:r>
            <w:r>
              <w:rPr>
                <w:rFonts w:hint="eastAsia" w:ascii="Times New Roman" w:hAnsi="Times New Roman" w:eastAsia="宋体" w:cs="Times New Roman"/>
                <w:color w:val="auto"/>
                <w:sz w:val="22"/>
                <w:szCs w:val="22"/>
                <w:highlight w:val="none"/>
                <w:lang w:val="en-US" w:eastAsia="zh-CN"/>
              </w:rPr>
              <w:t>布袋除尘器</w:t>
            </w:r>
            <w:r>
              <w:rPr>
                <w:rFonts w:ascii="Times New Roman" w:hAnsi="Times New Roman" w:eastAsia="宋体" w:cs="Times New Roman"/>
                <w:color w:val="auto"/>
                <w:sz w:val="22"/>
                <w:szCs w:val="22"/>
                <w:highlight w:val="none"/>
              </w:rPr>
              <w:t>，除尘效率</w:t>
            </w:r>
            <w:r>
              <w:rPr>
                <w:rFonts w:hint="eastAsia" w:ascii="Times New Roman" w:hAnsi="Times New Roman" w:eastAsia="宋体" w:cs="Times New Roman"/>
                <w:color w:val="auto"/>
                <w:sz w:val="22"/>
                <w:szCs w:val="22"/>
                <w:highlight w:val="none"/>
                <w:lang w:val="en-US" w:eastAsia="zh-CN"/>
              </w:rPr>
              <w:t>9</w:t>
            </w:r>
            <w:r>
              <w:rPr>
                <w:rFonts w:hint="eastAsia" w:cs="Times New Roman"/>
                <w:color w:val="auto"/>
                <w:sz w:val="22"/>
                <w:szCs w:val="22"/>
                <w:highlight w:val="none"/>
                <w:lang w:val="en-US" w:eastAsia="zh-CN"/>
              </w:rPr>
              <w:t>7</w:t>
            </w:r>
            <w:r>
              <w:rPr>
                <w:rFonts w:ascii="Times New Roman" w:hAnsi="Times New Roman" w:eastAsia="宋体" w:cs="Times New Roman"/>
                <w:color w:val="auto"/>
                <w:sz w:val="22"/>
                <w:szCs w:val="22"/>
                <w:highlight w:val="none"/>
              </w:rPr>
              <w:t>%，除尘处理后经排气筒排放</w:t>
            </w:r>
          </w:p>
        </w:tc>
        <w:tc>
          <w:tcPr>
            <w:tcW w:w="2464" w:type="dxa"/>
            <w:tcBorders>
              <w:top w:val="single" w:color="auto" w:sz="6" w:space="0"/>
              <w:left w:val="single" w:color="auto" w:sz="6" w:space="0"/>
              <w:right w:val="single" w:color="auto" w:sz="6" w:space="0"/>
            </w:tcBorders>
            <w:noWrap w:val="0"/>
            <w:vAlign w:val="center"/>
          </w:tcPr>
          <w:p w14:paraId="2FA29F01">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达到</w:t>
            </w:r>
            <w:r>
              <w:rPr>
                <w:rFonts w:hint="eastAsia" w:ascii="Times New Roman" w:hAnsi="Times New Roman" w:eastAsia="宋体" w:cs="Times New Roman"/>
                <w:color w:val="auto"/>
                <w:sz w:val="22"/>
                <w:szCs w:val="22"/>
                <w:highlight w:val="none"/>
              </w:rPr>
              <w:t>GB16297-1996《大气污染物综合排放标准》二级要求</w:t>
            </w:r>
          </w:p>
        </w:tc>
      </w:tr>
      <w:tr w14:paraId="3F7C3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891" w:type="dxa"/>
            <w:vMerge w:val="continue"/>
            <w:tcBorders>
              <w:left w:val="single" w:color="auto" w:sz="6" w:space="0"/>
              <w:right w:val="single" w:color="auto" w:sz="6" w:space="0"/>
            </w:tcBorders>
            <w:noWrap w:val="0"/>
            <w:vAlign w:val="center"/>
          </w:tcPr>
          <w:p w14:paraId="1982330F">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47614AE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33A7D7A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无组织粉尘</w:t>
            </w:r>
          </w:p>
        </w:tc>
        <w:tc>
          <w:tcPr>
            <w:tcW w:w="1221" w:type="dxa"/>
            <w:tcBorders>
              <w:top w:val="single" w:color="auto" w:sz="6" w:space="0"/>
              <w:left w:val="single" w:color="auto" w:sz="6" w:space="0"/>
              <w:right w:val="single" w:color="auto" w:sz="6" w:space="0"/>
            </w:tcBorders>
            <w:noWrap w:val="0"/>
            <w:vAlign w:val="center"/>
          </w:tcPr>
          <w:p w14:paraId="654A586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TSP</w:t>
            </w:r>
          </w:p>
        </w:tc>
        <w:tc>
          <w:tcPr>
            <w:tcW w:w="2550" w:type="dxa"/>
            <w:tcBorders>
              <w:top w:val="single" w:color="auto" w:sz="6" w:space="0"/>
              <w:left w:val="single" w:color="auto" w:sz="6" w:space="0"/>
              <w:right w:val="single" w:color="auto" w:sz="6" w:space="0"/>
            </w:tcBorders>
            <w:noWrap w:val="0"/>
            <w:vAlign w:val="center"/>
          </w:tcPr>
          <w:p w14:paraId="5399054A">
            <w:pPr>
              <w:pStyle w:val="36"/>
              <w:keepNext w:val="0"/>
              <w:keepLines w:val="0"/>
              <w:pageBreakBefore w:val="0"/>
              <w:widowControl w:val="0"/>
              <w:kinsoku/>
              <w:wordWrap/>
              <w:overflowPunct/>
              <w:topLinePunct w:val="0"/>
              <w:autoSpaceDE/>
              <w:autoSpaceDN/>
              <w:bidi w:val="0"/>
              <w:adjustRightInd/>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洒水降尘措施</w:t>
            </w:r>
          </w:p>
        </w:tc>
        <w:tc>
          <w:tcPr>
            <w:tcW w:w="2464" w:type="dxa"/>
            <w:tcBorders>
              <w:top w:val="single" w:color="auto" w:sz="6" w:space="0"/>
              <w:left w:val="single" w:color="auto" w:sz="6" w:space="0"/>
              <w:right w:val="single" w:color="auto" w:sz="6" w:space="0"/>
            </w:tcBorders>
            <w:noWrap w:val="0"/>
            <w:vAlign w:val="center"/>
          </w:tcPr>
          <w:p w14:paraId="4AFE155F">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粉尘满足</w:t>
            </w:r>
          </w:p>
          <w:p w14:paraId="043B9510">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GB16297-1996《大气污染物综合排放标准》无组织监控限值</w:t>
            </w:r>
          </w:p>
        </w:tc>
      </w:tr>
      <w:tr w14:paraId="6EF9E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91" w:type="dxa"/>
            <w:vMerge w:val="restart"/>
            <w:tcBorders>
              <w:left w:val="single" w:color="auto" w:sz="6" w:space="0"/>
              <w:right w:val="single" w:color="auto" w:sz="6" w:space="0"/>
            </w:tcBorders>
            <w:noWrap w:val="0"/>
            <w:vAlign w:val="center"/>
          </w:tcPr>
          <w:p w14:paraId="0EF0B34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水</w:t>
            </w:r>
          </w:p>
          <w:p w14:paraId="0873260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污</w:t>
            </w:r>
          </w:p>
          <w:p w14:paraId="61E55C0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染</w:t>
            </w:r>
          </w:p>
          <w:p w14:paraId="1150767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物</w:t>
            </w:r>
          </w:p>
        </w:tc>
        <w:tc>
          <w:tcPr>
            <w:tcW w:w="491" w:type="dxa"/>
            <w:vMerge w:val="restart"/>
            <w:tcBorders>
              <w:top w:val="single" w:color="auto" w:sz="6" w:space="0"/>
              <w:left w:val="single" w:color="auto" w:sz="6" w:space="0"/>
              <w:right w:val="single" w:color="auto" w:sz="6" w:space="0"/>
            </w:tcBorders>
            <w:noWrap w:val="0"/>
            <w:vAlign w:val="center"/>
          </w:tcPr>
          <w:p w14:paraId="24D7C85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w:t>
            </w:r>
          </w:p>
          <w:p w14:paraId="2BFAD90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工</w:t>
            </w:r>
          </w:p>
          <w:p w14:paraId="337DD2D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期</w:t>
            </w:r>
          </w:p>
        </w:tc>
        <w:tc>
          <w:tcPr>
            <w:tcW w:w="1454" w:type="dxa"/>
            <w:tcBorders>
              <w:top w:val="single" w:color="auto" w:sz="6" w:space="0"/>
              <w:left w:val="single" w:color="auto" w:sz="6" w:space="0"/>
              <w:right w:val="single" w:color="auto" w:sz="6" w:space="0"/>
            </w:tcBorders>
            <w:noWrap w:val="0"/>
            <w:vAlign w:val="center"/>
          </w:tcPr>
          <w:p w14:paraId="785B665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结构建筑</w:t>
            </w:r>
          </w:p>
        </w:tc>
        <w:tc>
          <w:tcPr>
            <w:tcW w:w="1221" w:type="dxa"/>
            <w:tcBorders>
              <w:top w:val="single" w:color="auto" w:sz="6" w:space="0"/>
              <w:left w:val="single" w:color="auto" w:sz="6" w:space="0"/>
              <w:right w:val="single" w:color="auto" w:sz="6" w:space="0"/>
            </w:tcBorders>
            <w:noWrap w:val="0"/>
            <w:vAlign w:val="center"/>
          </w:tcPr>
          <w:p w14:paraId="2475AE5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建筑废水</w:t>
            </w:r>
          </w:p>
        </w:tc>
        <w:tc>
          <w:tcPr>
            <w:tcW w:w="2550" w:type="dxa"/>
            <w:tcBorders>
              <w:left w:val="single" w:color="auto" w:sz="6" w:space="0"/>
              <w:right w:val="single" w:color="auto" w:sz="6" w:space="0"/>
            </w:tcBorders>
            <w:noWrap w:val="0"/>
            <w:vAlign w:val="center"/>
          </w:tcPr>
          <w:p w14:paraId="43B3A05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沉淀池处理后回用、少量工地自然渗透或蒸发</w:t>
            </w:r>
          </w:p>
        </w:tc>
        <w:tc>
          <w:tcPr>
            <w:tcW w:w="2464" w:type="dxa"/>
            <w:tcBorders>
              <w:left w:val="single" w:color="auto" w:sz="6" w:space="0"/>
              <w:right w:val="single" w:color="auto" w:sz="6" w:space="0"/>
            </w:tcBorders>
            <w:noWrap w:val="0"/>
            <w:vAlign w:val="center"/>
          </w:tcPr>
          <w:p w14:paraId="08F3594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46DD1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57E1DAB7">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15F1A69F">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1FA2DC8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施工期施工人员</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4A6DCC7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生活污水</w:t>
            </w:r>
          </w:p>
        </w:tc>
        <w:tc>
          <w:tcPr>
            <w:tcW w:w="2550" w:type="dxa"/>
            <w:tcBorders>
              <w:left w:val="single" w:color="auto" w:sz="6" w:space="0"/>
              <w:right w:val="single" w:color="auto" w:sz="6" w:space="0"/>
            </w:tcBorders>
            <w:noWrap w:val="0"/>
            <w:vAlign w:val="center"/>
          </w:tcPr>
          <w:p w14:paraId="170B651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沉淀池处理后回用</w:t>
            </w:r>
          </w:p>
        </w:tc>
        <w:tc>
          <w:tcPr>
            <w:tcW w:w="2464" w:type="dxa"/>
            <w:tcBorders>
              <w:left w:val="single" w:color="auto" w:sz="6" w:space="0"/>
              <w:right w:val="single" w:color="auto" w:sz="6" w:space="0"/>
            </w:tcBorders>
            <w:noWrap w:val="0"/>
            <w:vAlign w:val="center"/>
          </w:tcPr>
          <w:p w14:paraId="0E95C13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4DAD7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891" w:type="dxa"/>
            <w:vMerge w:val="continue"/>
            <w:tcBorders>
              <w:left w:val="single" w:color="auto" w:sz="6" w:space="0"/>
              <w:right w:val="single" w:color="auto" w:sz="6" w:space="0"/>
            </w:tcBorders>
            <w:noWrap w:val="0"/>
            <w:vAlign w:val="center"/>
          </w:tcPr>
          <w:p w14:paraId="3C051DCA">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restart"/>
            <w:tcBorders>
              <w:top w:val="single" w:color="auto" w:sz="6" w:space="0"/>
              <w:left w:val="single" w:color="auto" w:sz="6" w:space="0"/>
              <w:right w:val="single" w:color="auto" w:sz="6" w:space="0"/>
            </w:tcBorders>
            <w:noWrap w:val="0"/>
            <w:vAlign w:val="center"/>
          </w:tcPr>
          <w:p w14:paraId="731A2D7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运营期</w:t>
            </w:r>
          </w:p>
        </w:tc>
        <w:tc>
          <w:tcPr>
            <w:tcW w:w="1454" w:type="dxa"/>
            <w:tcBorders>
              <w:top w:val="single" w:color="auto" w:sz="6" w:space="0"/>
              <w:left w:val="single" w:color="auto" w:sz="6" w:space="0"/>
              <w:right w:val="single" w:color="auto" w:sz="6" w:space="0"/>
            </w:tcBorders>
            <w:noWrap w:val="0"/>
            <w:vAlign w:val="center"/>
          </w:tcPr>
          <w:p w14:paraId="49799CE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钻孔冷却水</w:t>
            </w:r>
          </w:p>
        </w:tc>
        <w:tc>
          <w:tcPr>
            <w:tcW w:w="1221" w:type="dxa"/>
            <w:vMerge w:val="restart"/>
            <w:tcBorders>
              <w:top w:val="single" w:color="auto" w:sz="6" w:space="0"/>
              <w:left w:val="single" w:color="auto" w:sz="6" w:space="0"/>
              <w:right w:val="single" w:color="auto" w:sz="6" w:space="0"/>
            </w:tcBorders>
            <w:noWrap w:val="0"/>
            <w:vAlign w:val="center"/>
          </w:tcPr>
          <w:p w14:paraId="3D3BA26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工业用水</w:t>
            </w:r>
          </w:p>
        </w:tc>
        <w:tc>
          <w:tcPr>
            <w:tcW w:w="2550" w:type="dxa"/>
            <w:tcBorders>
              <w:top w:val="single" w:color="auto" w:sz="6" w:space="0"/>
              <w:left w:val="single" w:color="auto" w:sz="6" w:space="0"/>
              <w:right w:val="single" w:color="auto" w:sz="6" w:space="0"/>
            </w:tcBorders>
            <w:noWrap w:val="0"/>
            <w:vAlign w:val="center"/>
          </w:tcPr>
          <w:p w14:paraId="58CB168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全部蒸发，</w:t>
            </w:r>
            <w:r>
              <w:rPr>
                <w:rFonts w:ascii="Times New Roman" w:hAnsi="Times New Roman" w:eastAsia="宋体" w:cs="Times New Roman"/>
                <w:color w:val="auto"/>
                <w:sz w:val="22"/>
                <w:szCs w:val="22"/>
                <w:highlight w:val="none"/>
              </w:rPr>
              <w:t>不外排</w:t>
            </w:r>
          </w:p>
        </w:tc>
        <w:tc>
          <w:tcPr>
            <w:tcW w:w="2464" w:type="dxa"/>
            <w:tcBorders>
              <w:top w:val="single" w:color="auto" w:sz="6" w:space="0"/>
              <w:left w:val="single" w:color="auto" w:sz="6" w:space="0"/>
              <w:right w:val="single" w:color="auto" w:sz="6" w:space="0"/>
            </w:tcBorders>
            <w:noWrap w:val="0"/>
            <w:vAlign w:val="center"/>
          </w:tcPr>
          <w:p w14:paraId="34BC192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35AA5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891" w:type="dxa"/>
            <w:vMerge w:val="continue"/>
            <w:tcBorders>
              <w:left w:val="single" w:color="auto" w:sz="6" w:space="0"/>
              <w:right w:val="single" w:color="auto" w:sz="6" w:space="0"/>
            </w:tcBorders>
            <w:noWrap w:val="0"/>
            <w:vAlign w:val="center"/>
          </w:tcPr>
          <w:p w14:paraId="660D42F5">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24BF695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255552E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爆破抑尘用水</w:t>
            </w:r>
          </w:p>
        </w:tc>
        <w:tc>
          <w:tcPr>
            <w:tcW w:w="1221" w:type="dxa"/>
            <w:vMerge w:val="continue"/>
            <w:tcBorders>
              <w:left w:val="single" w:color="auto" w:sz="6" w:space="0"/>
              <w:right w:val="single" w:color="auto" w:sz="6" w:space="0"/>
            </w:tcBorders>
            <w:noWrap w:val="0"/>
            <w:vAlign w:val="center"/>
          </w:tcPr>
          <w:p w14:paraId="09A1E2F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eastAsia="zh-CN"/>
              </w:rPr>
            </w:pPr>
          </w:p>
        </w:tc>
        <w:tc>
          <w:tcPr>
            <w:tcW w:w="2550" w:type="dxa"/>
            <w:tcBorders>
              <w:left w:val="single" w:color="auto" w:sz="6" w:space="0"/>
              <w:right w:val="single" w:color="auto" w:sz="6" w:space="0"/>
            </w:tcBorders>
            <w:noWrap w:val="0"/>
            <w:vAlign w:val="center"/>
          </w:tcPr>
          <w:p w14:paraId="3FC4DEE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全部蒸发，</w:t>
            </w:r>
            <w:r>
              <w:rPr>
                <w:rFonts w:ascii="Times New Roman" w:hAnsi="Times New Roman" w:eastAsia="宋体" w:cs="Times New Roman"/>
                <w:color w:val="auto"/>
                <w:sz w:val="22"/>
                <w:szCs w:val="22"/>
                <w:highlight w:val="none"/>
              </w:rPr>
              <w:t>不外排</w:t>
            </w:r>
          </w:p>
        </w:tc>
        <w:tc>
          <w:tcPr>
            <w:tcW w:w="2464" w:type="dxa"/>
            <w:tcBorders>
              <w:left w:val="single" w:color="auto" w:sz="6" w:space="0"/>
              <w:right w:val="single" w:color="auto" w:sz="6" w:space="0"/>
            </w:tcBorders>
            <w:noWrap w:val="0"/>
            <w:vAlign w:val="center"/>
          </w:tcPr>
          <w:p w14:paraId="76427EE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4D4D4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891" w:type="dxa"/>
            <w:vMerge w:val="continue"/>
            <w:tcBorders>
              <w:left w:val="single" w:color="auto" w:sz="6" w:space="0"/>
              <w:right w:val="single" w:color="auto" w:sz="6" w:space="0"/>
            </w:tcBorders>
            <w:noWrap w:val="0"/>
            <w:vAlign w:val="center"/>
          </w:tcPr>
          <w:p w14:paraId="2DBF7CF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color w:val="auto"/>
                <w:highlight w:val="none"/>
              </w:rPr>
            </w:pPr>
          </w:p>
        </w:tc>
        <w:tc>
          <w:tcPr>
            <w:tcW w:w="491" w:type="dxa"/>
            <w:vMerge w:val="continue"/>
            <w:tcBorders>
              <w:left w:val="single" w:color="auto" w:sz="6" w:space="0"/>
              <w:right w:val="single" w:color="auto" w:sz="6" w:space="0"/>
            </w:tcBorders>
            <w:noWrap w:val="0"/>
            <w:vAlign w:val="center"/>
          </w:tcPr>
          <w:p w14:paraId="13D2097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color w:val="auto"/>
                <w:highlight w:val="none"/>
              </w:rPr>
            </w:pPr>
          </w:p>
        </w:tc>
        <w:tc>
          <w:tcPr>
            <w:tcW w:w="1454" w:type="dxa"/>
            <w:tcBorders>
              <w:top w:val="single" w:color="auto" w:sz="6" w:space="0"/>
              <w:left w:val="single" w:color="auto" w:sz="6" w:space="0"/>
              <w:right w:val="single" w:color="auto" w:sz="6" w:space="0"/>
            </w:tcBorders>
            <w:noWrap w:val="0"/>
            <w:vAlign w:val="center"/>
          </w:tcPr>
          <w:p w14:paraId="6346A12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道路、工业场地及采区防尘用水</w:t>
            </w:r>
          </w:p>
        </w:tc>
        <w:tc>
          <w:tcPr>
            <w:tcW w:w="1221" w:type="dxa"/>
            <w:vMerge w:val="continue"/>
            <w:tcBorders>
              <w:left w:val="single" w:color="auto" w:sz="6" w:space="0"/>
              <w:right w:val="single" w:color="auto" w:sz="6" w:space="0"/>
            </w:tcBorders>
            <w:noWrap w:val="0"/>
            <w:vAlign w:val="center"/>
          </w:tcPr>
          <w:p w14:paraId="0B2ECB2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p>
        </w:tc>
        <w:tc>
          <w:tcPr>
            <w:tcW w:w="2550" w:type="dxa"/>
            <w:tcBorders>
              <w:left w:val="single" w:color="auto" w:sz="6" w:space="0"/>
              <w:right w:val="single" w:color="auto" w:sz="6" w:space="0"/>
            </w:tcBorders>
            <w:noWrap w:val="0"/>
            <w:vAlign w:val="center"/>
          </w:tcPr>
          <w:p w14:paraId="010DBA8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全部蒸发，</w:t>
            </w:r>
            <w:r>
              <w:rPr>
                <w:rFonts w:ascii="Times New Roman" w:hAnsi="Times New Roman" w:eastAsia="宋体" w:cs="Times New Roman"/>
                <w:color w:val="auto"/>
                <w:sz w:val="22"/>
                <w:szCs w:val="22"/>
                <w:highlight w:val="none"/>
              </w:rPr>
              <w:t>不外排</w:t>
            </w:r>
          </w:p>
        </w:tc>
        <w:tc>
          <w:tcPr>
            <w:tcW w:w="2464" w:type="dxa"/>
            <w:tcBorders>
              <w:left w:val="single" w:color="auto" w:sz="6" w:space="0"/>
              <w:right w:val="single" w:color="auto" w:sz="6" w:space="0"/>
            </w:tcBorders>
            <w:noWrap w:val="0"/>
            <w:vAlign w:val="center"/>
          </w:tcPr>
          <w:p w14:paraId="15CF021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68DE5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891" w:type="dxa"/>
            <w:vMerge w:val="continue"/>
            <w:tcBorders>
              <w:left w:val="single" w:color="auto" w:sz="6" w:space="0"/>
              <w:right w:val="single" w:color="auto" w:sz="6" w:space="0"/>
            </w:tcBorders>
            <w:noWrap w:val="0"/>
            <w:vAlign w:val="center"/>
          </w:tcPr>
          <w:p w14:paraId="5DE7793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22B72AA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59703C4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碎石场物料加工过程防尘用水</w:t>
            </w:r>
          </w:p>
        </w:tc>
        <w:tc>
          <w:tcPr>
            <w:tcW w:w="1221" w:type="dxa"/>
            <w:vMerge w:val="continue"/>
            <w:tcBorders>
              <w:left w:val="single" w:color="auto" w:sz="6" w:space="0"/>
              <w:right w:val="single" w:color="auto" w:sz="6" w:space="0"/>
            </w:tcBorders>
            <w:noWrap w:val="0"/>
            <w:vAlign w:val="center"/>
          </w:tcPr>
          <w:p w14:paraId="494A515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p>
        </w:tc>
        <w:tc>
          <w:tcPr>
            <w:tcW w:w="2550" w:type="dxa"/>
            <w:tcBorders>
              <w:left w:val="single" w:color="auto" w:sz="6" w:space="0"/>
              <w:right w:val="single" w:color="auto" w:sz="6" w:space="0"/>
            </w:tcBorders>
            <w:noWrap w:val="0"/>
            <w:vAlign w:val="center"/>
          </w:tcPr>
          <w:p w14:paraId="2300FEE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被物料吸收或自然蒸发，不会产生外排废水</w:t>
            </w:r>
          </w:p>
        </w:tc>
        <w:tc>
          <w:tcPr>
            <w:tcW w:w="2464" w:type="dxa"/>
            <w:tcBorders>
              <w:left w:val="single" w:color="auto" w:sz="6" w:space="0"/>
              <w:right w:val="single" w:color="auto" w:sz="6" w:space="0"/>
            </w:tcBorders>
            <w:noWrap w:val="0"/>
            <w:vAlign w:val="center"/>
          </w:tcPr>
          <w:p w14:paraId="0BB24CBF">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11498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891" w:type="dxa"/>
            <w:vMerge w:val="continue"/>
            <w:tcBorders>
              <w:left w:val="single" w:color="auto" w:sz="6" w:space="0"/>
              <w:right w:val="single" w:color="auto" w:sz="6" w:space="0"/>
            </w:tcBorders>
            <w:noWrap w:val="0"/>
            <w:vAlign w:val="center"/>
          </w:tcPr>
          <w:p w14:paraId="54BBA1B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21A4924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7EF69B9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车辆冲洗水</w:t>
            </w:r>
          </w:p>
        </w:tc>
        <w:tc>
          <w:tcPr>
            <w:tcW w:w="1221" w:type="dxa"/>
            <w:tcBorders>
              <w:top w:val="single" w:color="auto" w:sz="6" w:space="0"/>
              <w:left w:val="single" w:color="auto" w:sz="6" w:space="0"/>
              <w:right w:val="single" w:color="auto" w:sz="6" w:space="0"/>
            </w:tcBorders>
            <w:noWrap w:val="0"/>
            <w:vAlign w:val="center"/>
          </w:tcPr>
          <w:p w14:paraId="6397A5E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w:t>
            </w:r>
          </w:p>
        </w:tc>
        <w:tc>
          <w:tcPr>
            <w:tcW w:w="2550" w:type="dxa"/>
            <w:tcBorders>
              <w:left w:val="single" w:color="auto" w:sz="6" w:space="0"/>
              <w:right w:val="single" w:color="auto" w:sz="6" w:space="0"/>
            </w:tcBorders>
            <w:noWrap w:val="0"/>
            <w:vAlign w:val="center"/>
          </w:tcPr>
          <w:p w14:paraId="19953EF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收集后进入沉淀池中，经沉淀后循环使用，不外排</w:t>
            </w:r>
          </w:p>
        </w:tc>
        <w:tc>
          <w:tcPr>
            <w:tcW w:w="2464" w:type="dxa"/>
            <w:tcBorders>
              <w:left w:val="single" w:color="auto" w:sz="6" w:space="0"/>
              <w:right w:val="single" w:color="auto" w:sz="6" w:space="0"/>
            </w:tcBorders>
            <w:noWrap w:val="0"/>
            <w:vAlign w:val="center"/>
          </w:tcPr>
          <w:p w14:paraId="7F1BE8B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354B5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jc w:val="center"/>
        </w:trPr>
        <w:tc>
          <w:tcPr>
            <w:tcW w:w="891" w:type="dxa"/>
            <w:vMerge w:val="continue"/>
            <w:tcBorders>
              <w:left w:val="single" w:color="auto" w:sz="6" w:space="0"/>
              <w:right w:val="single" w:color="auto" w:sz="6" w:space="0"/>
            </w:tcBorders>
            <w:noWrap w:val="0"/>
            <w:vAlign w:val="center"/>
          </w:tcPr>
          <w:p w14:paraId="2C9E103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3C6497F8">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32081A7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初期雨水</w:t>
            </w:r>
          </w:p>
        </w:tc>
        <w:tc>
          <w:tcPr>
            <w:tcW w:w="1221" w:type="dxa"/>
            <w:tcBorders>
              <w:top w:val="single" w:color="auto" w:sz="6" w:space="0"/>
              <w:left w:val="single" w:color="auto" w:sz="6" w:space="0"/>
              <w:right w:val="single" w:color="auto" w:sz="6" w:space="0"/>
            </w:tcBorders>
            <w:noWrap w:val="0"/>
            <w:vAlign w:val="center"/>
          </w:tcPr>
          <w:p w14:paraId="02272088">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w:t>
            </w:r>
          </w:p>
        </w:tc>
        <w:tc>
          <w:tcPr>
            <w:tcW w:w="2550" w:type="dxa"/>
            <w:tcBorders>
              <w:left w:val="single" w:color="auto" w:sz="6" w:space="0"/>
              <w:right w:val="single" w:color="auto" w:sz="6" w:space="0"/>
            </w:tcBorders>
            <w:noWrap w:val="0"/>
            <w:vAlign w:val="center"/>
          </w:tcPr>
          <w:p w14:paraId="1EFD29B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收集后进入沉淀池沉淀后用于场区洒水降尘，不外排</w:t>
            </w:r>
          </w:p>
        </w:tc>
        <w:tc>
          <w:tcPr>
            <w:tcW w:w="2464" w:type="dxa"/>
            <w:tcBorders>
              <w:left w:val="single" w:color="auto" w:sz="6" w:space="0"/>
              <w:right w:val="single" w:color="auto" w:sz="6" w:space="0"/>
            </w:tcBorders>
            <w:noWrap w:val="0"/>
            <w:vAlign w:val="center"/>
          </w:tcPr>
          <w:p w14:paraId="37F7359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6CD4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891" w:type="dxa"/>
            <w:vMerge w:val="continue"/>
            <w:tcBorders>
              <w:left w:val="single" w:color="auto" w:sz="6" w:space="0"/>
              <w:right w:val="single" w:color="auto" w:sz="6" w:space="0"/>
            </w:tcBorders>
            <w:noWrap w:val="0"/>
            <w:vAlign w:val="center"/>
          </w:tcPr>
          <w:p w14:paraId="1220D7C2">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2A052EF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266E6D4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职工生活</w:t>
            </w:r>
          </w:p>
        </w:tc>
        <w:tc>
          <w:tcPr>
            <w:tcW w:w="1221" w:type="dxa"/>
            <w:tcBorders>
              <w:top w:val="single" w:color="auto" w:sz="6" w:space="0"/>
              <w:left w:val="single" w:color="auto" w:sz="6" w:space="0"/>
              <w:right w:val="single" w:color="auto" w:sz="6" w:space="0"/>
            </w:tcBorders>
            <w:noWrap w:val="0"/>
            <w:vAlign w:val="center"/>
          </w:tcPr>
          <w:p w14:paraId="369F740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生活污水</w:t>
            </w:r>
          </w:p>
        </w:tc>
        <w:tc>
          <w:tcPr>
            <w:tcW w:w="2550" w:type="dxa"/>
            <w:tcBorders>
              <w:left w:val="single" w:color="auto" w:sz="6" w:space="0"/>
              <w:right w:val="single" w:color="auto" w:sz="6" w:space="0"/>
            </w:tcBorders>
            <w:noWrap w:val="0"/>
            <w:vAlign w:val="center"/>
          </w:tcPr>
          <w:p w14:paraId="6CDB269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ascii="Times New Roman" w:hAnsi="Times New Roman" w:eastAsia="宋体" w:cs="Times New Roman"/>
                <w:color w:val="auto"/>
                <w:sz w:val="22"/>
                <w:szCs w:val="22"/>
                <w:highlight w:val="none"/>
              </w:rPr>
              <w:t>经化粪池</w:t>
            </w:r>
            <w:r>
              <w:rPr>
                <w:rFonts w:hint="eastAsia" w:ascii="Times New Roman" w:hAnsi="Times New Roman" w:eastAsia="宋体" w:cs="Times New Roman"/>
                <w:color w:val="auto"/>
                <w:sz w:val="22"/>
                <w:szCs w:val="22"/>
                <w:highlight w:val="none"/>
                <w:lang w:val="en-US" w:eastAsia="zh-CN"/>
              </w:rPr>
              <w:t>收集沉淀，委托周边农户定期清掏</w:t>
            </w:r>
          </w:p>
        </w:tc>
        <w:tc>
          <w:tcPr>
            <w:tcW w:w="2464" w:type="dxa"/>
            <w:tcBorders>
              <w:left w:val="single" w:color="auto" w:sz="6" w:space="0"/>
              <w:right w:val="single" w:color="auto" w:sz="6" w:space="0"/>
            </w:tcBorders>
            <w:noWrap w:val="0"/>
            <w:vAlign w:val="center"/>
          </w:tcPr>
          <w:p w14:paraId="47489D8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eastAsia="zh-CN"/>
              </w:rPr>
            </w:pPr>
            <w:r>
              <w:rPr>
                <w:rFonts w:ascii="Times New Roman" w:hAnsi="Times New Roman" w:eastAsia="宋体" w:cs="Times New Roman"/>
                <w:color w:val="auto"/>
                <w:sz w:val="22"/>
                <w:szCs w:val="22"/>
                <w:highlight w:val="none"/>
              </w:rPr>
              <w:t>对环境影响不大</w:t>
            </w:r>
          </w:p>
        </w:tc>
      </w:tr>
      <w:tr w14:paraId="307B5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891" w:type="dxa"/>
            <w:vMerge w:val="restart"/>
            <w:tcBorders>
              <w:left w:val="single" w:color="auto" w:sz="6" w:space="0"/>
              <w:right w:val="single" w:color="auto" w:sz="6" w:space="0"/>
            </w:tcBorders>
            <w:noWrap w:val="0"/>
            <w:vAlign w:val="center"/>
          </w:tcPr>
          <w:p w14:paraId="01E8A0D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噪</w:t>
            </w:r>
          </w:p>
          <w:p w14:paraId="021EA15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声</w:t>
            </w:r>
          </w:p>
        </w:tc>
        <w:tc>
          <w:tcPr>
            <w:tcW w:w="491" w:type="dxa"/>
            <w:vMerge w:val="restart"/>
            <w:tcBorders>
              <w:left w:val="single" w:color="auto" w:sz="6" w:space="0"/>
              <w:right w:val="single" w:color="auto" w:sz="6" w:space="0"/>
            </w:tcBorders>
            <w:noWrap w:val="0"/>
            <w:vAlign w:val="center"/>
          </w:tcPr>
          <w:p w14:paraId="0752420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施工期</w:t>
            </w:r>
          </w:p>
        </w:tc>
        <w:tc>
          <w:tcPr>
            <w:tcW w:w="1454" w:type="dxa"/>
            <w:tcBorders>
              <w:top w:val="single" w:color="auto" w:sz="6" w:space="0"/>
              <w:left w:val="single" w:color="auto" w:sz="6" w:space="0"/>
              <w:right w:val="single" w:color="auto" w:sz="6" w:space="0"/>
            </w:tcBorders>
            <w:noWrap w:val="0"/>
            <w:vAlign w:val="center"/>
          </w:tcPr>
          <w:p w14:paraId="1A2AABC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施工过程</w:t>
            </w:r>
          </w:p>
        </w:tc>
        <w:tc>
          <w:tcPr>
            <w:tcW w:w="1221" w:type="dxa"/>
            <w:tcBorders>
              <w:top w:val="single" w:color="auto" w:sz="6" w:space="0"/>
              <w:left w:val="single" w:color="auto" w:sz="6" w:space="0"/>
              <w:right w:val="single" w:color="auto" w:sz="6" w:space="0"/>
            </w:tcBorders>
            <w:noWrap w:val="0"/>
            <w:vAlign w:val="center"/>
          </w:tcPr>
          <w:p w14:paraId="6831A85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机械噪声</w:t>
            </w:r>
          </w:p>
        </w:tc>
        <w:tc>
          <w:tcPr>
            <w:tcW w:w="2550" w:type="dxa"/>
            <w:tcBorders>
              <w:top w:val="single" w:color="auto" w:sz="4" w:space="0"/>
              <w:left w:val="single" w:color="auto" w:sz="6" w:space="0"/>
              <w:right w:val="single" w:color="auto" w:sz="6" w:space="0"/>
            </w:tcBorders>
            <w:noWrap w:val="0"/>
            <w:vAlign w:val="center"/>
          </w:tcPr>
          <w:p w14:paraId="5844E21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采用低噪设备，不定时对机械设备进行检修</w:t>
            </w:r>
          </w:p>
        </w:tc>
        <w:tc>
          <w:tcPr>
            <w:tcW w:w="2464" w:type="dxa"/>
            <w:tcBorders>
              <w:left w:val="single" w:color="auto" w:sz="6" w:space="0"/>
              <w:right w:val="single" w:color="auto" w:sz="6" w:space="0"/>
            </w:tcBorders>
            <w:noWrap w:val="0"/>
            <w:vAlign w:val="center"/>
          </w:tcPr>
          <w:p w14:paraId="1CCCEBD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对环境造成的影响小</w:t>
            </w:r>
          </w:p>
        </w:tc>
      </w:tr>
      <w:tr w14:paraId="00C8D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4507F91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bottom w:val="single" w:color="auto" w:sz="6" w:space="0"/>
              <w:right w:val="single" w:color="auto" w:sz="6" w:space="0"/>
            </w:tcBorders>
            <w:noWrap w:val="0"/>
            <w:vAlign w:val="center"/>
          </w:tcPr>
          <w:p w14:paraId="685F727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523078A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运输车辆</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4368BB5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交通噪声</w:t>
            </w:r>
          </w:p>
        </w:tc>
        <w:tc>
          <w:tcPr>
            <w:tcW w:w="2550" w:type="dxa"/>
            <w:tcBorders>
              <w:left w:val="single" w:color="auto" w:sz="6" w:space="0"/>
              <w:bottom w:val="single" w:color="auto" w:sz="6" w:space="0"/>
              <w:right w:val="single" w:color="auto" w:sz="6" w:space="0"/>
            </w:tcBorders>
            <w:noWrap w:val="0"/>
            <w:vAlign w:val="center"/>
          </w:tcPr>
          <w:p w14:paraId="351CD3D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车辆保修、进入项目区采取减速、禁鸣等</w:t>
            </w:r>
          </w:p>
        </w:tc>
        <w:tc>
          <w:tcPr>
            <w:tcW w:w="2464" w:type="dxa"/>
            <w:tcBorders>
              <w:left w:val="single" w:color="auto" w:sz="6" w:space="0"/>
              <w:bottom w:val="single" w:color="auto" w:sz="6" w:space="0"/>
              <w:right w:val="single" w:color="auto" w:sz="6" w:space="0"/>
            </w:tcBorders>
            <w:noWrap w:val="0"/>
            <w:vAlign w:val="center"/>
          </w:tcPr>
          <w:p w14:paraId="3DEC8868">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3F454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690BB12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restart"/>
            <w:tcBorders>
              <w:top w:val="single" w:color="auto" w:sz="6" w:space="0"/>
              <w:left w:val="single" w:color="auto" w:sz="6" w:space="0"/>
              <w:right w:val="single" w:color="auto" w:sz="6" w:space="0"/>
            </w:tcBorders>
            <w:noWrap w:val="0"/>
            <w:vAlign w:val="center"/>
          </w:tcPr>
          <w:p w14:paraId="3FBB656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运营期</w:t>
            </w:r>
          </w:p>
        </w:tc>
        <w:tc>
          <w:tcPr>
            <w:tcW w:w="1454" w:type="dxa"/>
            <w:tcBorders>
              <w:top w:val="single" w:color="auto" w:sz="6" w:space="0"/>
              <w:left w:val="single" w:color="auto" w:sz="6" w:space="0"/>
              <w:bottom w:val="single" w:color="auto" w:sz="6" w:space="0"/>
              <w:right w:val="single" w:color="auto" w:sz="6" w:space="0"/>
            </w:tcBorders>
            <w:noWrap w:val="0"/>
            <w:vAlign w:val="center"/>
          </w:tcPr>
          <w:p w14:paraId="32D865C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破碎设备</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7C987BBF">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机械噪声</w:t>
            </w:r>
          </w:p>
        </w:tc>
        <w:tc>
          <w:tcPr>
            <w:tcW w:w="2550" w:type="dxa"/>
            <w:tcBorders>
              <w:top w:val="single" w:color="auto" w:sz="6" w:space="0"/>
              <w:left w:val="single" w:color="auto" w:sz="6" w:space="0"/>
              <w:right w:val="single" w:color="auto" w:sz="6" w:space="0"/>
            </w:tcBorders>
            <w:noWrap w:val="0"/>
            <w:vAlign w:val="center"/>
          </w:tcPr>
          <w:p w14:paraId="6AD9C8B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highlight w:val="none"/>
              </w:rPr>
              <w:t>减震垫、设备间隔声、合理布局、距离衰减等</w:t>
            </w:r>
          </w:p>
        </w:tc>
        <w:tc>
          <w:tcPr>
            <w:tcW w:w="2464" w:type="dxa"/>
            <w:vMerge w:val="restart"/>
            <w:tcBorders>
              <w:top w:val="single" w:color="auto" w:sz="6" w:space="0"/>
              <w:left w:val="single" w:color="auto" w:sz="6" w:space="0"/>
              <w:right w:val="single" w:color="auto" w:sz="6" w:space="0"/>
            </w:tcBorders>
            <w:noWrap w:val="0"/>
            <w:vAlign w:val="center"/>
          </w:tcPr>
          <w:p w14:paraId="14A1361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执行</w:t>
            </w:r>
            <w:r>
              <w:rPr>
                <w:rFonts w:ascii="Times New Roman" w:hAnsi="Times New Roman" w:eastAsia="宋体" w:cs="Times New Roman"/>
                <w:color w:val="auto"/>
                <w:sz w:val="22"/>
                <w:szCs w:val="22"/>
                <w:highlight w:val="none"/>
              </w:rPr>
              <w:t>《工业企业厂界环境噪声排放标准》（GB12348-2008）中的</w:t>
            </w:r>
            <w:r>
              <w:rPr>
                <w:rFonts w:hint="eastAsia" w:ascii="Times New Roman" w:hAnsi="Times New Roman" w:eastAsia="宋体" w:cs="Times New Roman"/>
                <w:color w:val="auto"/>
                <w:sz w:val="22"/>
                <w:szCs w:val="22"/>
                <w:highlight w:val="none"/>
              </w:rPr>
              <w:t>2</w:t>
            </w:r>
            <w:r>
              <w:rPr>
                <w:rFonts w:ascii="Times New Roman" w:hAnsi="Times New Roman" w:eastAsia="宋体" w:cs="Times New Roman"/>
                <w:color w:val="auto"/>
                <w:sz w:val="22"/>
                <w:szCs w:val="22"/>
                <w:highlight w:val="none"/>
              </w:rPr>
              <w:t>类标</w:t>
            </w:r>
          </w:p>
        </w:tc>
      </w:tr>
      <w:tr w14:paraId="2B2E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1A5F546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2B86978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2256213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爆破</w:t>
            </w:r>
          </w:p>
        </w:tc>
        <w:tc>
          <w:tcPr>
            <w:tcW w:w="1221" w:type="dxa"/>
            <w:tcBorders>
              <w:top w:val="single" w:color="auto" w:sz="6" w:space="0"/>
              <w:left w:val="single" w:color="auto" w:sz="6" w:space="0"/>
              <w:right w:val="single" w:color="auto" w:sz="6" w:space="0"/>
            </w:tcBorders>
            <w:noWrap w:val="0"/>
            <w:vAlign w:val="center"/>
          </w:tcPr>
          <w:p w14:paraId="32D18CF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爆破噪声</w:t>
            </w:r>
          </w:p>
        </w:tc>
        <w:tc>
          <w:tcPr>
            <w:tcW w:w="2550" w:type="dxa"/>
            <w:tcBorders>
              <w:left w:val="single" w:color="auto" w:sz="6" w:space="0"/>
              <w:right w:val="single" w:color="auto" w:sz="6" w:space="0"/>
            </w:tcBorders>
            <w:noWrap w:val="0"/>
            <w:vAlign w:val="center"/>
          </w:tcPr>
          <w:p w14:paraId="5FFB0E1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地层的阻隔</w:t>
            </w:r>
          </w:p>
        </w:tc>
        <w:tc>
          <w:tcPr>
            <w:tcW w:w="2464" w:type="dxa"/>
            <w:vMerge w:val="continue"/>
            <w:tcBorders>
              <w:left w:val="single" w:color="auto" w:sz="6" w:space="0"/>
              <w:right w:val="single" w:color="auto" w:sz="6" w:space="0"/>
            </w:tcBorders>
            <w:noWrap w:val="0"/>
            <w:vAlign w:val="center"/>
          </w:tcPr>
          <w:p w14:paraId="0AD4C20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r>
      <w:tr w14:paraId="75316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891" w:type="dxa"/>
            <w:vMerge w:val="restart"/>
            <w:tcBorders>
              <w:left w:val="single" w:color="auto" w:sz="6" w:space="0"/>
              <w:right w:val="single" w:color="auto" w:sz="6" w:space="0"/>
            </w:tcBorders>
            <w:noWrap w:val="0"/>
            <w:vAlign w:val="center"/>
          </w:tcPr>
          <w:p w14:paraId="5945444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固</w:t>
            </w:r>
          </w:p>
          <w:p w14:paraId="14B6DB3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体</w:t>
            </w:r>
          </w:p>
          <w:p w14:paraId="146FB8D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废</w:t>
            </w:r>
          </w:p>
          <w:p w14:paraId="208004B3">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物</w:t>
            </w:r>
          </w:p>
        </w:tc>
        <w:tc>
          <w:tcPr>
            <w:tcW w:w="491" w:type="dxa"/>
            <w:vMerge w:val="restart"/>
            <w:tcBorders>
              <w:left w:val="single" w:color="auto" w:sz="6" w:space="0"/>
              <w:right w:val="single" w:color="auto" w:sz="6" w:space="0"/>
            </w:tcBorders>
            <w:noWrap w:val="0"/>
            <w:vAlign w:val="center"/>
          </w:tcPr>
          <w:p w14:paraId="73F44C4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施工期</w:t>
            </w:r>
          </w:p>
        </w:tc>
        <w:tc>
          <w:tcPr>
            <w:tcW w:w="1454" w:type="dxa"/>
            <w:tcBorders>
              <w:top w:val="single" w:color="auto" w:sz="6" w:space="0"/>
              <w:left w:val="single" w:color="auto" w:sz="6" w:space="0"/>
              <w:bottom w:val="single" w:color="auto" w:sz="6" w:space="0"/>
              <w:right w:val="single" w:color="auto" w:sz="4" w:space="0"/>
            </w:tcBorders>
            <w:noWrap w:val="0"/>
            <w:vAlign w:val="center"/>
          </w:tcPr>
          <w:p w14:paraId="4AA1581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施工过程</w:t>
            </w:r>
          </w:p>
        </w:tc>
        <w:tc>
          <w:tcPr>
            <w:tcW w:w="1221" w:type="dxa"/>
            <w:tcBorders>
              <w:top w:val="single" w:color="auto" w:sz="6" w:space="0"/>
              <w:left w:val="single" w:color="auto" w:sz="4" w:space="0"/>
              <w:bottom w:val="single" w:color="auto" w:sz="6" w:space="0"/>
              <w:right w:val="single" w:color="auto" w:sz="6" w:space="0"/>
            </w:tcBorders>
            <w:noWrap w:val="0"/>
            <w:vAlign w:val="center"/>
          </w:tcPr>
          <w:p w14:paraId="6F9F68D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土石方</w:t>
            </w:r>
          </w:p>
        </w:tc>
        <w:tc>
          <w:tcPr>
            <w:tcW w:w="2550" w:type="dxa"/>
            <w:tcBorders>
              <w:left w:val="single" w:color="auto" w:sz="6" w:space="0"/>
              <w:bottom w:val="single" w:color="auto" w:sz="6" w:space="0"/>
              <w:right w:val="single" w:color="auto" w:sz="6" w:space="0"/>
            </w:tcBorders>
            <w:noWrap w:val="0"/>
            <w:vAlign w:val="center"/>
          </w:tcPr>
          <w:p w14:paraId="0E41C71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厂区回填</w:t>
            </w:r>
          </w:p>
        </w:tc>
        <w:tc>
          <w:tcPr>
            <w:tcW w:w="2464" w:type="dxa"/>
            <w:tcBorders>
              <w:left w:val="single" w:color="auto" w:sz="6" w:space="0"/>
              <w:bottom w:val="single" w:color="auto" w:sz="6" w:space="0"/>
              <w:right w:val="single" w:color="auto" w:sz="6" w:space="0"/>
            </w:tcBorders>
            <w:noWrap w:val="0"/>
            <w:vAlign w:val="center"/>
          </w:tcPr>
          <w:p w14:paraId="47786F6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6A142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28C828AF">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6BC289D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570B2B7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建筑材料</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430855D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建筑弃渣</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48A3D3FF">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部分回用，不可回用的按照管理部门要求进行处置</w:t>
            </w:r>
          </w:p>
        </w:tc>
        <w:tc>
          <w:tcPr>
            <w:tcW w:w="2464" w:type="dxa"/>
            <w:tcBorders>
              <w:top w:val="single" w:color="auto" w:sz="6" w:space="0"/>
              <w:left w:val="single" w:color="auto" w:sz="6" w:space="0"/>
              <w:right w:val="single" w:color="auto" w:sz="6" w:space="0"/>
            </w:tcBorders>
            <w:noWrap w:val="0"/>
            <w:vAlign w:val="center"/>
          </w:tcPr>
          <w:p w14:paraId="0C7BA91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06EE8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891" w:type="dxa"/>
            <w:vMerge w:val="continue"/>
            <w:tcBorders>
              <w:left w:val="single" w:color="auto" w:sz="6" w:space="0"/>
              <w:right w:val="single" w:color="auto" w:sz="6" w:space="0"/>
            </w:tcBorders>
            <w:noWrap w:val="0"/>
            <w:vAlign w:val="center"/>
          </w:tcPr>
          <w:p w14:paraId="28D30DDF">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bottom w:val="single" w:color="auto" w:sz="6" w:space="0"/>
              <w:right w:val="single" w:color="auto" w:sz="6" w:space="0"/>
            </w:tcBorders>
            <w:noWrap w:val="0"/>
            <w:vAlign w:val="center"/>
          </w:tcPr>
          <w:p w14:paraId="489D8DA1">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bottom w:val="single" w:color="auto" w:sz="6" w:space="0"/>
              <w:right w:val="single" w:color="auto" w:sz="6" w:space="0"/>
            </w:tcBorders>
            <w:noWrap w:val="0"/>
            <w:vAlign w:val="center"/>
          </w:tcPr>
          <w:p w14:paraId="5240C81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工人生活</w:t>
            </w:r>
          </w:p>
        </w:tc>
        <w:tc>
          <w:tcPr>
            <w:tcW w:w="1221" w:type="dxa"/>
            <w:tcBorders>
              <w:top w:val="single" w:color="auto" w:sz="6" w:space="0"/>
              <w:left w:val="single" w:color="auto" w:sz="6" w:space="0"/>
              <w:bottom w:val="single" w:color="auto" w:sz="6" w:space="0"/>
              <w:right w:val="single" w:color="auto" w:sz="6" w:space="0"/>
            </w:tcBorders>
            <w:noWrap w:val="0"/>
            <w:vAlign w:val="center"/>
          </w:tcPr>
          <w:p w14:paraId="1976EF4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生活垃圾</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11BD4C8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集中收集后运至</w:t>
            </w:r>
            <w:r>
              <w:rPr>
                <w:rFonts w:hint="eastAsia" w:ascii="Times New Roman" w:hAnsi="Times New Roman" w:eastAsia="宋体" w:cs="Times New Roman"/>
                <w:color w:val="auto"/>
                <w:sz w:val="22"/>
                <w:szCs w:val="22"/>
                <w:highlight w:val="none"/>
                <w:lang w:val="en-US" w:eastAsia="zh-CN"/>
              </w:rPr>
              <w:t>环卫部门指定地点</w:t>
            </w:r>
          </w:p>
        </w:tc>
        <w:tc>
          <w:tcPr>
            <w:tcW w:w="2464" w:type="dxa"/>
            <w:tcBorders>
              <w:left w:val="single" w:color="auto" w:sz="6" w:space="0"/>
              <w:right w:val="single" w:color="auto" w:sz="6" w:space="0"/>
            </w:tcBorders>
            <w:noWrap w:val="0"/>
            <w:vAlign w:val="center"/>
          </w:tcPr>
          <w:p w14:paraId="2447C68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3BA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76FE3389">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restart"/>
            <w:tcBorders>
              <w:top w:val="single" w:color="auto" w:sz="6" w:space="0"/>
              <w:left w:val="single" w:color="auto" w:sz="6" w:space="0"/>
              <w:right w:val="single" w:color="auto" w:sz="6" w:space="0"/>
            </w:tcBorders>
            <w:noWrap w:val="0"/>
            <w:vAlign w:val="center"/>
          </w:tcPr>
          <w:p w14:paraId="31589C5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运营期</w:t>
            </w:r>
          </w:p>
        </w:tc>
        <w:tc>
          <w:tcPr>
            <w:tcW w:w="1454" w:type="dxa"/>
            <w:tcBorders>
              <w:top w:val="single" w:color="auto" w:sz="6" w:space="0"/>
              <w:left w:val="single" w:color="auto" w:sz="6" w:space="0"/>
              <w:right w:val="single" w:color="auto" w:sz="6" w:space="0"/>
            </w:tcBorders>
            <w:noWrap w:val="0"/>
            <w:vAlign w:val="center"/>
          </w:tcPr>
          <w:p w14:paraId="2C26C4A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除尘器</w:t>
            </w:r>
          </w:p>
        </w:tc>
        <w:tc>
          <w:tcPr>
            <w:tcW w:w="1221" w:type="dxa"/>
            <w:tcBorders>
              <w:top w:val="single" w:color="auto" w:sz="6" w:space="0"/>
              <w:left w:val="single" w:color="auto" w:sz="6" w:space="0"/>
              <w:right w:val="single" w:color="auto" w:sz="6" w:space="0"/>
            </w:tcBorders>
            <w:noWrap w:val="0"/>
            <w:vAlign w:val="center"/>
          </w:tcPr>
          <w:p w14:paraId="35688B6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收尘灰</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311AC29E">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全部做产品出售</w:t>
            </w:r>
          </w:p>
        </w:tc>
        <w:tc>
          <w:tcPr>
            <w:tcW w:w="2464" w:type="dxa"/>
            <w:tcBorders>
              <w:left w:val="single" w:color="auto" w:sz="6" w:space="0"/>
              <w:right w:val="single" w:color="auto" w:sz="6" w:space="0"/>
            </w:tcBorders>
            <w:noWrap w:val="0"/>
            <w:vAlign w:val="center"/>
          </w:tcPr>
          <w:p w14:paraId="5C191D3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0DE03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91" w:type="dxa"/>
            <w:vMerge w:val="continue"/>
            <w:tcBorders>
              <w:left w:val="single" w:color="auto" w:sz="6" w:space="0"/>
              <w:right w:val="single" w:color="auto" w:sz="6" w:space="0"/>
            </w:tcBorders>
            <w:noWrap w:val="0"/>
            <w:vAlign w:val="center"/>
          </w:tcPr>
          <w:p w14:paraId="5F7FA09D">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52DB99C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40BDBB5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开采</w:t>
            </w:r>
          </w:p>
        </w:tc>
        <w:tc>
          <w:tcPr>
            <w:tcW w:w="1221" w:type="dxa"/>
            <w:tcBorders>
              <w:top w:val="single" w:color="auto" w:sz="6" w:space="0"/>
              <w:left w:val="single" w:color="auto" w:sz="6" w:space="0"/>
              <w:right w:val="single" w:color="auto" w:sz="6" w:space="0"/>
            </w:tcBorders>
            <w:noWrap w:val="0"/>
            <w:vAlign w:val="center"/>
          </w:tcPr>
          <w:p w14:paraId="577BE96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废土石</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48B2961A">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用于修路或平整工业场地的北部及东部</w:t>
            </w:r>
          </w:p>
        </w:tc>
        <w:tc>
          <w:tcPr>
            <w:tcW w:w="2464" w:type="dxa"/>
            <w:tcBorders>
              <w:left w:val="single" w:color="auto" w:sz="6" w:space="0"/>
              <w:right w:val="single" w:color="auto" w:sz="6" w:space="0"/>
            </w:tcBorders>
            <w:noWrap w:val="0"/>
            <w:vAlign w:val="center"/>
          </w:tcPr>
          <w:p w14:paraId="51E44B46">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0D8B4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1" w:type="dxa"/>
            <w:vMerge w:val="continue"/>
            <w:tcBorders>
              <w:left w:val="single" w:color="auto" w:sz="6" w:space="0"/>
              <w:right w:val="single" w:color="auto" w:sz="6" w:space="0"/>
            </w:tcBorders>
            <w:noWrap w:val="0"/>
            <w:vAlign w:val="center"/>
          </w:tcPr>
          <w:p w14:paraId="59295667">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65D9910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6E1753D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设备检修</w:t>
            </w:r>
          </w:p>
        </w:tc>
        <w:tc>
          <w:tcPr>
            <w:tcW w:w="1221" w:type="dxa"/>
            <w:tcBorders>
              <w:top w:val="single" w:color="auto" w:sz="6" w:space="0"/>
              <w:left w:val="single" w:color="auto" w:sz="6" w:space="0"/>
              <w:right w:val="single" w:color="auto" w:sz="6" w:space="0"/>
            </w:tcBorders>
            <w:noWrap w:val="0"/>
            <w:vAlign w:val="center"/>
          </w:tcPr>
          <w:p w14:paraId="15E080A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废机油</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48D9043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3"/>
                <w:sz w:val="22"/>
                <w:szCs w:val="22"/>
                <w:highlight w:val="none"/>
              </w:rPr>
              <w:t>暂存于危险废物暂存</w:t>
            </w:r>
            <w:r>
              <w:rPr>
                <w:rFonts w:ascii="Times New Roman" w:hAnsi="Times New Roman" w:eastAsia="宋体" w:cs="Times New Roman"/>
                <w:color w:val="auto"/>
                <w:spacing w:val="-10"/>
                <w:sz w:val="22"/>
                <w:szCs w:val="22"/>
                <w:highlight w:val="none"/>
              </w:rPr>
              <w:t>间，</w:t>
            </w:r>
            <w:r>
              <w:rPr>
                <w:rFonts w:hint="eastAsia" w:ascii="Times New Roman" w:hAnsi="Times New Roman" w:eastAsia="宋体" w:cs="Times New Roman"/>
                <w:b w:val="0"/>
                <w:bCs w:val="0"/>
                <w:color w:val="auto"/>
                <w:sz w:val="22"/>
                <w:szCs w:val="22"/>
                <w:highlight w:val="none"/>
                <w:vertAlign w:val="baseline"/>
                <w:lang w:bidi="en-US"/>
              </w:rPr>
              <w:t>外售给有资质单位综合利用或处置</w:t>
            </w:r>
          </w:p>
        </w:tc>
        <w:tc>
          <w:tcPr>
            <w:tcW w:w="2464" w:type="dxa"/>
            <w:tcBorders>
              <w:left w:val="single" w:color="auto" w:sz="6" w:space="0"/>
              <w:right w:val="single" w:color="auto" w:sz="6" w:space="0"/>
            </w:tcBorders>
            <w:noWrap w:val="0"/>
            <w:vAlign w:val="center"/>
          </w:tcPr>
          <w:p w14:paraId="27DCB4F0">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《危险废物贮存污染物控制标准》（GB18597-2001）标准及其2013年修改单标准</w:t>
            </w:r>
          </w:p>
        </w:tc>
      </w:tr>
      <w:tr w14:paraId="0E683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91" w:type="dxa"/>
            <w:vMerge w:val="continue"/>
            <w:tcBorders>
              <w:left w:val="single" w:color="auto" w:sz="6" w:space="0"/>
              <w:right w:val="single" w:color="auto" w:sz="6" w:space="0"/>
            </w:tcBorders>
            <w:noWrap w:val="0"/>
            <w:vAlign w:val="center"/>
          </w:tcPr>
          <w:p w14:paraId="044E9B02">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491" w:type="dxa"/>
            <w:vMerge w:val="continue"/>
            <w:tcBorders>
              <w:left w:val="single" w:color="auto" w:sz="6" w:space="0"/>
              <w:right w:val="single" w:color="auto" w:sz="6" w:space="0"/>
            </w:tcBorders>
            <w:noWrap w:val="0"/>
            <w:vAlign w:val="center"/>
          </w:tcPr>
          <w:p w14:paraId="6D8A505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p>
        </w:tc>
        <w:tc>
          <w:tcPr>
            <w:tcW w:w="1454" w:type="dxa"/>
            <w:tcBorders>
              <w:top w:val="single" w:color="auto" w:sz="6" w:space="0"/>
              <w:left w:val="single" w:color="auto" w:sz="6" w:space="0"/>
              <w:right w:val="single" w:color="auto" w:sz="6" w:space="0"/>
            </w:tcBorders>
            <w:noWrap w:val="0"/>
            <w:vAlign w:val="center"/>
          </w:tcPr>
          <w:p w14:paraId="4B567C2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生活垃圾</w:t>
            </w:r>
          </w:p>
        </w:tc>
        <w:tc>
          <w:tcPr>
            <w:tcW w:w="1221" w:type="dxa"/>
            <w:tcBorders>
              <w:top w:val="single" w:color="auto" w:sz="6" w:space="0"/>
              <w:left w:val="single" w:color="auto" w:sz="6" w:space="0"/>
              <w:right w:val="single" w:color="auto" w:sz="6" w:space="0"/>
            </w:tcBorders>
            <w:noWrap w:val="0"/>
            <w:vAlign w:val="center"/>
          </w:tcPr>
          <w:p w14:paraId="04EDB225">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生活垃圾</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3E154391">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ascii="Times New Roman" w:hAnsi="Times New Roman" w:eastAsia="宋体" w:cs="Times New Roman"/>
                <w:color w:val="auto"/>
                <w:sz w:val="22"/>
                <w:szCs w:val="22"/>
                <w:highlight w:val="none"/>
              </w:rPr>
              <w:t>定期清运至</w:t>
            </w:r>
            <w:r>
              <w:rPr>
                <w:rFonts w:hint="eastAsia" w:ascii="Times New Roman" w:hAnsi="Times New Roman" w:eastAsia="宋体" w:cs="Times New Roman"/>
                <w:color w:val="auto"/>
                <w:sz w:val="22"/>
                <w:szCs w:val="22"/>
                <w:highlight w:val="none"/>
                <w:lang w:val="en-US" w:eastAsia="zh-CN"/>
              </w:rPr>
              <w:t>环卫部门指定地点</w:t>
            </w:r>
          </w:p>
        </w:tc>
        <w:tc>
          <w:tcPr>
            <w:tcW w:w="2464" w:type="dxa"/>
            <w:tcBorders>
              <w:left w:val="single" w:color="auto" w:sz="6" w:space="0"/>
              <w:right w:val="single" w:color="auto" w:sz="6" w:space="0"/>
            </w:tcBorders>
            <w:noWrap w:val="0"/>
            <w:vAlign w:val="center"/>
          </w:tcPr>
          <w:p w14:paraId="3C29C182">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对环境影响不大</w:t>
            </w:r>
          </w:p>
        </w:tc>
      </w:tr>
      <w:tr w14:paraId="7EB66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891" w:type="dxa"/>
            <w:vMerge w:val="continue"/>
            <w:tcBorders>
              <w:left w:val="single" w:color="auto" w:sz="6" w:space="0"/>
              <w:right w:val="single" w:color="auto" w:sz="6" w:space="0"/>
            </w:tcBorders>
            <w:noWrap w:val="0"/>
            <w:vAlign w:val="center"/>
          </w:tcPr>
          <w:p w14:paraId="5AF8221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color w:val="auto"/>
                <w:highlight w:val="none"/>
              </w:rPr>
            </w:pPr>
          </w:p>
        </w:tc>
        <w:tc>
          <w:tcPr>
            <w:tcW w:w="491" w:type="dxa"/>
            <w:vMerge w:val="continue"/>
            <w:tcBorders>
              <w:left w:val="single" w:color="auto" w:sz="6" w:space="0"/>
              <w:right w:val="single" w:color="auto" w:sz="6" w:space="0"/>
            </w:tcBorders>
            <w:noWrap w:val="0"/>
            <w:vAlign w:val="center"/>
          </w:tcPr>
          <w:p w14:paraId="2B2A7EF7">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color w:val="auto"/>
                <w:highlight w:val="none"/>
              </w:rPr>
            </w:pPr>
          </w:p>
        </w:tc>
        <w:tc>
          <w:tcPr>
            <w:tcW w:w="1454" w:type="dxa"/>
            <w:tcBorders>
              <w:top w:val="single" w:color="auto" w:sz="6" w:space="0"/>
              <w:left w:val="single" w:color="auto" w:sz="6" w:space="0"/>
              <w:right w:val="single" w:color="auto" w:sz="6" w:space="0"/>
            </w:tcBorders>
            <w:noWrap w:val="0"/>
            <w:vAlign w:val="center"/>
          </w:tcPr>
          <w:p w14:paraId="3EF0FC24">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爆破</w:t>
            </w:r>
          </w:p>
        </w:tc>
        <w:tc>
          <w:tcPr>
            <w:tcW w:w="1221" w:type="dxa"/>
            <w:tcBorders>
              <w:top w:val="single" w:color="auto" w:sz="6" w:space="0"/>
              <w:left w:val="single" w:color="auto" w:sz="6" w:space="0"/>
              <w:right w:val="single" w:color="auto" w:sz="6" w:space="0"/>
            </w:tcBorders>
            <w:noWrap w:val="0"/>
            <w:vAlign w:val="center"/>
          </w:tcPr>
          <w:p w14:paraId="09F4E369">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废雷管</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6724FA1C">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交由爆破公司代为处理和处置</w:t>
            </w:r>
          </w:p>
        </w:tc>
        <w:tc>
          <w:tcPr>
            <w:tcW w:w="2464" w:type="dxa"/>
            <w:tcBorders>
              <w:left w:val="single" w:color="auto" w:sz="6" w:space="0"/>
              <w:right w:val="single" w:color="auto" w:sz="6" w:space="0"/>
            </w:tcBorders>
            <w:noWrap w:val="0"/>
            <w:vAlign w:val="center"/>
          </w:tcPr>
          <w:p w14:paraId="010A70F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Times New Roman"/>
                <w:color w:val="auto"/>
                <w:sz w:val="22"/>
                <w:szCs w:val="22"/>
                <w:highlight w:val="none"/>
                <w:lang w:val="en-US" w:eastAsia="zh-CN"/>
              </w:rPr>
            </w:pPr>
            <w:r>
              <w:rPr>
                <w:rFonts w:ascii="Times New Roman" w:hAnsi="Times New Roman" w:eastAsia="宋体" w:cs="Times New Roman"/>
                <w:color w:val="auto"/>
                <w:sz w:val="22"/>
                <w:szCs w:val="22"/>
                <w:highlight w:val="none"/>
              </w:rPr>
              <w:t>对环境影响不大</w:t>
            </w:r>
          </w:p>
        </w:tc>
      </w:tr>
      <w:tr w14:paraId="67B9C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dxa"/>
            <w:gridSpan w:val="2"/>
            <w:tcBorders>
              <w:left w:val="single" w:color="auto" w:sz="6" w:space="0"/>
              <w:right w:val="single" w:color="auto" w:sz="6" w:space="0"/>
            </w:tcBorders>
            <w:noWrap w:val="0"/>
            <w:vAlign w:val="center"/>
          </w:tcPr>
          <w:p w14:paraId="70A91A6B">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其它</w:t>
            </w:r>
          </w:p>
        </w:tc>
        <w:tc>
          <w:tcPr>
            <w:tcW w:w="7689" w:type="dxa"/>
            <w:gridSpan w:val="4"/>
            <w:tcBorders>
              <w:left w:val="single" w:color="auto" w:sz="6" w:space="0"/>
              <w:bottom w:val="single" w:color="auto" w:sz="6" w:space="0"/>
              <w:right w:val="single" w:color="auto" w:sz="6" w:space="0"/>
            </w:tcBorders>
            <w:noWrap w:val="0"/>
            <w:vAlign w:val="center"/>
          </w:tcPr>
          <w:p w14:paraId="52D0017D">
            <w:pPr>
              <w:keepNext w:val="0"/>
              <w:keepLines w:val="0"/>
              <w:pageBreakBefore w:val="0"/>
              <w:kinsoku/>
              <w:wordWrap/>
              <w:overflowPunct/>
              <w:topLinePunct w:val="0"/>
              <w:autoSpaceDE/>
              <w:autoSpaceDN/>
              <w:bidi w:val="0"/>
              <w:adjustRightInd/>
              <w:snapToGrid/>
              <w:spacing w:line="320" w:lineRule="exact"/>
              <w:ind w:right="0" w:rightChars="0" w:firstLine="0" w:firstLineChars="0"/>
              <w:jc w:val="center"/>
              <w:textAlignment w:val="auto"/>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采取相关减振措施后，低频振动对环境影响不大。</w:t>
            </w:r>
          </w:p>
        </w:tc>
      </w:tr>
      <w:tr w14:paraId="0FEA4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71" w:type="dxa"/>
            <w:gridSpan w:val="6"/>
            <w:tcBorders>
              <w:top w:val="single" w:color="auto" w:sz="6" w:space="0"/>
              <w:left w:val="single" w:color="auto" w:sz="6" w:space="0"/>
              <w:bottom w:val="single" w:color="auto" w:sz="6" w:space="0"/>
              <w:right w:val="single" w:color="auto" w:sz="6" w:space="0"/>
            </w:tcBorders>
            <w:noWrap w:val="0"/>
            <w:vAlign w:val="top"/>
          </w:tcPr>
          <w:p w14:paraId="7041E774">
            <w:pPr>
              <w:spacing w:line="360" w:lineRule="auto"/>
              <w:rPr>
                <w:b/>
                <w:color w:val="auto"/>
                <w:sz w:val="24"/>
                <w:highlight w:val="none"/>
              </w:rPr>
            </w:pPr>
            <w:r>
              <w:rPr>
                <w:b/>
                <w:color w:val="auto"/>
                <w:sz w:val="24"/>
                <w:highlight w:val="none"/>
              </w:rPr>
              <w:t>生态保护措施及预期效果</w:t>
            </w:r>
          </w:p>
          <w:p w14:paraId="51DC5842">
            <w:pPr>
              <w:pStyle w:val="2"/>
              <w:keepNext w:val="0"/>
              <w:keepLines w:val="0"/>
              <w:pageBreakBefore w:val="0"/>
              <w:widowControl w:val="0"/>
              <w:kinsoku/>
              <w:wordWrap/>
              <w:overflowPunct/>
              <w:topLinePunct w:val="0"/>
              <w:autoSpaceDE/>
              <w:autoSpaceDN/>
              <w:bidi w:val="0"/>
              <w:adjustRightInd/>
              <w:snapToGrid/>
              <w:spacing w:line="480" w:lineRule="exact"/>
              <w:ind w:firstLine="520"/>
              <w:textAlignment w:val="auto"/>
              <w:rPr>
                <w:rFonts w:hint="eastAsia"/>
                <w:bCs w:val="0"/>
                <w:snapToGrid w:val="0"/>
                <w:color w:val="auto"/>
                <w:spacing w:val="11"/>
                <w:kern w:val="0"/>
                <w:sz w:val="26"/>
                <w:szCs w:val="26"/>
                <w:highlight w:val="none"/>
              </w:rPr>
            </w:pPr>
            <w:r>
              <w:rPr>
                <w:rFonts w:hint="eastAsia"/>
                <w:bCs w:val="0"/>
                <w:snapToGrid w:val="0"/>
                <w:color w:val="auto"/>
                <w:spacing w:val="11"/>
                <w:kern w:val="0"/>
                <w:sz w:val="26"/>
                <w:szCs w:val="26"/>
                <w:highlight w:val="none"/>
              </w:rPr>
              <w:t>在采场采矿、装卸、运输过程采取定期洒水、外运矿石密闭化运输以及矿石外运经过村庄时减速慢行等措施后，项目产生的扬尘对周围环境影响不大</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对现有的水土保持措施进行维护，保证正常运行</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lang w:val="en-US" w:eastAsia="zh-CN"/>
              </w:rPr>
              <w:t>开采后产的废土石用于项目区场地填平，不外弃，</w:t>
            </w:r>
            <w:r>
              <w:rPr>
                <w:rFonts w:hint="eastAsia"/>
                <w:bCs w:val="0"/>
                <w:snapToGrid w:val="0"/>
                <w:color w:val="auto"/>
                <w:spacing w:val="11"/>
                <w:kern w:val="0"/>
                <w:sz w:val="26"/>
                <w:szCs w:val="26"/>
                <w:highlight w:val="none"/>
              </w:rPr>
              <w:t>该项目在生产关闭后应对已造成植被破坏的地方进行植被恢复，大力加强矿山生态环境恢复治理，通过对土地生态恢复绿化和植被恢复，可有效防止水土流失面积进一步扩大。只要防治措施得当，本项目对水土流失的影响不会很大</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对矿区开采区周边设置截水沟，与现状的沉淀池相连接</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在矿区各开采工作面之前挖</w:t>
            </w:r>
            <w:r>
              <w:rPr>
                <w:rFonts w:hint="eastAsia"/>
                <w:bCs w:val="0"/>
                <w:snapToGrid w:val="0"/>
                <w:color w:val="auto"/>
                <w:spacing w:val="11"/>
                <w:kern w:val="0"/>
                <w:sz w:val="26"/>
                <w:szCs w:val="26"/>
                <w:highlight w:val="none"/>
                <w:lang w:val="en-US" w:eastAsia="zh-CN"/>
              </w:rPr>
              <w:t>一</w:t>
            </w:r>
            <w:r>
              <w:rPr>
                <w:rFonts w:hint="eastAsia"/>
                <w:bCs w:val="0"/>
                <w:snapToGrid w:val="0"/>
                <w:color w:val="auto"/>
                <w:spacing w:val="11"/>
                <w:kern w:val="0"/>
                <w:sz w:val="26"/>
                <w:szCs w:val="26"/>
                <w:highlight w:val="none"/>
              </w:rPr>
              <w:t>条横向导流渠，将雨水引至矿区外，防止水土流失</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废石场四周、堆矿场修建截水沟</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堆矿场遵循“先治后用”原则，同时采用篷布遮盖，防止雨水直接冲刷，废石场设挡土墙，将从挡土墙底部排泄出的雨水导入沉淀池</w:t>
            </w:r>
            <w:r>
              <w:rPr>
                <w:rFonts w:hint="eastAsia"/>
                <w:bCs w:val="0"/>
                <w:snapToGrid w:val="0"/>
                <w:color w:val="auto"/>
                <w:spacing w:val="11"/>
                <w:kern w:val="0"/>
                <w:sz w:val="26"/>
                <w:szCs w:val="26"/>
                <w:highlight w:val="none"/>
                <w:lang w:eastAsia="zh-CN"/>
              </w:rPr>
              <w:t>；</w:t>
            </w:r>
            <w:r>
              <w:rPr>
                <w:rFonts w:hint="eastAsia"/>
                <w:bCs w:val="0"/>
                <w:snapToGrid w:val="0"/>
                <w:color w:val="auto"/>
                <w:spacing w:val="11"/>
                <w:kern w:val="0"/>
                <w:sz w:val="26"/>
                <w:szCs w:val="26"/>
                <w:highlight w:val="none"/>
              </w:rPr>
              <w:t>定期检查截水沟、导流渠等排水设施通畅，对于堵塞的部位及时清理，以便雨水及时排出。</w:t>
            </w:r>
          </w:p>
          <w:p w14:paraId="6513659B">
            <w:pPr>
              <w:pStyle w:val="2"/>
              <w:keepNext w:val="0"/>
              <w:keepLines w:val="0"/>
              <w:pageBreakBefore w:val="0"/>
              <w:widowControl w:val="0"/>
              <w:kinsoku/>
              <w:wordWrap/>
              <w:overflowPunct/>
              <w:topLinePunct w:val="0"/>
              <w:autoSpaceDE/>
              <w:autoSpaceDN/>
              <w:bidi w:val="0"/>
              <w:adjustRightInd/>
              <w:snapToGrid/>
              <w:spacing w:line="480" w:lineRule="exact"/>
              <w:ind w:firstLine="520"/>
              <w:textAlignment w:val="auto"/>
              <w:rPr>
                <w:rFonts w:hint="eastAsia"/>
                <w:bCs w:val="0"/>
                <w:snapToGrid w:val="0"/>
                <w:color w:val="auto"/>
                <w:spacing w:val="11"/>
                <w:kern w:val="0"/>
                <w:sz w:val="26"/>
                <w:szCs w:val="26"/>
                <w:highlight w:val="none"/>
              </w:rPr>
            </w:pPr>
            <w:r>
              <w:rPr>
                <w:rFonts w:hint="eastAsia"/>
                <w:bCs w:val="0"/>
                <w:snapToGrid w:val="0"/>
                <w:color w:val="auto"/>
                <w:spacing w:val="11"/>
                <w:kern w:val="0"/>
                <w:sz w:val="26"/>
                <w:szCs w:val="26"/>
                <w:highlight w:val="none"/>
              </w:rPr>
              <w:t>通过采取上述措施，扩建项目对区域生态影响较小。</w:t>
            </w:r>
          </w:p>
          <w:p w14:paraId="20BB9B11">
            <w:pPr>
              <w:pStyle w:val="2"/>
              <w:spacing w:line="360" w:lineRule="auto"/>
              <w:ind w:firstLine="520"/>
              <w:rPr>
                <w:rFonts w:hint="eastAsia"/>
                <w:bCs/>
                <w:snapToGrid w:val="0"/>
                <w:color w:val="auto"/>
                <w:kern w:val="0"/>
                <w:szCs w:val="24"/>
                <w:highlight w:val="none"/>
              </w:rPr>
            </w:pPr>
          </w:p>
          <w:p w14:paraId="0FB98951">
            <w:pPr>
              <w:pStyle w:val="4"/>
              <w:rPr>
                <w:rFonts w:hint="eastAsia"/>
                <w:bCs/>
                <w:snapToGrid w:val="0"/>
                <w:color w:val="auto"/>
                <w:kern w:val="0"/>
                <w:szCs w:val="24"/>
                <w:highlight w:val="none"/>
              </w:rPr>
            </w:pPr>
          </w:p>
          <w:p w14:paraId="5F0EB054">
            <w:pPr>
              <w:rPr>
                <w:rFonts w:hint="eastAsia"/>
                <w:bCs/>
                <w:snapToGrid w:val="0"/>
                <w:color w:val="auto"/>
                <w:kern w:val="0"/>
                <w:szCs w:val="24"/>
                <w:highlight w:val="none"/>
              </w:rPr>
            </w:pPr>
          </w:p>
          <w:p w14:paraId="08F7D036">
            <w:pPr>
              <w:pStyle w:val="2"/>
              <w:rPr>
                <w:rFonts w:hint="eastAsia"/>
                <w:bCs/>
                <w:snapToGrid w:val="0"/>
                <w:color w:val="auto"/>
                <w:kern w:val="0"/>
                <w:szCs w:val="24"/>
                <w:highlight w:val="none"/>
              </w:rPr>
            </w:pPr>
          </w:p>
          <w:p w14:paraId="79B83388">
            <w:pPr>
              <w:pStyle w:val="4"/>
              <w:rPr>
                <w:rFonts w:hint="eastAsia"/>
                <w:bCs/>
                <w:snapToGrid w:val="0"/>
                <w:color w:val="auto"/>
                <w:kern w:val="0"/>
                <w:szCs w:val="24"/>
                <w:highlight w:val="none"/>
              </w:rPr>
            </w:pPr>
          </w:p>
          <w:p w14:paraId="327A2A9E">
            <w:pPr>
              <w:rPr>
                <w:rFonts w:hint="eastAsia"/>
                <w:bCs/>
                <w:snapToGrid w:val="0"/>
                <w:color w:val="auto"/>
                <w:kern w:val="0"/>
                <w:szCs w:val="24"/>
                <w:highlight w:val="none"/>
              </w:rPr>
            </w:pPr>
          </w:p>
          <w:p w14:paraId="6C3A2585">
            <w:pPr>
              <w:pStyle w:val="2"/>
              <w:rPr>
                <w:rFonts w:hint="eastAsia"/>
                <w:bCs/>
                <w:snapToGrid w:val="0"/>
                <w:color w:val="auto"/>
                <w:kern w:val="0"/>
                <w:szCs w:val="24"/>
                <w:highlight w:val="none"/>
              </w:rPr>
            </w:pPr>
          </w:p>
          <w:p w14:paraId="18DE804E">
            <w:pPr>
              <w:pStyle w:val="4"/>
              <w:rPr>
                <w:rFonts w:hint="eastAsia"/>
                <w:bCs/>
                <w:snapToGrid w:val="0"/>
                <w:color w:val="auto"/>
                <w:kern w:val="0"/>
                <w:szCs w:val="24"/>
                <w:highlight w:val="none"/>
              </w:rPr>
            </w:pPr>
          </w:p>
          <w:p w14:paraId="48D814F3">
            <w:pPr>
              <w:rPr>
                <w:rFonts w:hint="eastAsia"/>
                <w:bCs/>
                <w:snapToGrid w:val="0"/>
                <w:color w:val="auto"/>
                <w:kern w:val="0"/>
                <w:szCs w:val="24"/>
                <w:highlight w:val="none"/>
              </w:rPr>
            </w:pPr>
          </w:p>
          <w:p w14:paraId="72BFAFBC">
            <w:pPr>
              <w:pStyle w:val="2"/>
              <w:rPr>
                <w:rFonts w:hint="eastAsia"/>
                <w:bCs/>
                <w:snapToGrid w:val="0"/>
                <w:color w:val="auto"/>
                <w:kern w:val="0"/>
                <w:szCs w:val="24"/>
                <w:highlight w:val="none"/>
              </w:rPr>
            </w:pPr>
          </w:p>
          <w:p w14:paraId="4A64DFB5">
            <w:pPr>
              <w:pStyle w:val="4"/>
              <w:rPr>
                <w:rFonts w:hint="eastAsia"/>
                <w:bCs/>
                <w:snapToGrid w:val="0"/>
                <w:color w:val="auto"/>
                <w:kern w:val="0"/>
                <w:szCs w:val="24"/>
                <w:highlight w:val="none"/>
              </w:rPr>
            </w:pPr>
          </w:p>
          <w:p w14:paraId="5B051581">
            <w:pPr>
              <w:rPr>
                <w:rFonts w:hint="eastAsia"/>
                <w:bCs/>
                <w:snapToGrid w:val="0"/>
                <w:color w:val="auto"/>
                <w:kern w:val="0"/>
                <w:szCs w:val="24"/>
                <w:highlight w:val="none"/>
              </w:rPr>
            </w:pPr>
          </w:p>
          <w:p w14:paraId="5ACF4B43">
            <w:pPr>
              <w:pStyle w:val="4"/>
              <w:ind w:left="0" w:leftChars="0" w:firstLine="0" w:firstLineChars="0"/>
              <w:rPr>
                <w:rFonts w:hint="eastAsia"/>
                <w:color w:val="auto"/>
                <w:highlight w:val="none"/>
              </w:rPr>
            </w:pPr>
          </w:p>
          <w:p w14:paraId="300B2674">
            <w:pPr>
              <w:pStyle w:val="2"/>
              <w:spacing w:line="360" w:lineRule="auto"/>
              <w:ind w:firstLine="520"/>
              <w:rPr>
                <w:bCs/>
                <w:snapToGrid w:val="0"/>
                <w:color w:val="auto"/>
                <w:kern w:val="0"/>
                <w:szCs w:val="24"/>
                <w:highlight w:val="none"/>
              </w:rPr>
            </w:pPr>
          </w:p>
          <w:p w14:paraId="0CCCBBC0">
            <w:pPr>
              <w:spacing w:line="360" w:lineRule="auto"/>
              <w:ind w:firstLine="480" w:firstLineChars="200"/>
              <w:rPr>
                <w:color w:val="auto"/>
                <w:sz w:val="24"/>
                <w:highlight w:val="none"/>
              </w:rPr>
            </w:pPr>
          </w:p>
          <w:p w14:paraId="18A8ADCE">
            <w:pPr>
              <w:spacing w:line="360" w:lineRule="auto"/>
              <w:ind w:firstLine="480" w:firstLineChars="200"/>
              <w:rPr>
                <w:color w:val="auto"/>
                <w:sz w:val="24"/>
                <w:highlight w:val="none"/>
              </w:rPr>
            </w:pPr>
          </w:p>
          <w:p w14:paraId="52E78486">
            <w:pPr>
              <w:spacing w:line="360" w:lineRule="auto"/>
              <w:ind w:firstLine="480" w:firstLineChars="200"/>
              <w:rPr>
                <w:color w:val="auto"/>
                <w:sz w:val="24"/>
                <w:highlight w:val="none"/>
              </w:rPr>
            </w:pPr>
          </w:p>
          <w:p w14:paraId="5466DDC1">
            <w:pPr>
              <w:spacing w:line="360" w:lineRule="auto"/>
              <w:rPr>
                <w:color w:val="auto"/>
                <w:sz w:val="24"/>
                <w:highlight w:val="none"/>
              </w:rPr>
            </w:pPr>
          </w:p>
          <w:p w14:paraId="0477C6B6">
            <w:pPr>
              <w:pStyle w:val="2"/>
              <w:ind w:firstLine="520"/>
              <w:rPr>
                <w:color w:val="auto"/>
                <w:highlight w:val="none"/>
              </w:rPr>
            </w:pPr>
          </w:p>
          <w:p w14:paraId="490465A6">
            <w:pPr>
              <w:pStyle w:val="4"/>
              <w:ind w:firstLine="210"/>
              <w:rPr>
                <w:color w:val="auto"/>
                <w:highlight w:val="none"/>
              </w:rPr>
            </w:pPr>
          </w:p>
          <w:p w14:paraId="2FBDC947">
            <w:pPr>
              <w:spacing w:line="360" w:lineRule="auto"/>
              <w:rPr>
                <w:color w:val="auto"/>
                <w:highlight w:val="none"/>
              </w:rPr>
            </w:pPr>
          </w:p>
          <w:p w14:paraId="646069A6">
            <w:pPr>
              <w:spacing w:line="360" w:lineRule="auto"/>
              <w:rPr>
                <w:color w:val="auto"/>
                <w:highlight w:val="none"/>
              </w:rPr>
            </w:pPr>
          </w:p>
        </w:tc>
      </w:tr>
    </w:tbl>
    <w:p w14:paraId="51AEA514">
      <w:pPr>
        <w:pStyle w:val="15"/>
        <w:rPr>
          <w:color w:val="auto"/>
          <w:highlight w:val="none"/>
        </w:rPr>
      </w:pPr>
    </w:p>
    <w:p w14:paraId="7757C877">
      <w:pPr>
        <w:pStyle w:val="6"/>
        <w:spacing w:before="312" w:after="312"/>
        <w:jc w:val="left"/>
        <w:rPr>
          <w:rFonts w:ascii="Times New Roman" w:hAnsi="Times New Roman" w:eastAsia="宋体"/>
          <w:color w:val="auto"/>
          <w:highlight w:val="none"/>
        </w:rPr>
      </w:pPr>
      <w:bookmarkStart w:id="55" w:name="_Toc24463"/>
      <w:bookmarkStart w:id="56" w:name="_Toc24583"/>
      <w:r>
        <w:rPr>
          <w:rFonts w:ascii="Times New Roman" w:hAnsi="Times New Roman" w:eastAsia="宋体"/>
          <w:color w:val="auto"/>
          <w:highlight w:val="none"/>
        </w:rPr>
        <w:t>表</w:t>
      </w:r>
      <w:r>
        <w:rPr>
          <w:rFonts w:hint="eastAsia" w:ascii="Times New Roman" w:hAnsi="Times New Roman" w:eastAsia="宋体"/>
          <w:color w:val="auto"/>
          <w:highlight w:val="none"/>
          <w:lang w:val="en-US" w:eastAsia="zh-CN"/>
        </w:rPr>
        <w:t>九、</w:t>
      </w:r>
      <w:r>
        <w:rPr>
          <w:rFonts w:ascii="Times New Roman" w:hAnsi="Times New Roman" w:eastAsia="宋体"/>
          <w:color w:val="auto"/>
          <w:highlight w:val="none"/>
        </w:rPr>
        <w:t>结论与建议</w:t>
      </w:r>
      <w:bookmarkEnd w:id="55"/>
      <w:bookmarkEnd w:id="56"/>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1"/>
      </w:tblGrid>
      <w:tr w14:paraId="74E7A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9071" w:type="dxa"/>
            <w:tcBorders>
              <w:top w:val="single" w:color="auto" w:sz="6" w:space="0"/>
              <w:left w:val="single" w:color="auto" w:sz="6" w:space="0"/>
              <w:bottom w:val="single" w:color="auto" w:sz="6" w:space="0"/>
              <w:right w:val="single" w:color="auto" w:sz="6" w:space="0"/>
            </w:tcBorders>
            <w:noWrap w:val="0"/>
            <w:vAlign w:val="top"/>
          </w:tcPr>
          <w:p w14:paraId="05DACE3F">
            <w:pPr>
              <w:spacing w:line="360" w:lineRule="auto"/>
              <w:rPr>
                <w:b/>
                <w:color w:val="auto"/>
                <w:sz w:val="24"/>
                <w:highlight w:val="none"/>
              </w:rPr>
            </w:pPr>
            <w:r>
              <w:rPr>
                <w:b/>
                <w:color w:val="auto"/>
                <w:sz w:val="24"/>
                <w:highlight w:val="none"/>
              </w:rPr>
              <w:t>一、 结论</w:t>
            </w:r>
          </w:p>
          <w:p w14:paraId="19C426E1">
            <w:pPr>
              <w:keepNext w:val="0"/>
              <w:keepLines w:val="0"/>
              <w:pageBreakBefore w:val="0"/>
              <w:kinsoku/>
              <w:wordWrap/>
              <w:overflowPunct/>
              <w:topLinePunct w:val="0"/>
              <w:autoSpaceDE/>
              <w:autoSpaceDN/>
              <w:bidi w:val="0"/>
              <w:spacing w:line="480" w:lineRule="exact"/>
              <w:ind w:left="0" w:leftChars="0" w:firstLine="482" w:firstLineChars="200"/>
              <w:jc w:val="both"/>
              <w:textAlignment w:val="auto"/>
              <w:outlineLvl w:val="9"/>
              <w:rPr>
                <w:b/>
                <w:color w:val="auto"/>
                <w:sz w:val="24"/>
                <w:szCs w:val="24"/>
                <w:highlight w:val="none"/>
                <w:lang w:val="zh-CN"/>
              </w:rPr>
            </w:pPr>
            <w:r>
              <w:rPr>
                <w:b/>
                <w:color w:val="auto"/>
                <w:sz w:val="24"/>
                <w:szCs w:val="24"/>
                <w:highlight w:val="none"/>
              </w:rPr>
              <w:t>1、项目概况</w:t>
            </w:r>
          </w:p>
          <w:p w14:paraId="7CC4D6C2">
            <w:pPr>
              <w:pStyle w:val="16"/>
              <w:keepNext w:val="0"/>
              <w:keepLines w:val="0"/>
              <w:pageBreakBefore w:val="0"/>
              <w:widowControl w:val="0"/>
              <w:kinsoku/>
              <w:wordWrap/>
              <w:overflowPunct/>
              <w:topLinePunct w:val="0"/>
              <w:autoSpaceDE/>
              <w:autoSpaceDN/>
              <w:bidi w:val="0"/>
              <w:adjustRightInd w:val="0"/>
              <w:snapToGrid w:val="0"/>
              <w:spacing w:line="480" w:lineRule="exact"/>
              <w:ind w:left="0" w:leftChars="0" w:firstLine="520" w:firstLineChars="200"/>
              <w:jc w:val="both"/>
              <w:textAlignment w:val="auto"/>
              <w:outlineLvl w:val="9"/>
              <w:rPr>
                <w:rFonts w:eastAsia="宋体"/>
                <w:color w:val="auto"/>
                <w:sz w:val="26"/>
                <w:szCs w:val="26"/>
                <w:highlight w:val="none"/>
              </w:rPr>
            </w:pPr>
            <w:r>
              <w:rPr>
                <w:rFonts w:hint="eastAsia" w:eastAsia="宋体"/>
                <w:color w:val="auto"/>
                <w:sz w:val="26"/>
                <w:szCs w:val="26"/>
                <w:highlight w:val="none"/>
              </w:rPr>
              <w:t>矿区位于东川区350°方向，直距约30km，地处东川区拖布卡镇大荒地村排子田小组境内。本项目经昆明市东川区自然资源局划定的采区面积为0.1365km</w:t>
            </w:r>
            <w:r>
              <w:rPr>
                <w:rFonts w:hint="eastAsia" w:eastAsia="宋体"/>
                <w:color w:val="auto"/>
                <w:sz w:val="26"/>
                <w:szCs w:val="26"/>
                <w:highlight w:val="none"/>
                <w:vertAlign w:val="superscript"/>
              </w:rPr>
              <w:t>2</w:t>
            </w:r>
            <w:r>
              <w:rPr>
                <w:rFonts w:hint="eastAsia" w:eastAsia="宋体"/>
                <w:color w:val="auto"/>
                <w:sz w:val="26"/>
                <w:szCs w:val="26"/>
                <w:highlight w:val="none"/>
              </w:rPr>
              <w:t>，开采标高1200m-1030m，矿山设计采矿规模为年采灰岩矿30万吨。可采资源量243.37万m</w:t>
            </w:r>
            <w:r>
              <w:rPr>
                <w:rFonts w:hint="eastAsia" w:eastAsia="宋体"/>
                <w:color w:val="auto"/>
                <w:sz w:val="26"/>
                <w:szCs w:val="26"/>
                <w:highlight w:val="none"/>
                <w:vertAlign w:val="superscript"/>
              </w:rPr>
              <w:t>3</w:t>
            </w:r>
            <w:r>
              <w:rPr>
                <w:rFonts w:hint="eastAsia" w:eastAsia="宋体"/>
                <w:color w:val="auto"/>
                <w:sz w:val="26"/>
                <w:szCs w:val="26"/>
                <w:highlight w:val="none"/>
              </w:rPr>
              <w:t>（661.96万t），推断的边坡影响资源量585.02万m</w:t>
            </w:r>
            <w:r>
              <w:rPr>
                <w:rFonts w:hint="eastAsia" w:eastAsia="宋体"/>
                <w:color w:val="auto"/>
                <w:sz w:val="26"/>
                <w:szCs w:val="26"/>
                <w:highlight w:val="none"/>
                <w:vertAlign w:val="superscript"/>
              </w:rPr>
              <w:t>3</w:t>
            </w:r>
            <w:r>
              <w:rPr>
                <w:rFonts w:hint="eastAsia" w:eastAsia="宋体"/>
                <w:color w:val="auto"/>
                <w:sz w:val="26"/>
                <w:szCs w:val="26"/>
                <w:highlight w:val="none"/>
              </w:rPr>
              <w:t>（1591.26万t），服务年限为20.96 年。主要现有建设内容包括堆料区、原料破碎加工区、生活办公区、场内公路等</w:t>
            </w:r>
            <w:r>
              <w:rPr>
                <w:rFonts w:eastAsia="宋体"/>
                <w:color w:val="auto"/>
                <w:sz w:val="26"/>
                <w:szCs w:val="26"/>
                <w:highlight w:val="none"/>
              </w:rPr>
              <w:t>。</w:t>
            </w:r>
          </w:p>
          <w:p w14:paraId="005562ED">
            <w:pPr>
              <w:pStyle w:val="16"/>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jc w:val="both"/>
              <w:textAlignment w:val="auto"/>
              <w:outlineLvl w:val="9"/>
              <w:rPr>
                <w:rFonts w:eastAsia="宋体"/>
                <w:b/>
                <w:color w:val="auto"/>
                <w:sz w:val="24"/>
                <w:highlight w:val="none"/>
                <w:lang w:val="zh-CN"/>
              </w:rPr>
            </w:pPr>
            <w:r>
              <w:rPr>
                <w:rFonts w:eastAsia="宋体"/>
                <w:b/>
                <w:color w:val="auto"/>
                <w:sz w:val="24"/>
                <w:highlight w:val="none"/>
              </w:rPr>
              <w:t>2、</w:t>
            </w:r>
            <w:r>
              <w:rPr>
                <w:rFonts w:eastAsia="宋体"/>
                <w:b/>
                <w:color w:val="auto"/>
                <w:sz w:val="24"/>
                <w:highlight w:val="none"/>
                <w:lang w:val="zh-CN"/>
              </w:rPr>
              <w:t>产业政策相符性</w:t>
            </w:r>
          </w:p>
          <w:p w14:paraId="77354776">
            <w:pPr>
              <w:keepNext w:val="0"/>
              <w:keepLines w:val="0"/>
              <w:pageBreakBefore w:val="0"/>
              <w:kinsoku/>
              <w:wordWrap/>
              <w:overflowPunct/>
              <w:topLinePunct w:val="0"/>
              <w:autoSpaceDE/>
              <w:autoSpaceDN/>
              <w:bidi w:val="0"/>
              <w:spacing w:line="480" w:lineRule="exact"/>
              <w:ind w:left="0" w:leftChars="0" w:firstLine="520" w:firstLineChars="200"/>
              <w:jc w:val="both"/>
              <w:textAlignment w:val="auto"/>
              <w:outlineLvl w:val="9"/>
              <w:rPr>
                <w:rFonts w:ascii="Times New Roman" w:hAnsi="Times New Roman"/>
                <w:color w:val="auto"/>
                <w:sz w:val="26"/>
                <w:szCs w:val="26"/>
                <w:highlight w:val="none"/>
              </w:rPr>
            </w:pPr>
            <w:r>
              <w:rPr>
                <w:rFonts w:hint="eastAsia" w:ascii="Times New Roman" w:hAnsi="Times New Roman"/>
                <w:color w:val="auto"/>
                <w:sz w:val="26"/>
                <w:szCs w:val="26"/>
                <w:highlight w:val="none"/>
                <w:vertAlign w:val="baseline"/>
              </w:rPr>
              <w:t>根据国家《产业结构调整指导目录(201</w:t>
            </w:r>
            <w:r>
              <w:rPr>
                <w:rFonts w:hint="eastAsia" w:ascii="Times New Roman" w:hAnsi="Times New Roman"/>
                <w:color w:val="auto"/>
                <w:sz w:val="26"/>
                <w:szCs w:val="26"/>
                <w:highlight w:val="none"/>
                <w:vertAlign w:val="baseline"/>
                <w:lang w:val="en-US" w:eastAsia="zh-CN"/>
              </w:rPr>
              <w:t>9</w:t>
            </w:r>
            <w:r>
              <w:rPr>
                <w:rFonts w:hint="eastAsia" w:ascii="Times New Roman" w:hAnsi="Times New Roman"/>
                <w:color w:val="auto"/>
                <w:sz w:val="26"/>
                <w:szCs w:val="26"/>
                <w:highlight w:val="none"/>
                <w:vertAlign w:val="baseline"/>
              </w:rPr>
              <w:t>年本)》，项目不属于国家限制类、淘汰类项目和鼓励类，为允许类，其建设符合国家产业政策的要求。且本项目的生产规模和采用的技术不是国家限制建设的矿山，符合国家产业政策。</w:t>
            </w:r>
          </w:p>
          <w:p w14:paraId="47B829EA">
            <w:pPr>
              <w:pStyle w:val="16"/>
              <w:keepNext w:val="0"/>
              <w:keepLines w:val="0"/>
              <w:pageBreakBefore w:val="0"/>
              <w:kinsoku/>
              <w:wordWrap/>
              <w:overflowPunct/>
              <w:topLinePunct w:val="0"/>
              <w:autoSpaceDE/>
              <w:autoSpaceDN/>
              <w:bidi w:val="0"/>
              <w:adjustRightInd w:val="0"/>
              <w:snapToGrid w:val="0"/>
              <w:spacing w:line="480" w:lineRule="exact"/>
              <w:ind w:left="0" w:leftChars="0" w:firstLine="482" w:firstLineChars="200"/>
              <w:jc w:val="both"/>
              <w:textAlignment w:val="auto"/>
              <w:outlineLvl w:val="9"/>
              <w:rPr>
                <w:rFonts w:eastAsia="宋体"/>
                <w:b/>
                <w:color w:val="auto"/>
                <w:sz w:val="24"/>
                <w:highlight w:val="none"/>
                <w:lang w:val="zh-CN"/>
              </w:rPr>
            </w:pPr>
            <w:r>
              <w:rPr>
                <w:rFonts w:eastAsia="宋体"/>
                <w:b/>
                <w:color w:val="auto"/>
                <w:sz w:val="24"/>
                <w:highlight w:val="none"/>
              </w:rPr>
              <w:t>3、</w:t>
            </w:r>
            <w:r>
              <w:rPr>
                <w:rFonts w:eastAsia="宋体"/>
                <w:b/>
                <w:color w:val="auto"/>
                <w:sz w:val="24"/>
                <w:highlight w:val="none"/>
                <w:lang w:val="zh-CN"/>
              </w:rPr>
              <w:t>选址合理性</w:t>
            </w:r>
          </w:p>
          <w:p w14:paraId="24DF031D">
            <w:pPr>
              <w:ind w:firstLine="520"/>
              <w:rPr>
                <w:rFonts w:hint="default" w:eastAsia="宋体"/>
                <w:color w:val="auto"/>
                <w:sz w:val="26"/>
                <w:szCs w:val="26"/>
                <w:highlight w:val="none"/>
                <w:lang w:val="en-US"/>
              </w:rPr>
            </w:pPr>
            <w:r>
              <w:rPr>
                <w:rFonts w:hint="eastAsia" w:ascii="Times New Roman" w:hAnsi="Times New Roman"/>
                <w:color w:val="auto"/>
                <w:highlight w:val="none"/>
              </w:rPr>
              <w:t>矿区位于东川区350°方向，地处东川区拖布卡镇大荒地村排子田小组境内</w:t>
            </w:r>
            <w:r>
              <w:rPr>
                <w:rFonts w:hint="eastAsia" w:ascii="Times New Roman" w:hAnsi="Times New Roman"/>
                <w:color w:val="auto"/>
                <w:highlight w:val="none"/>
                <w:lang w:eastAsia="zh-CN"/>
              </w:rPr>
              <w:t>，</w:t>
            </w:r>
            <w:r>
              <w:rPr>
                <w:rFonts w:hint="eastAsia" w:ascii="Times New Roman" w:hAnsi="Times New Roman"/>
                <w:color w:val="auto"/>
                <w:highlight w:val="none"/>
              </w:rPr>
              <w:t>本项目采区开采深度由+</w:t>
            </w:r>
            <w:r>
              <w:rPr>
                <w:rFonts w:hint="eastAsia" w:ascii="Times New Roman" w:hAnsi="Times New Roman"/>
                <w:color w:val="auto"/>
                <w:highlight w:val="none"/>
                <w:lang w:val="en-US" w:eastAsia="zh-CN"/>
              </w:rPr>
              <w:t>1</w:t>
            </w:r>
            <w:r>
              <w:rPr>
                <w:rFonts w:hint="eastAsia"/>
                <w:color w:val="auto"/>
                <w:highlight w:val="none"/>
                <w:lang w:val="en-US" w:eastAsia="zh-CN"/>
              </w:rPr>
              <w:t>200</w:t>
            </w:r>
            <w:r>
              <w:rPr>
                <w:rFonts w:hint="eastAsia" w:ascii="Times New Roman" w:hAnsi="Times New Roman"/>
                <w:color w:val="auto"/>
                <w:highlight w:val="none"/>
              </w:rPr>
              <w:t>m ~+</w:t>
            </w:r>
            <w:r>
              <w:rPr>
                <w:rFonts w:hint="eastAsia" w:ascii="Times New Roman" w:hAnsi="Times New Roman"/>
                <w:color w:val="auto"/>
                <w:highlight w:val="none"/>
                <w:lang w:val="en-US" w:eastAsia="zh-CN"/>
              </w:rPr>
              <w:t>1</w:t>
            </w:r>
            <w:r>
              <w:rPr>
                <w:rFonts w:hint="eastAsia"/>
                <w:color w:val="auto"/>
                <w:highlight w:val="none"/>
                <w:lang w:val="en-US" w:eastAsia="zh-CN"/>
              </w:rPr>
              <w:t>030</w:t>
            </w:r>
            <w:r>
              <w:rPr>
                <w:rFonts w:hint="eastAsia" w:ascii="Times New Roman" w:hAnsi="Times New Roman"/>
                <w:color w:val="auto"/>
                <w:highlight w:val="none"/>
              </w:rPr>
              <w:t>m</w:t>
            </w:r>
            <w:r>
              <w:rPr>
                <w:rFonts w:hint="eastAsia" w:ascii="Times New Roman" w:hAnsi="Times New Roman"/>
                <w:color w:val="auto"/>
                <w:highlight w:val="none"/>
                <w:lang w:eastAsia="zh-CN"/>
              </w:rPr>
              <w:t>，</w:t>
            </w:r>
            <w:r>
              <w:rPr>
                <w:rFonts w:hint="eastAsia" w:ascii="Times New Roman" w:hAnsi="Times New Roman"/>
                <w:color w:val="auto"/>
                <w:highlight w:val="none"/>
              </w:rPr>
              <w:t>矿区面积0.</w:t>
            </w:r>
            <w:r>
              <w:rPr>
                <w:rFonts w:hint="eastAsia" w:ascii="Times New Roman" w:hAnsi="Times New Roman"/>
                <w:color w:val="auto"/>
                <w:highlight w:val="none"/>
                <w:lang w:val="en-US" w:eastAsia="zh-CN"/>
              </w:rPr>
              <w:t>1365</w:t>
            </w:r>
            <w:r>
              <w:rPr>
                <w:rFonts w:hint="eastAsia" w:ascii="Times New Roman" w:hAnsi="Times New Roman"/>
                <w:color w:val="auto"/>
                <w:highlight w:val="none"/>
              </w:rPr>
              <w:t>km</w:t>
            </w:r>
            <w:r>
              <w:rPr>
                <w:rFonts w:hint="eastAsia" w:ascii="Times New Roman" w:hAnsi="Times New Roman"/>
                <w:color w:val="auto"/>
                <w:highlight w:val="none"/>
                <w:vertAlign w:val="superscript"/>
              </w:rPr>
              <w:t>2</w:t>
            </w:r>
            <w:r>
              <w:rPr>
                <w:rFonts w:hint="eastAsia" w:ascii="Times New Roman" w:hAnsi="Times New Roman"/>
                <w:color w:val="auto"/>
                <w:highlight w:val="none"/>
              </w:rPr>
              <w:t>。项目矿区周边不存在矿界重叠问题，无矿权争议本项目矿区的安全防护距离内</w:t>
            </w:r>
            <w:r>
              <w:rPr>
                <w:rFonts w:hint="eastAsia" w:ascii="Times New Roman" w:hAnsi="Times New Roman"/>
                <w:color w:val="auto"/>
                <w:highlight w:val="none"/>
                <w:lang w:val="en-US" w:eastAsia="zh-CN"/>
              </w:rPr>
              <w:t>无</w:t>
            </w:r>
            <w:r>
              <w:rPr>
                <w:rFonts w:hint="eastAsia" w:ascii="Times New Roman" w:hAnsi="Times New Roman"/>
                <w:color w:val="auto"/>
                <w:highlight w:val="none"/>
              </w:rPr>
              <w:t>村民居住</w:t>
            </w:r>
            <w:r>
              <w:rPr>
                <w:rFonts w:hint="eastAsia" w:ascii="Times New Roman" w:hAnsi="Times New Roman"/>
                <w:color w:val="auto"/>
                <w:highlight w:val="none"/>
                <w:lang w:eastAsia="zh-CN"/>
              </w:rPr>
              <w:t>，</w:t>
            </w:r>
            <w:r>
              <w:rPr>
                <w:rFonts w:hint="eastAsia" w:ascii="Times New Roman" w:hAnsi="Times New Roman"/>
                <w:color w:val="auto"/>
                <w:highlight w:val="none"/>
              </w:rPr>
              <w:t>矿区距离最近的村民处于矿区主导风向的侧风向。</w:t>
            </w:r>
            <w:r>
              <w:rPr>
                <w:rFonts w:hint="eastAsia" w:ascii="Times New Roman" w:hAnsi="Times New Roman"/>
                <w:color w:val="auto"/>
                <w:highlight w:val="none"/>
                <w:lang w:val="en-US" w:eastAsia="zh-CN"/>
              </w:rPr>
              <w:t>本工程不在自然保护区、饮用水源保护区、文物保护单位、地质公园、基本农田保护区、生态空间保护红线内，不属于地质灾害危险区，项目选址合理。</w:t>
            </w:r>
          </w:p>
          <w:p w14:paraId="4635934C">
            <w:pPr>
              <w:keepNext w:val="0"/>
              <w:keepLines w:val="0"/>
              <w:pageBreakBefore w:val="0"/>
              <w:widowControl/>
              <w:kinsoku/>
              <w:wordWrap/>
              <w:overflowPunct/>
              <w:topLinePunct w:val="0"/>
              <w:autoSpaceDE/>
              <w:autoSpaceDN/>
              <w:bidi w:val="0"/>
              <w:spacing w:line="480" w:lineRule="exact"/>
              <w:ind w:left="0" w:leftChars="0" w:firstLine="482" w:firstLineChars="200"/>
              <w:jc w:val="both"/>
              <w:textAlignment w:val="auto"/>
              <w:outlineLvl w:val="9"/>
              <w:rPr>
                <w:b/>
                <w:bCs/>
                <w:color w:val="auto"/>
                <w:sz w:val="24"/>
                <w:szCs w:val="24"/>
                <w:highlight w:val="none"/>
              </w:rPr>
            </w:pPr>
            <w:r>
              <w:rPr>
                <w:b/>
                <w:bCs/>
                <w:color w:val="auto"/>
                <w:sz w:val="24"/>
                <w:szCs w:val="24"/>
                <w:highlight w:val="none"/>
              </w:rPr>
              <w:t>4、清洁生产分析结论</w:t>
            </w:r>
          </w:p>
          <w:p w14:paraId="605934F5">
            <w:pPr>
              <w:keepNext w:val="0"/>
              <w:keepLines w:val="0"/>
              <w:pageBreakBefore w:val="0"/>
              <w:widowControl/>
              <w:kinsoku/>
              <w:wordWrap/>
              <w:overflowPunct/>
              <w:topLinePunct w:val="0"/>
              <w:autoSpaceDE/>
              <w:autoSpaceDN/>
              <w:bidi w:val="0"/>
              <w:spacing w:line="480" w:lineRule="exact"/>
              <w:ind w:left="0" w:leftChars="0" w:firstLine="520" w:firstLineChars="200"/>
              <w:jc w:val="both"/>
              <w:textAlignment w:val="auto"/>
              <w:outlineLvl w:val="9"/>
              <w:rPr>
                <w:rFonts w:ascii="Times New Roman" w:hAnsi="Times New Roman"/>
                <w:color w:val="auto"/>
                <w:sz w:val="26"/>
                <w:szCs w:val="26"/>
                <w:highlight w:val="none"/>
              </w:rPr>
            </w:pPr>
            <w:r>
              <w:rPr>
                <w:rFonts w:ascii="Times New Roman" w:hAnsi="Times New Roman"/>
                <w:color w:val="auto"/>
                <w:sz w:val="26"/>
                <w:szCs w:val="26"/>
                <w:highlight w:val="none"/>
              </w:rPr>
              <w:t>通过生产工艺和设备、资源能源消耗指标、污染物排放指标、制定的环境管理措施以及类比分析综合评价，该项目生产工艺和设备、资源能源消耗指标和污染物排放指标处于相对先进水平</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lang w:val="en-US" w:eastAsia="zh-CN"/>
              </w:rPr>
              <w:t>本</w:t>
            </w:r>
            <w:r>
              <w:rPr>
                <w:rFonts w:ascii="Times New Roman" w:hAnsi="Times New Roman"/>
                <w:color w:val="auto"/>
                <w:sz w:val="26"/>
                <w:szCs w:val="26"/>
                <w:highlight w:val="none"/>
              </w:rPr>
              <w:t>项目产生的废水不外排。</w:t>
            </w:r>
          </w:p>
          <w:p w14:paraId="3A4E6295">
            <w:pPr>
              <w:keepNext w:val="0"/>
              <w:keepLines w:val="0"/>
              <w:pageBreakBefore w:val="0"/>
              <w:widowControl/>
              <w:kinsoku/>
              <w:wordWrap/>
              <w:overflowPunct/>
              <w:topLinePunct w:val="0"/>
              <w:autoSpaceDE/>
              <w:autoSpaceDN/>
              <w:bidi w:val="0"/>
              <w:spacing w:line="480" w:lineRule="exact"/>
              <w:ind w:left="0" w:leftChars="0" w:firstLine="520" w:firstLineChars="200"/>
              <w:jc w:val="both"/>
              <w:textAlignment w:val="auto"/>
              <w:outlineLvl w:val="9"/>
              <w:rPr>
                <w:rFonts w:ascii="Times New Roman" w:hAnsi="Times New Roman"/>
                <w:color w:val="auto"/>
                <w:sz w:val="26"/>
                <w:szCs w:val="26"/>
                <w:highlight w:val="none"/>
              </w:rPr>
            </w:pPr>
            <w:r>
              <w:rPr>
                <w:rFonts w:ascii="Times New Roman" w:hAnsi="Times New Roman"/>
                <w:color w:val="auto"/>
                <w:sz w:val="26"/>
                <w:szCs w:val="26"/>
                <w:highlight w:val="none"/>
              </w:rPr>
              <w:t>因此，项目技改生产工艺成熟、可靠对产生的污染物都进行了合理有效的治理，废物回收利用，贯彻了以“节能、降耗、减污、增效”的清洁生产的要求。</w:t>
            </w:r>
          </w:p>
          <w:p w14:paraId="4E33D907">
            <w:pPr>
              <w:widowControl/>
              <w:spacing w:line="360" w:lineRule="auto"/>
              <w:ind w:firstLine="482" w:firstLineChars="200"/>
              <w:jc w:val="left"/>
              <w:outlineLvl w:val="1"/>
              <w:rPr>
                <w:b/>
                <w:color w:val="auto"/>
                <w:sz w:val="24"/>
                <w:highlight w:val="none"/>
                <w:lang w:val="zh-CN"/>
              </w:rPr>
            </w:pPr>
            <w:r>
              <w:rPr>
                <w:b/>
                <w:bCs/>
                <w:color w:val="auto"/>
                <w:sz w:val="24"/>
                <w:szCs w:val="24"/>
                <w:highlight w:val="none"/>
              </w:rPr>
              <w:t>5、</w:t>
            </w:r>
            <w:r>
              <w:rPr>
                <w:b/>
                <w:color w:val="auto"/>
                <w:sz w:val="24"/>
                <w:highlight w:val="none"/>
                <w:lang w:val="zh-CN"/>
              </w:rPr>
              <w:t>环境现状结论</w:t>
            </w:r>
          </w:p>
          <w:p w14:paraId="67106E85">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（1）大气环境质量状况</w:t>
            </w:r>
          </w:p>
          <w:p w14:paraId="11145DB4">
            <w:pPr>
              <w:pStyle w:val="36"/>
              <w:keepNext w:val="0"/>
              <w:keepLines w:val="0"/>
              <w:pageBreakBefore w:val="0"/>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hint="eastAsia" w:ascii="Times New Roman" w:hAnsi="Times New Roman" w:eastAsia="宋体" w:cs="Times New Roman"/>
                <w:color w:val="auto"/>
                <w:highlight w:val="none"/>
              </w:rPr>
              <w:t>根据《201</w:t>
            </w:r>
            <w:r>
              <w:rPr>
                <w:rFonts w:hint="eastAsia" w:ascii="Times New Roman" w:hAnsi="Times New Roman" w:cs="Times New Roman"/>
                <w:color w:val="auto"/>
                <w:highlight w:val="none"/>
                <w:lang w:val="en-US" w:eastAsia="zh-CN"/>
              </w:rPr>
              <w:t>9</w:t>
            </w:r>
            <w:r>
              <w:rPr>
                <w:rFonts w:hint="eastAsia" w:ascii="Times New Roman" w:hAnsi="Times New Roman" w:eastAsia="宋体" w:cs="Times New Roman"/>
                <w:color w:val="auto"/>
                <w:highlight w:val="none"/>
              </w:rPr>
              <w:t>东川区环境状况公报》统计数据</w:t>
            </w:r>
            <w:r>
              <w:rPr>
                <w:rFonts w:hint="eastAsia" w:ascii="Times New Roman" w:hAnsi="Times New Roman" w:cs="Times New Roman"/>
                <w:color w:val="auto"/>
                <w:sz w:val="26"/>
                <w:szCs w:val="26"/>
                <w:highlight w:val="none"/>
              </w:rPr>
              <w:t>及补充监测</w:t>
            </w:r>
            <w:r>
              <w:rPr>
                <w:rFonts w:ascii="Times New Roman" w:hAnsi="Times New Roman" w:cs="Times New Roman"/>
                <w:color w:val="auto"/>
                <w:sz w:val="26"/>
                <w:szCs w:val="26"/>
                <w:highlight w:val="none"/>
              </w:rPr>
              <w:t>，项目区域大气环境质量</w:t>
            </w:r>
            <w:r>
              <w:rPr>
                <w:rFonts w:ascii="Times New Roman" w:hAnsi="Times New Roman" w:cs="Times New Roman"/>
                <w:color w:val="auto"/>
                <w:sz w:val="26"/>
                <w:szCs w:val="26"/>
                <w:highlight w:val="none"/>
                <w:lang w:val="en-US" w:bidi="ar-SA"/>
              </w:rPr>
              <w:t>满足《环境空气质量标准》（GB3095-2012）二级标准要求</w:t>
            </w:r>
            <w:r>
              <w:rPr>
                <w:rFonts w:ascii="Times New Roman" w:hAnsi="Times New Roman" w:cs="Times New Roman"/>
                <w:color w:val="auto"/>
                <w:sz w:val="26"/>
                <w:szCs w:val="26"/>
                <w:highlight w:val="none"/>
              </w:rPr>
              <w:t>，项目所在区域为达标区</w:t>
            </w:r>
            <w:r>
              <w:rPr>
                <w:rFonts w:ascii="Times New Roman" w:hAnsi="Times New Roman" w:cs="Times New Roman"/>
                <w:color w:val="auto"/>
                <w:sz w:val="26"/>
                <w:szCs w:val="26"/>
                <w:highlight w:val="none"/>
                <w:lang w:val="en-US" w:bidi="ar-SA"/>
              </w:rPr>
              <w:t>，</w:t>
            </w:r>
          </w:p>
          <w:p w14:paraId="1EAA8266">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（2）地表水环境质量状况</w:t>
            </w:r>
          </w:p>
          <w:p w14:paraId="5D6459FA">
            <w:pPr>
              <w:adjustRightInd w:val="0"/>
              <w:snapToGrid w:val="0"/>
              <w:ind w:firstLine="522"/>
              <w:rPr>
                <w:rFonts w:ascii="Times New Roman" w:hAnsi="Times New Roman" w:cs="Times New Roman"/>
                <w:color w:val="auto"/>
                <w:sz w:val="26"/>
                <w:szCs w:val="26"/>
                <w:highlight w:val="none"/>
              </w:rPr>
            </w:pPr>
            <w:r>
              <w:rPr>
                <w:rFonts w:hint="eastAsia" w:ascii="Times New Roman" w:hAnsi="Times New Roman"/>
                <w:color w:val="auto"/>
                <w:highlight w:val="none"/>
              </w:rPr>
              <w:t>项目区属金沙江水系小江流域。小江（上游称大白河），属金沙江一级支流。根据《201</w:t>
            </w:r>
            <w:r>
              <w:rPr>
                <w:rFonts w:hint="eastAsia"/>
                <w:color w:val="auto"/>
                <w:highlight w:val="none"/>
                <w:lang w:val="en-US" w:eastAsia="zh-CN"/>
              </w:rPr>
              <w:t>9</w:t>
            </w:r>
            <w:r>
              <w:rPr>
                <w:rFonts w:hint="eastAsia" w:ascii="Times New Roman" w:hAnsi="Times New Roman"/>
                <w:color w:val="auto"/>
                <w:highlight w:val="none"/>
              </w:rPr>
              <w:t xml:space="preserve"> 年昆明市环境质量状况公报》，四级站断面水质类别</w:t>
            </w:r>
            <w:r>
              <w:rPr>
                <w:rFonts w:hint="eastAsia" w:ascii="Times New Roman" w:hAnsi="Times New Roman" w:eastAsia="宋体"/>
                <w:color w:val="auto"/>
                <w:highlight w:val="none"/>
              </w:rPr>
              <w:t>Ⅱ</w:t>
            </w:r>
            <w:r>
              <w:rPr>
                <w:rFonts w:hint="eastAsia" w:ascii="Times New Roman" w:hAnsi="Times New Roman" w:eastAsia="宋体"/>
                <w:color w:val="auto"/>
                <w:highlight w:val="none"/>
                <w:lang w:val="en-US" w:eastAsia="zh-CN"/>
              </w:rPr>
              <w:t>类，2018年水质达</w:t>
            </w:r>
            <w:r>
              <w:rPr>
                <w:rFonts w:hint="eastAsia" w:ascii="Times New Roman" w:hAnsi="Times New Roman" w:eastAsia="宋体"/>
                <w:color w:val="auto"/>
                <w:highlight w:val="none"/>
              </w:rPr>
              <w:t>Ⅲ类，</w:t>
            </w:r>
            <w:r>
              <w:rPr>
                <w:rFonts w:hint="eastAsia" w:ascii="Times New Roman" w:hAnsi="Times New Roman" w:eastAsia="宋体"/>
                <w:color w:val="auto"/>
                <w:highlight w:val="none"/>
                <w:lang w:val="en-US" w:eastAsia="zh-CN"/>
              </w:rPr>
              <w:t>相对2018年水环境质量有所</w:t>
            </w:r>
            <w:r>
              <w:rPr>
                <w:rFonts w:hint="eastAsia"/>
                <w:color w:val="auto"/>
                <w:highlight w:val="none"/>
                <w:lang w:val="en-US" w:eastAsia="zh-CN"/>
              </w:rPr>
              <w:t>提高，</w:t>
            </w:r>
            <w:r>
              <w:rPr>
                <w:rFonts w:hint="eastAsia" w:ascii="Times New Roman" w:hAnsi="Times New Roman"/>
                <w:color w:val="auto"/>
                <w:highlight w:val="none"/>
              </w:rPr>
              <w:t>达到水质保护目标，项目区地表水环境质量较好。</w:t>
            </w:r>
          </w:p>
          <w:p w14:paraId="1DD22892">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（3）声环境质量状况</w:t>
            </w:r>
          </w:p>
          <w:p w14:paraId="55DD9816">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kern w:val="0"/>
                <w:sz w:val="26"/>
                <w:szCs w:val="26"/>
                <w:highlight w:val="none"/>
              </w:rPr>
            </w:pPr>
            <w:r>
              <w:rPr>
                <w:rFonts w:hint="eastAsia" w:ascii="Times New Roman" w:hAnsi="Times New Roman" w:cs="Times New Roman"/>
                <w:snapToGrid w:val="0"/>
                <w:color w:val="auto"/>
                <w:kern w:val="0"/>
                <w:sz w:val="26"/>
                <w:szCs w:val="26"/>
                <w:highlight w:val="none"/>
              </w:rPr>
              <w:t>本项目区位于</w:t>
            </w:r>
            <w:r>
              <w:rPr>
                <w:rFonts w:hint="eastAsia" w:cs="Times New Roman"/>
                <w:snapToGrid w:val="0"/>
                <w:color w:val="auto"/>
                <w:kern w:val="0"/>
                <w:sz w:val="26"/>
                <w:szCs w:val="26"/>
                <w:highlight w:val="none"/>
                <w:lang w:val="en-US" w:eastAsia="zh-CN"/>
              </w:rPr>
              <w:t>东川排子田区域</w:t>
            </w:r>
            <w:r>
              <w:rPr>
                <w:rFonts w:hint="eastAsia" w:ascii="Times New Roman" w:hAnsi="Times New Roman" w:cs="Times New Roman"/>
                <w:snapToGrid w:val="0"/>
                <w:color w:val="auto"/>
                <w:kern w:val="0"/>
                <w:sz w:val="26"/>
                <w:szCs w:val="26"/>
                <w:highlight w:val="none"/>
              </w:rPr>
              <w:t>，据</w:t>
            </w:r>
            <w:r>
              <w:rPr>
                <w:rFonts w:hint="eastAsia" w:cs="Times New Roman"/>
                <w:snapToGrid w:val="0"/>
                <w:color w:val="auto"/>
                <w:kern w:val="0"/>
                <w:sz w:val="26"/>
                <w:szCs w:val="26"/>
                <w:highlight w:val="none"/>
                <w:lang w:val="en-US" w:eastAsia="zh-CN"/>
              </w:rPr>
              <w:t>现状</w:t>
            </w:r>
            <w:r>
              <w:rPr>
                <w:rFonts w:hint="eastAsia" w:ascii="Times New Roman" w:hAnsi="Times New Roman" w:cs="Times New Roman"/>
                <w:snapToGrid w:val="0"/>
                <w:color w:val="auto"/>
                <w:kern w:val="0"/>
                <w:sz w:val="26"/>
                <w:szCs w:val="26"/>
                <w:highlight w:val="none"/>
              </w:rPr>
              <w:t>监测报告可知，项目区均满足</w:t>
            </w:r>
            <w:r>
              <w:rPr>
                <w:rFonts w:hint="eastAsia" w:ascii="Times New Roman" w:hAnsi="Times New Roman" w:cs="Times New Roman"/>
                <w:color w:val="auto"/>
                <w:kern w:val="0"/>
                <w:sz w:val="26"/>
                <w:szCs w:val="26"/>
                <w:highlight w:val="none"/>
              </w:rPr>
              <w:t>《声环境质量标准》（GB3096-2008）的2类区标准。</w:t>
            </w:r>
          </w:p>
          <w:p w14:paraId="36EC6E4B">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（4）</w:t>
            </w:r>
            <w:r>
              <w:rPr>
                <w:rFonts w:hint="eastAsia" w:cs="Times New Roman"/>
                <w:color w:val="auto"/>
                <w:sz w:val="26"/>
                <w:szCs w:val="26"/>
                <w:highlight w:val="none"/>
                <w:lang w:val="en-US" w:eastAsia="zh-CN"/>
              </w:rPr>
              <w:t>土壤</w:t>
            </w:r>
            <w:r>
              <w:rPr>
                <w:rFonts w:ascii="Times New Roman" w:hAnsi="Times New Roman" w:cs="Times New Roman"/>
                <w:color w:val="auto"/>
                <w:sz w:val="26"/>
                <w:szCs w:val="26"/>
                <w:highlight w:val="none"/>
              </w:rPr>
              <w:t>环境质量现状</w:t>
            </w:r>
          </w:p>
          <w:p w14:paraId="60C82BE9">
            <w:pPr>
              <w:pStyle w:val="3"/>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根据现场踏勘</w:t>
            </w:r>
            <w:r>
              <w:rPr>
                <w:rFonts w:hint="eastAsia" w:cs="Times New Roman"/>
                <w:color w:val="auto"/>
                <w:sz w:val="26"/>
                <w:szCs w:val="26"/>
                <w:highlight w:val="none"/>
                <w:lang w:val="en-US" w:eastAsia="zh-CN"/>
              </w:rPr>
              <w:t>及现状监测报告</w:t>
            </w:r>
            <w:r>
              <w:rPr>
                <w:rFonts w:ascii="Times New Roman" w:hAnsi="Times New Roman" w:cs="Times New Roman"/>
                <w:color w:val="auto"/>
                <w:sz w:val="26"/>
                <w:szCs w:val="26"/>
                <w:highlight w:val="none"/>
              </w:rPr>
              <w:t>，</w:t>
            </w:r>
            <w:r>
              <w:rPr>
                <w:rFonts w:hint="eastAsia" w:cs="Times New Roman"/>
                <w:color w:val="auto"/>
                <w:sz w:val="26"/>
                <w:szCs w:val="26"/>
                <w:highlight w:val="none"/>
                <w:lang w:val="en-US" w:eastAsia="zh-CN"/>
              </w:rPr>
              <w:t>本项目土壤各监测点位均能满足《土壤环境质量 建设用地土壤污染风险管控标准（试行）》（GB36600-2018）第二类用地筛选值标准</w:t>
            </w:r>
            <w:r>
              <w:rPr>
                <w:rFonts w:ascii="Times New Roman" w:hAnsi="Times New Roman" w:cs="Times New Roman"/>
                <w:color w:val="auto"/>
                <w:sz w:val="26"/>
                <w:szCs w:val="26"/>
                <w:highlight w:val="none"/>
              </w:rPr>
              <w:t>。</w:t>
            </w:r>
          </w:p>
          <w:p w14:paraId="2C18F2AE">
            <w:pPr>
              <w:keepNext w:val="0"/>
              <w:keepLines w:val="0"/>
              <w:pageBreakBefore w:val="0"/>
              <w:widowControl/>
              <w:kinsoku/>
              <w:wordWrap/>
              <w:overflowPunct/>
              <w:topLinePunct w:val="0"/>
              <w:autoSpaceDE/>
              <w:autoSpaceDN/>
              <w:bidi w:val="0"/>
              <w:adjustRightInd/>
              <w:snapToGrid/>
              <w:spacing w:line="480" w:lineRule="exact"/>
              <w:ind w:firstLine="520" w:firstLineChars="200"/>
              <w:jc w:val="both"/>
              <w:textAlignment w:val="auto"/>
              <w:rPr>
                <w:rFonts w:ascii="Times New Roman" w:hAnsi="Times New Roman" w:cs="Times New Roman"/>
                <w:color w:val="auto"/>
                <w:sz w:val="26"/>
                <w:szCs w:val="26"/>
                <w:highlight w:val="none"/>
              </w:rPr>
            </w:pPr>
            <w:r>
              <w:rPr>
                <w:rFonts w:ascii="Times New Roman" w:hAnsi="Times New Roman" w:cs="Times New Roman"/>
                <w:color w:val="auto"/>
                <w:sz w:val="26"/>
                <w:szCs w:val="26"/>
                <w:highlight w:val="none"/>
              </w:rPr>
              <w:t>（4）生态环境质量现状</w:t>
            </w:r>
          </w:p>
          <w:p w14:paraId="103B5C4E">
            <w:pPr>
              <w:rPr>
                <w:color w:val="auto"/>
                <w:highlight w:val="none"/>
              </w:rPr>
            </w:pPr>
            <w:r>
              <w:rPr>
                <w:rFonts w:hint="eastAsia" w:ascii="Times New Roman" w:hAnsi="Times New Roman"/>
                <w:color w:val="auto"/>
                <w:highlight w:val="none"/>
              </w:rPr>
              <w:t>根据现场调查，古滇路周边为村庄居民区</w:t>
            </w:r>
            <w:r>
              <w:rPr>
                <w:rFonts w:hint="eastAsia"/>
                <w:color w:val="auto"/>
                <w:highlight w:val="none"/>
                <w:lang w:val="en-US" w:eastAsia="zh-CN"/>
              </w:rPr>
              <w:t>距离较远</w:t>
            </w:r>
            <w:r>
              <w:rPr>
                <w:rFonts w:hint="eastAsia" w:ascii="Times New Roman" w:hAnsi="Times New Roman"/>
                <w:color w:val="auto"/>
                <w:highlight w:val="none"/>
              </w:rPr>
              <w:t>，</w:t>
            </w:r>
            <w:r>
              <w:rPr>
                <w:rFonts w:ascii="Times New Roman" w:hAnsi="Times New Roman"/>
                <w:color w:val="auto"/>
                <w:highlight w:val="none"/>
              </w:rPr>
              <w:t>本工程</w:t>
            </w:r>
            <w:r>
              <w:rPr>
                <w:rFonts w:hint="eastAsia" w:ascii="Times New Roman" w:hAnsi="Times New Roman"/>
                <w:color w:val="auto"/>
                <w:highlight w:val="none"/>
              </w:rPr>
              <w:t>占用土地主要</w:t>
            </w:r>
            <w:r>
              <w:rPr>
                <w:rFonts w:hint="eastAsia"/>
                <w:color w:val="auto"/>
                <w:highlight w:val="none"/>
                <w:lang w:val="en-US" w:eastAsia="zh-CN"/>
              </w:rPr>
              <w:t>为荒山荒坡，植被覆盖极少，</w:t>
            </w:r>
            <w:r>
              <w:rPr>
                <w:rFonts w:hint="eastAsia" w:ascii="Times New Roman" w:hAnsi="Times New Roman"/>
                <w:color w:val="auto"/>
                <w:highlight w:val="none"/>
              </w:rPr>
              <w:t>项目区目前大多为空地，未栽种植被，长有多种杂草，如鬼针草、紫茎泽兰、假酸浆、扭黄茅、狗尾草、牵牛花等。动物种类主要为少量鸟类及啮齿类动物等区域常见的广布种，无国家珍稀濒危保护物种、国家重点保护野生植物和云南省级重点保护动物，也没有发现特有种类存在，生物物种较少，生物多样性不高。项目建设区域内不涉及各类生态环境敏感区。</w:t>
            </w:r>
          </w:p>
          <w:p w14:paraId="77960F61">
            <w:pPr>
              <w:pStyle w:val="3"/>
              <w:spacing w:line="360" w:lineRule="auto"/>
              <w:ind w:firstLine="522" w:firstLineChars="200"/>
              <w:rPr>
                <w:snapToGrid w:val="0"/>
                <w:color w:val="auto"/>
                <w:szCs w:val="24"/>
                <w:highlight w:val="none"/>
              </w:rPr>
            </w:pPr>
            <w:r>
              <w:rPr>
                <w:b/>
                <w:color w:val="auto"/>
                <w:szCs w:val="24"/>
                <w:highlight w:val="none"/>
              </w:rPr>
              <w:t>6、</w:t>
            </w:r>
            <w:r>
              <w:rPr>
                <w:b/>
                <w:color w:val="auto"/>
                <w:szCs w:val="24"/>
                <w:highlight w:val="none"/>
                <w:lang w:val="zh-CN"/>
              </w:rPr>
              <w:t>施工期环境影响结论</w:t>
            </w:r>
          </w:p>
          <w:p w14:paraId="2BD907F1">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（1）大气环境影响结论</w:t>
            </w:r>
          </w:p>
          <w:p w14:paraId="76A9AD0F">
            <w:pPr>
              <w:spacing w:line="480" w:lineRule="exact"/>
              <w:ind w:firstLine="520"/>
              <w:rPr>
                <w:rFonts w:ascii="Times New Roman" w:hAnsi="Times New Roman" w:eastAsia="宋体" w:cs="Times New Roman"/>
                <w:color w:val="auto"/>
                <w:sz w:val="26"/>
                <w:szCs w:val="24"/>
                <w:highlight w:val="none"/>
              </w:rPr>
            </w:pPr>
            <w:r>
              <w:rPr>
                <w:rFonts w:hint="eastAsia" w:ascii="Times New Roman" w:hAnsi="Times New Roman" w:eastAsia="宋体" w:cs="Times New Roman"/>
                <w:color w:val="auto"/>
                <w:sz w:val="26"/>
                <w:szCs w:val="24"/>
                <w:highlight w:val="none"/>
              </w:rPr>
              <w:t>施工期废气主要为施工扬尘、燃油废气通过加强施工场地的管理，适时适量对施工场地进行洒水降尘，施工期废气对周围环境的影响较小，随着施工期的结束，对环境的影响也消失。</w:t>
            </w:r>
          </w:p>
          <w:p w14:paraId="3DEAABF5">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（2）水环境影响结论</w:t>
            </w:r>
          </w:p>
          <w:p w14:paraId="6A0617FB">
            <w:pPr>
              <w:spacing w:line="480" w:lineRule="exact"/>
              <w:ind w:firstLine="520"/>
              <w:rPr>
                <w:rFonts w:ascii="Times New Roman" w:hAnsi="Times New Roman" w:eastAsia="宋体" w:cs="Times New Roman"/>
                <w:color w:val="auto"/>
                <w:sz w:val="26"/>
                <w:szCs w:val="24"/>
                <w:highlight w:val="none"/>
              </w:rPr>
            </w:pPr>
            <w:r>
              <w:rPr>
                <w:rFonts w:hint="eastAsia" w:ascii="Times New Roman" w:hAnsi="Times New Roman" w:eastAsia="宋体" w:cs="Times New Roman"/>
                <w:color w:val="auto"/>
                <w:sz w:val="26"/>
                <w:szCs w:val="24"/>
                <w:highlight w:val="none"/>
              </w:rPr>
              <w:t>项目施工期废水主要为施工废水及生活污水，经收集于污水池，经沉淀处理后回用于施工场地洒水降尘，施工期无废水外排，对周围水环境影响很小。</w:t>
            </w:r>
          </w:p>
          <w:p w14:paraId="4762B27A">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（3）声环境影响结论</w:t>
            </w:r>
          </w:p>
          <w:p w14:paraId="35126775">
            <w:pPr>
              <w:spacing w:line="480" w:lineRule="exact"/>
              <w:ind w:firstLine="520"/>
              <w:rPr>
                <w:rFonts w:ascii="Times New Roman" w:hAnsi="Times New Roman" w:eastAsia="宋体" w:cs="Times New Roman"/>
                <w:color w:val="auto"/>
                <w:sz w:val="26"/>
                <w:szCs w:val="24"/>
                <w:highlight w:val="none"/>
              </w:rPr>
            </w:pPr>
            <w:r>
              <w:rPr>
                <w:rFonts w:hint="eastAsia" w:ascii="Times New Roman" w:hAnsi="Times New Roman" w:eastAsia="宋体" w:cs="Times New Roman"/>
                <w:color w:val="auto"/>
                <w:sz w:val="26"/>
                <w:szCs w:val="24"/>
                <w:highlight w:val="none"/>
              </w:rPr>
              <w:t>施工期间产生的施工噪声昼间对</w:t>
            </w:r>
            <w:r>
              <w:rPr>
                <w:rFonts w:hint="eastAsia" w:eastAsia="宋体" w:cs="Times New Roman"/>
                <w:color w:val="auto"/>
                <w:sz w:val="26"/>
                <w:szCs w:val="24"/>
                <w:highlight w:val="none"/>
                <w:lang w:val="en-US" w:eastAsia="zh-CN"/>
              </w:rPr>
              <w:t>4</w:t>
            </w:r>
            <w:r>
              <w:rPr>
                <w:rFonts w:hint="eastAsia" w:ascii="Times New Roman" w:hAnsi="Times New Roman" w:eastAsia="宋体" w:cs="Times New Roman"/>
                <w:color w:val="auto"/>
                <w:sz w:val="26"/>
                <w:szCs w:val="24"/>
                <w:highlight w:val="none"/>
              </w:rPr>
              <w:t>0m范围内控制，</w:t>
            </w:r>
            <w:r>
              <w:rPr>
                <w:rFonts w:hint="eastAsia" w:ascii="Times New Roman" w:hAnsi="Times New Roman"/>
                <w:color w:val="auto"/>
                <w:sz w:val="26"/>
                <w:szCs w:val="26"/>
                <w:highlight w:val="none"/>
                <w:vertAlign w:val="baseline"/>
              </w:rPr>
              <w:t>夜</w:t>
            </w:r>
            <w:r>
              <w:rPr>
                <w:rFonts w:hint="eastAsia" w:ascii="Times New Roman" w:hAnsi="Times New Roman" w:eastAsia="宋体" w:cs="Times New Roman"/>
                <w:color w:val="auto"/>
                <w:sz w:val="26"/>
                <w:szCs w:val="24"/>
                <w:highlight w:val="none"/>
              </w:rPr>
              <w:t>间对</w:t>
            </w:r>
            <w:r>
              <w:rPr>
                <w:rFonts w:hint="eastAsia" w:eastAsia="宋体" w:cs="Times New Roman"/>
                <w:color w:val="auto"/>
                <w:sz w:val="26"/>
                <w:szCs w:val="24"/>
                <w:highlight w:val="none"/>
                <w:lang w:val="en-US" w:eastAsia="zh-CN"/>
              </w:rPr>
              <w:t>20</w:t>
            </w:r>
            <w:r>
              <w:rPr>
                <w:rFonts w:hint="eastAsia" w:ascii="Times New Roman" w:hAnsi="Times New Roman" w:eastAsia="宋体" w:cs="Times New Roman"/>
                <w:color w:val="auto"/>
                <w:sz w:val="26"/>
                <w:szCs w:val="24"/>
                <w:highlight w:val="none"/>
              </w:rPr>
              <w:t>0m范围内控制，夜间不施工。结合外环境可知，施工期噪声影响是暂时性的，在采取相应的控制、管理措施，做到文明施工后，可使其影响减至最低，做到噪声不影响周围的人员。当施工期结束后，其影响也随之消失。</w:t>
            </w:r>
          </w:p>
          <w:p w14:paraId="31F1E069">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（4）固体废弃物影响结论</w:t>
            </w:r>
          </w:p>
          <w:p w14:paraId="74916FD2">
            <w:pPr>
              <w:spacing w:line="480" w:lineRule="exact"/>
              <w:ind w:firstLine="520" w:firstLineChars="200"/>
              <w:rPr>
                <w:rFonts w:ascii="宋体" w:hAnsi="宋体" w:eastAsia="宋体" w:cs="Times New Roman"/>
                <w:color w:val="auto"/>
                <w:sz w:val="26"/>
                <w:szCs w:val="26"/>
                <w:highlight w:val="none"/>
              </w:rPr>
            </w:pPr>
            <w:r>
              <w:rPr>
                <w:rFonts w:hint="eastAsia" w:ascii="宋体" w:hAnsi="宋体" w:eastAsia="宋体" w:cs="Times New Roman"/>
                <w:color w:val="auto"/>
                <w:sz w:val="26"/>
                <w:szCs w:val="26"/>
                <w:highlight w:val="none"/>
              </w:rPr>
              <w:t>本项目产生的土石方</w:t>
            </w:r>
            <w:r>
              <w:rPr>
                <w:rFonts w:hint="eastAsia" w:ascii="宋体" w:hAnsi="宋体" w:eastAsia="宋体" w:cs="Times New Roman"/>
                <w:color w:val="auto"/>
                <w:sz w:val="26"/>
                <w:szCs w:val="26"/>
                <w:highlight w:val="none"/>
                <w:lang w:val="en-US" w:eastAsia="zh-CN"/>
              </w:rPr>
              <w:t>全部</w:t>
            </w:r>
            <w:r>
              <w:rPr>
                <w:rFonts w:hint="eastAsia" w:ascii="宋体" w:hAnsi="宋体" w:eastAsia="宋体" w:cs="Times New Roman"/>
                <w:color w:val="auto"/>
                <w:sz w:val="26"/>
                <w:szCs w:val="26"/>
                <w:highlight w:val="none"/>
              </w:rPr>
              <w:t>进行回填利用，生活垃圾收集后，定期清运至垃圾处理站，固体废物均做到合理处置，对周围环境无较大的影响。</w:t>
            </w:r>
          </w:p>
          <w:p w14:paraId="126658AB">
            <w:pPr>
              <w:widowControl/>
              <w:spacing w:line="360" w:lineRule="auto"/>
              <w:ind w:firstLine="482" w:firstLineChars="200"/>
              <w:jc w:val="left"/>
              <w:outlineLvl w:val="1"/>
              <w:rPr>
                <w:b/>
                <w:color w:val="auto"/>
                <w:sz w:val="24"/>
                <w:szCs w:val="24"/>
                <w:highlight w:val="none"/>
                <w:lang w:val="zh-CN"/>
              </w:rPr>
            </w:pPr>
            <w:r>
              <w:rPr>
                <w:b/>
                <w:color w:val="auto"/>
                <w:sz w:val="24"/>
                <w:szCs w:val="24"/>
                <w:highlight w:val="none"/>
              </w:rPr>
              <w:t>7、</w:t>
            </w:r>
            <w:r>
              <w:rPr>
                <w:b/>
                <w:color w:val="auto"/>
                <w:sz w:val="24"/>
                <w:szCs w:val="24"/>
                <w:highlight w:val="none"/>
                <w:lang w:val="zh-CN"/>
              </w:rPr>
              <w:t>运营期环境影响评价</w:t>
            </w:r>
            <w:r>
              <w:rPr>
                <w:rFonts w:hint="eastAsia"/>
                <w:b/>
                <w:color w:val="auto"/>
                <w:sz w:val="24"/>
                <w:szCs w:val="24"/>
                <w:highlight w:val="none"/>
              </w:rPr>
              <w:t>及防治措施</w:t>
            </w:r>
            <w:r>
              <w:rPr>
                <w:b/>
                <w:color w:val="auto"/>
                <w:sz w:val="24"/>
                <w:szCs w:val="24"/>
                <w:highlight w:val="none"/>
                <w:lang w:val="zh-CN"/>
              </w:rPr>
              <w:t>结论</w:t>
            </w:r>
          </w:p>
          <w:p w14:paraId="7F02E556">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（1）大气环境影响结论</w:t>
            </w:r>
          </w:p>
          <w:p w14:paraId="6282BE4B">
            <w:pPr>
              <w:spacing w:line="480" w:lineRule="exact"/>
              <w:ind w:firstLine="520" w:firstLineChars="200"/>
              <w:rPr>
                <w:rFonts w:ascii="Times New Roman" w:hAnsi="Times New Roman" w:eastAsia="宋体" w:cs="Times New Roman"/>
                <w:color w:val="auto"/>
                <w:sz w:val="26"/>
                <w:szCs w:val="24"/>
                <w:highlight w:val="none"/>
              </w:rPr>
            </w:pPr>
            <w:r>
              <w:rPr>
                <w:rFonts w:hint="eastAsia" w:ascii="Times New Roman" w:hAnsi="Times New Roman" w:eastAsia="宋体" w:cs="Times New Roman"/>
                <w:color w:val="auto"/>
                <w:sz w:val="26"/>
                <w:szCs w:val="24"/>
                <w:highlight w:val="none"/>
              </w:rPr>
              <w:t>本项目废气主要是</w:t>
            </w:r>
            <w:r>
              <w:rPr>
                <w:rFonts w:hint="eastAsia" w:eastAsia="宋体" w:cs="Times New Roman"/>
                <w:color w:val="auto"/>
                <w:sz w:val="26"/>
                <w:szCs w:val="24"/>
                <w:highlight w:val="none"/>
                <w:lang w:val="en-US" w:eastAsia="zh-CN"/>
              </w:rPr>
              <w:t>粉尘</w:t>
            </w:r>
            <w:r>
              <w:rPr>
                <w:rFonts w:hint="eastAsia" w:ascii="Times New Roman" w:hAnsi="Times New Roman" w:eastAsia="宋体" w:cs="Times New Roman"/>
                <w:color w:val="auto"/>
                <w:sz w:val="26"/>
                <w:szCs w:val="24"/>
                <w:highlight w:val="none"/>
              </w:rPr>
              <w:t>，</w:t>
            </w:r>
            <w:r>
              <w:rPr>
                <w:rFonts w:hint="eastAsia" w:eastAsia="宋体" w:cs="Times New Roman"/>
                <w:color w:val="auto"/>
                <w:sz w:val="26"/>
                <w:szCs w:val="24"/>
                <w:highlight w:val="none"/>
                <w:lang w:val="en-US" w:eastAsia="zh-CN"/>
              </w:rPr>
              <w:t>有无组织粉尘及有组织粉尘，</w:t>
            </w:r>
            <w:r>
              <w:rPr>
                <w:rFonts w:hint="eastAsia" w:ascii="Times New Roman" w:hAnsi="Times New Roman" w:eastAsia="宋体" w:cs="Times New Roman"/>
                <w:color w:val="auto"/>
                <w:sz w:val="26"/>
                <w:szCs w:val="24"/>
                <w:highlight w:val="none"/>
              </w:rPr>
              <w:t>产生量较小，且项目周围空气扩散条件好，产生的气体经扩散后对环境影响较小。</w:t>
            </w:r>
            <w:r>
              <w:rPr>
                <w:rFonts w:hint="eastAsia" w:ascii="Times New Roman" w:hAnsi="Times New Roman"/>
                <w:color w:val="auto"/>
                <w:sz w:val="26"/>
                <w:szCs w:val="26"/>
                <w:highlight w:val="none"/>
                <w:vertAlign w:val="baseline"/>
              </w:rPr>
              <w:t>有组织排放源正常工况下</w:t>
            </w:r>
            <w:r>
              <w:rPr>
                <w:rFonts w:ascii="Times New Roman" w:hAnsi="Times New Roman"/>
                <w:color w:val="auto"/>
                <w:sz w:val="26"/>
                <w:szCs w:val="26"/>
                <w:highlight w:val="none"/>
              </w:rPr>
              <w:t>最大落地浓度可以达到《环境空气质量标准》（GB3095-2012）二级标准限值，占标率较低，对区域环境空气质量影响小。</w:t>
            </w:r>
          </w:p>
          <w:p w14:paraId="5EAF6B87">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（2）水环境影响结论</w:t>
            </w:r>
          </w:p>
          <w:p w14:paraId="015435B1">
            <w:pPr>
              <w:spacing w:line="480" w:lineRule="exact"/>
              <w:ind w:firstLine="520" w:firstLineChars="200"/>
              <w:rPr>
                <w:rFonts w:ascii="Times New Roman" w:hAnsi="Times New Roman" w:eastAsia="宋体" w:cs="Times New Roman"/>
                <w:color w:val="auto"/>
                <w:sz w:val="26"/>
                <w:szCs w:val="26"/>
                <w:highlight w:val="none"/>
              </w:rPr>
            </w:pPr>
            <w:r>
              <w:rPr>
                <w:rFonts w:hint="eastAsia" w:ascii="Times New Roman" w:hAnsi="Times New Roman" w:eastAsia="宋体" w:cs="Times New Roman"/>
                <w:color w:val="auto"/>
                <w:sz w:val="26"/>
                <w:szCs w:val="26"/>
                <w:highlight w:val="none"/>
              </w:rPr>
              <w:t>本项目</w:t>
            </w:r>
            <w:r>
              <w:rPr>
                <w:rFonts w:hint="eastAsia" w:eastAsia="宋体" w:cs="Times New Roman"/>
                <w:color w:val="auto"/>
                <w:sz w:val="26"/>
                <w:szCs w:val="26"/>
                <w:highlight w:val="none"/>
                <w:lang w:val="en-US" w:eastAsia="zh-CN"/>
              </w:rPr>
              <w:t>产生的</w:t>
            </w:r>
            <w:r>
              <w:rPr>
                <w:rFonts w:hint="eastAsia" w:ascii="Times New Roman" w:hAnsi="Times New Roman"/>
                <w:color w:val="auto"/>
                <w:sz w:val="26"/>
                <w:szCs w:val="26"/>
                <w:highlight w:val="none"/>
              </w:rPr>
              <w:t>钻孔冷却水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爆破抑尘</w:t>
            </w:r>
            <w:r>
              <w:rPr>
                <w:rFonts w:hint="eastAsia" w:ascii="Times New Roman" w:hAnsi="Times New Roman"/>
                <w:color w:val="auto"/>
                <w:sz w:val="26"/>
                <w:szCs w:val="26"/>
                <w:highlight w:val="none"/>
                <w:lang w:val="en-US" w:eastAsia="zh-CN"/>
              </w:rPr>
              <w:t>废</w:t>
            </w:r>
            <w:r>
              <w:rPr>
                <w:rFonts w:hint="eastAsia" w:ascii="Times New Roman" w:hAnsi="Times New Roman"/>
                <w:color w:val="auto"/>
                <w:sz w:val="26"/>
                <w:szCs w:val="26"/>
                <w:highlight w:val="none"/>
              </w:rPr>
              <w:t>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道路、工业场地及采区</w:t>
            </w:r>
            <w:r>
              <w:rPr>
                <w:rFonts w:hint="eastAsia"/>
                <w:color w:val="auto"/>
                <w:sz w:val="26"/>
                <w:szCs w:val="26"/>
                <w:highlight w:val="none"/>
                <w:lang w:val="en-US" w:eastAsia="zh-CN"/>
              </w:rPr>
              <w:t>防尘</w:t>
            </w:r>
            <w:r>
              <w:rPr>
                <w:rFonts w:hint="eastAsia" w:ascii="Times New Roman" w:hAnsi="Times New Roman"/>
                <w:color w:val="auto"/>
                <w:sz w:val="26"/>
                <w:szCs w:val="26"/>
                <w:highlight w:val="none"/>
                <w:lang w:val="en-US" w:eastAsia="zh-CN"/>
              </w:rPr>
              <w:t>废</w:t>
            </w:r>
            <w:r>
              <w:rPr>
                <w:rFonts w:hint="eastAsia" w:ascii="Times New Roman" w:hAnsi="Times New Roman"/>
                <w:color w:val="auto"/>
                <w:sz w:val="26"/>
                <w:szCs w:val="26"/>
                <w:highlight w:val="none"/>
              </w:rPr>
              <w:t>水</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碎石场物料加工过程</w:t>
            </w:r>
            <w:r>
              <w:rPr>
                <w:rFonts w:hint="eastAsia"/>
                <w:color w:val="auto"/>
                <w:sz w:val="26"/>
                <w:szCs w:val="26"/>
                <w:highlight w:val="none"/>
                <w:lang w:val="en-US" w:eastAsia="zh-CN"/>
              </w:rPr>
              <w:t>防尘</w:t>
            </w:r>
            <w:r>
              <w:rPr>
                <w:rFonts w:hint="eastAsia" w:ascii="Times New Roman" w:hAnsi="Times New Roman"/>
                <w:color w:val="auto"/>
                <w:sz w:val="26"/>
                <w:szCs w:val="26"/>
                <w:highlight w:val="none"/>
                <w:lang w:val="en-US" w:eastAsia="zh-CN"/>
              </w:rPr>
              <w:t>废</w:t>
            </w:r>
            <w:r>
              <w:rPr>
                <w:rFonts w:hint="eastAsia" w:ascii="Times New Roman" w:hAnsi="Times New Roman"/>
                <w:color w:val="auto"/>
                <w:sz w:val="26"/>
                <w:szCs w:val="26"/>
                <w:highlight w:val="none"/>
              </w:rPr>
              <w:t>水</w:t>
            </w:r>
            <w:r>
              <w:rPr>
                <w:rFonts w:hint="eastAsia" w:ascii="Times New Roman" w:hAnsi="Times New Roman"/>
                <w:color w:val="auto"/>
                <w:sz w:val="26"/>
                <w:szCs w:val="26"/>
                <w:highlight w:val="none"/>
                <w:lang w:val="en-US" w:eastAsia="zh-CN"/>
              </w:rPr>
              <w:t>均直接蒸发，无废水外排；</w:t>
            </w:r>
            <w:r>
              <w:rPr>
                <w:rFonts w:hint="eastAsia" w:ascii="Times New Roman" w:hAnsi="Times New Roman" w:eastAsia="宋体" w:cs="Times New Roman"/>
                <w:color w:val="auto"/>
                <w:sz w:val="26"/>
                <w:szCs w:val="26"/>
                <w:highlight w:val="none"/>
              </w:rPr>
              <w:t>生活污水进入</w:t>
            </w:r>
            <w:r>
              <w:rPr>
                <w:rFonts w:hint="eastAsia" w:eastAsia="宋体" w:cs="Times New Roman"/>
                <w:color w:val="auto"/>
                <w:sz w:val="26"/>
                <w:szCs w:val="26"/>
                <w:highlight w:val="none"/>
                <w:lang w:val="en-US" w:eastAsia="zh-CN"/>
              </w:rPr>
              <w:t>化粪池处理，处理后委托周边农户清掏作农肥</w:t>
            </w:r>
            <w:r>
              <w:rPr>
                <w:rFonts w:hint="eastAsia" w:ascii="Times New Roman" w:hAnsi="Times New Roman" w:eastAsia="宋体" w:cs="Times New Roman"/>
                <w:color w:val="auto"/>
                <w:sz w:val="26"/>
                <w:szCs w:val="26"/>
                <w:highlight w:val="none"/>
              </w:rPr>
              <w:t>。</w:t>
            </w:r>
          </w:p>
          <w:p w14:paraId="2020CA27">
            <w:pPr>
              <w:spacing w:line="480" w:lineRule="exact"/>
              <w:ind w:firstLine="520" w:firstLineChars="200"/>
              <w:rPr>
                <w:rFonts w:ascii="Times New Roman" w:hAnsi="Times New Roman" w:eastAsia="宋体" w:cs="Times New Roman"/>
                <w:color w:val="auto"/>
                <w:sz w:val="26"/>
                <w:szCs w:val="26"/>
                <w:highlight w:val="none"/>
              </w:rPr>
            </w:pPr>
            <w:r>
              <w:rPr>
                <w:rFonts w:hint="eastAsia" w:ascii="Times New Roman" w:hAnsi="Times New Roman" w:eastAsia="宋体" w:cs="Times New Roman"/>
                <w:color w:val="auto"/>
                <w:sz w:val="26"/>
                <w:szCs w:val="26"/>
                <w:highlight w:val="none"/>
              </w:rPr>
              <w:t>综上所述，项目运营期间无外排污水，对区域地表水产生影响较小。</w:t>
            </w:r>
          </w:p>
          <w:p w14:paraId="6F79703E">
            <w:pPr>
              <w:numPr>
                <w:ilvl w:val="0"/>
                <w:numId w:val="3"/>
              </w:numPr>
              <w:spacing w:line="480" w:lineRule="exact"/>
              <w:rPr>
                <w:rFonts w:hint="eastAsia"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噪声环境影响结论</w:t>
            </w:r>
          </w:p>
          <w:p w14:paraId="7992BE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20" w:firstLineChars="200"/>
              <w:textAlignment w:val="auto"/>
              <w:rPr>
                <w:rFonts w:hint="eastAsia" w:ascii="Times New Roman" w:hAnsi="Times New Roman" w:eastAsia="宋体" w:cs="Times New Roman"/>
                <w:b/>
                <w:color w:val="auto"/>
                <w:sz w:val="26"/>
                <w:szCs w:val="24"/>
                <w:highlight w:val="none"/>
              </w:rPr>
            </w:pPr>
            <w:r>
              <w:rPr>
                <w:rFonts w:ascii="Times New Roman" w:hAnsi="Times New Roman"/>
                <w:color w:val="auto"/>
                <w:sz w:val="26"/>
                <w:szCs w:val="26"/>
                <w:highlight w:val="none"/>
              </w:rPr>
              <w:t>项目噪声主要来自于</w:t>
            </w:r>
            <w:r>
              <w:rPr>
                <w:rFonts w:hint="eastAsia" w:ascii="Times New Roman" w:hAnsi="Times New Roman"/>
                <w:color w:val="auto"/>
                <w:sz w:val="26"/>
                <w:szCs w:val="26"/>
                <w:highlight w:val="none"/>
                <w:lang w:val="en-US" w:eastAsia="zh-CN"/>
              </w:rPr>
              <w:t>运营期间</w:t>
            </w:r>
            <w:r>
              <w:rPr>
                <w:rFonts w:ascii="Times New Roman" w:hAnsi="Times New Roman"/>
                <w:color w:val="auto"/>
                <w:sz w:val="26"/>
                <w:szCs w:val="26"/>
                <w:highlight w:val="none"/>
              </w:rPr>
              <w:t>设备</w:t>
            </w:r>
            <w:r>
              <w:rPr>
                <w:rFonts w:hint="eastAsia" w:ascii="Times New Roman" w:hAnsi="Times New Roman"/>
                <w:color w:val="auto"/>
                <w:sz w:val="26"/>
                <w:szCs w:val="26"/>
                <w:highlight w:val="none"/>
                <w:lang w:val="en-US" w:eastAsia="zh-CN"/>
              </w:rPr>
              <w:t>及爆破噪声</w:t>
            </w:r>
            <w:r>
              <w:rPr>
                <w:rFonts w:ascii="Times New Roman" w:hAnsi="Times New Roman"/>
                <w:color w:val="auto"/>
                <w:sz w:val="26"/>
                <w:szCs w:val="26"/>
                <w:highlight w:val="none"/>
              </w:rPr>
              <w:t>，各种设备噪声声级在8</w:t>
            </w:r>
            <w:r>
              <w:rPr>
                <w:rFonts w:hint="eastAsia" w:ascii="Times New Roman" w:hAnsi="Times New Roman"/>
                <w:color w:val="auto"/>
                <w:sz w:val="26"/>
                <w:szCs w:val="26"/>
                <w:highlight w:val="none"/>
                <w:lang w:val="en-US" w:eastAsia="zh-CN"/>
              </w:rPr>
              <w:t>0</w:t>
            </w:r>
            <w:r>
              <w:rPr>
                <w:rFonts w:ascii="Times New Roman" w:hAnsi="Times New Roman"/>
                <w:color w:val="auto"/>
                <w:sz w:val="26"/>
                <w:szCs w:val="26"/>
                <w:highlight w:val="none"/>
              </w:rPr>
              <w:t>~9</w:t>
            </w:r>
            <w:r>
              <w:rPr>
                <w:rFonts w:hint="eastAsia" w:ascii="Times New Roman" w:hAnsi="Times New Roman"/>
                <w:color w:val="auto"/>
                <w:sz w:val="26"/>
                <w:szCs w:val="26"/>
                <w:highlight w:val="none"/>
                <w:lang w:val="en-US" w:eastAsia="zh-CN"/>
              </w:rPr>
              <w:t>5</w:t>
            </w:r>
            <w:r>
              <w:rPr>
                <w:rFonts w:ascii="Times New Roman" w:hAnsi="Times New Roman"/>
                <w:color w:val="auto"/>
                <w:sz w:val="26"/>
                <w:szCs w:val="26"/>
                <w:highlight w:val="none"/>
              </w:rPr>
              <w:t>dB(A)之间。经预测分析，本项目现状厂界</w:t>
            </w:r>
            <w:r>
              <w:rPr>
                <w:rFonts w:hint="eastAsia" w:ascii="Times New Roman" w:hAnsi="Times New Roman"/>
                <w:color w:val="auto"/>
                <w:sz w:val="26"/>
                <w:szCs w:val="26"/>
                <w:highlight w:val="none"/>
              </w:rPr>
              <w:t>昼间、夜间均</w:t>
            </w:r>
            <w:r>
              <w:rPr>
                <w:rFonts w:ascii="Times New Roman" w:hAnsi="Times New Roman"/>
                <w:color w:val="auto"/>
                <w:sz w:val="26"/>
                <w:szCs w:val="26"/>
                <w:highlight w:val="none"/>
              </w:rPr>
              <w:t>能达到《工业企业厂界环境噪声排放标准》（GB12348－2008）中</w:t>
            </w:r>
            <w:r>
              <w:rPr>
                <w:rFonts w:hint="eastAsia" w:ascii="Times New Roman" w:hAnsi="Times New Roman"/>
                <w:color w:val="auto"/>
                <w:sz w:val="26"/>
                <w:szCs w:val="26"/>
                <w:highlight w:val="none"/>
              </w:rPr>
              <w:t>2</w:t>
            </w:r>
            <w:r>
              <w:rPr>
                <w:rFonts w:ascii="Times New Roman" w:hAnsi="Times New Roman"/>
                <w:color w:val="auto"/>
                <w:sz w:val="26"/>
                <w:szCs w:val="26"/>
                <w:highlight w:val="none"/>
              </w:rPr>
              <w:t>类标准要求。</w:t>
            </w:r>
            <w:r>
              <w:rPr>
                <w:rFonts w:hint="eastAsia" w:ascii="Times New Roman" w:hAnsi="Times New Roman"/>
                <w:color w:val="auto"/>
                <w:sz w:val="26"/>
                <w:szCs w:val="26"/>
                <w:highlight w:val="none"/>
              </w:rPr>
              <w:t>对区域声环境质量影响较小。</w:t>
            </w:r>
          </w:p>
          <w:p w14:paraId="6732F981">
            <w:pPr>
              <w:spacing w:line="480" w:lineRule="exact"/>
              <w:rPr>
                <w:rFonts w:ascii="Times New Roman" w:hAnsi="Times New Roman" w:eastAsia="宋体" w:cs="Times New Roman"/>
                <w:b w:val="0"/>
                <w:bCs/>
                <w:color w:val="auto"/>
                <w:sz w:val="26"/>
                <w:szCs w:val="24"/>
                <w:highlight w:val="none"/>
              </w:rPr>
            </w:pPr>
            <w:r>
              <w:rPr>
                <w:rFonts w:hint="eastAsia" w:ascii="Times New Roman" w:hAnsi="Times New Roman" w:eastAsia="宋体" w:cs="Times New Roman"/>
                <w:b w:val="0"/>
                <w:bCs/>
                <w:color w:val="auto"/>
                <w:sz w:val="26"/>
                <w:szCs w:val="24"/>
                <w:highlight w:val="none"/>
              </w:rPr>
              <w:t>（</w:t>
            </w:r>
            <w:r>
              <w:rPr>
                <w:rFonts w:hint="eastAsia" w:eastAsia="宋体" w:cs="Times New Roman"/>
                <w:b w:val="0"/>
                <w:bCs/>
                <w:color w:val="auto"/>
                <w:sz w:val="26"/>
                <w:szCs w:val="24"/>
                <w:highlight w:val="none"/>
                <w:lang w:val="en-US" w:eastAsia="zh-CN"/>
              </w:rPr>
              <w:t>4</w:t>
            </w:r>
            <w:r>
              <w:rPr>
                <w:rFonts w:hint="eastAsia" w:ascii="Times New Roman" w:hAnsi="Times New Roman" w:eastAsia="宋体" w:cs="Times New Roman"/>
                <w:b w:val="0"/>
                <w:bCs/>
                <w:color w:val="auto"/>
                <w:sz w:val="26"/>
                <w:szCs w:val="24"/>
                <w:highlight w:val="none"/>
              </w:rPr>
              <w:t>）固体废物影响结论</w:t>
            </w:r>
          </w:p>
          <w:p w14:paraId="5C48E5D7">
            <w:pPr>
              <w:pStyle w:val="17"/>
              <w:keepNext w:val="0"/>
              <w:keepLines w:val="0"/>
              <w:pageBreakBefore w:val="0"/>
              <w:widowControl w:val="0"/>
              <w:kinsoku/>
              <w:wordWrap/>
              <w:overflowPunct/>
              <w:topLinePunct w:val="0"/>
              <w:autoSpaceDE/>
              <w:autoSpaceDN/>
              <w:bidi w:val="0"/>
              <w:adjustRightInd/>
              <w:spacing w:line="480" w:lineRule="exact"/>
              <w:ind w:firstLine="520" w:firstLineChars="200"/>
              <w:jc w:val="both"/>
              <w:textAlignment w:val="auto"/>
              <w:rPr>
                <w:rFonts w:ascii="Times New Roman" w:hAnsi="Times New Roman" w:eastAsia="宋体" w:cs="Times New Roman"/>
                <w:color w:val="auto"/>
                <w:sz w:val="26"/>
                <w:szCs w:val="24"/>
                <w:highlight w:val="none"/>
              </w:rPr>
            </w:pPr>
            <w:r>
              <w:rPr>
                <w:rFonts w:hint="eastAsia" w:ascii="Times New Roman" w:hAnsi="Times New Roman" w:eastAsia="宋体" w:cs="Times New Roman"/>
                <w:color w:val="auto"/>
                <w:sz w:val="26"/>
                <w:szCs w:val="24"/>
                <w:highlight w:val="none"/>
              </w:rPr>
              <w:t>产生的各除尘器收尘灰集中</w:t>
            </w:r>
            <w:r>
              <w:rPr>
                <w:rFonts w:hint="eastAsia" w:eastAsia="宋体" w:cs="Times New Roman"/>
                <w:color w:val="auto"/>
                <w:sz w:val="26"/>
                <w:szCs w:val="24"/>
                <w:highlight w:val="none"/>
                <w:lang w:val="en-US" w:eastAsia="zh-CN"/>
              </w:rPr>
              <w:t>后外售</w:t>
            </w:r>
            <w:r>
              <w:rPr>
                <w:rFonts w:hint="eastAsia" w:ascii="Times New Roman" w:hAnsi="Times New Roman" w:eastAsia="宋体" w:cs="Times New Roman"/>
                <w:color w:val="auto"/>
                <w:sz w:val="26"/>
                <w:szCs w:val="24"/>
                <w:highlight w:val="none"/>
              </w:rPr>
              <w:t>，不外排；废机油暂存</w:t>
            </w:r>
            <w:r>
              <w:rPr>
                <w:rFonts w:hint="eastAsia" w:eastAsia="宋体" w:cs="Times New Roman"/>
                <w:color w:val="auto"/>
                <w:sz w:val="26"/>
                <w:szCs w:val="24"/>
                <w:highlight w:val="none"/>
                <w:lang w:val="en-US" w:eastAsia="zh-CN"/>
              </w:rPr>
              <w:t>后</w:t>
            </w:r>
            <w:r>
              <w:rPr>
                <w:rFonts w:hint="eastAsia" w:ascii="Times New Roman" w:hAnsi="Times New Roman"/>
                <w:color w:val="auto"/>
                <w:sz w:val="26"/>
                <w:szCs w:val="26"/>
                <w:highlight w:val="none"/>
              </w:rPr>
              <w:t>外售给有资质单位综合利用或处置</w:t>
            </w:r>
            <w:r>
              <w:rPr>
                <w:rFonts w:hint="eastAsia" w:ascii="Times New Roman" w:hAnsi="Times New Roman" w:eastAsia="宋体" w:cs="Times New Roman"/>
                <w:color w:val="auto"/>
                <w:sz w:val="26"/>
                <w:szCs w:val="24"/>
                <w:highlight w:val="none"/>
              </w:rPr>
              <w:t>；</w:t>
            </w:r>
            <w:r>
              <w:rPr>
                <w:rFonts w:hint="eastAsia" w:eastAsia="宋体" w:cs="Times New Roman"/>
                <w:color w:val="auto"/>
                <w:sz w:val="26"/>
                <w:szCs w:val="24"/>
                <w:highlight w:val="none"/>
                <w:lang w:val="en-US" w:eastAsia="zh-CN"/>
              </w:rPr>
              <w:t>废土石</w:t>
            </w:r>
            <w:r>
              <w:rPr>
                <w:rFonts w:hint="default" w:ascii="Times New Roman" w:hAnsi="Times New Roman"/>
                <w:color w:val="auto"/>
                <w:sz w:val="26"/>
                <w:szCs w:val="26"/>
                <w:highlight w:val="none"/>
                <w:lang w:val="en-US"/>
              </w:rPr>
              <w:t>用于修路或平整工业场地</w:t>
            </w:r>
            <w:r>
              <w:rPr>
                <w:rFonts w:hint="eastAsia"/>
                <w:color w:val="auto"/>
                <w:sz w:val="26"/>
                <w:szCs w:val="26"/>
                <w:highlight w:val="none"/>
                <w:lang w:val="en-US" w:eastAsia="zh-CN"/>
              </w:rPr>
              <w:t>的北部；</w:t>
            </w:r>
            <w:r>
              <w:rPr>
                <w:rFonts w:hint="eastAsia" w:ascii="Times New Roman" w:hAnsi="Times New Roman"/>
                <w:color w:val="auto"/>
                <w:sz w:val="26"/>
                <w:szCs w:val="26"/>
                <w:highlight w:val="none"/>
              </w:rPr>
              <w:t>产生的粪便进入化粪池，建设单位委托周边农户来定期清掏回用做农肥</w:t>
            </w:r>
            <w:r>
              <w:rPr>
                <w:rFonts w:hint="eastAsia" w:ascii="Times New Roman" w:hAnsi="Times New Roman"/>
                <w:color w:val="auto"/>
                <w:sz w:val="26"/>
                <w:szCs w:val="26"/>
                <w:highlight w:val="none"/>
                <w:lang w:eastAsia="zh-CN"/>
              </w:rPr>
              <w:t>；</w:t>
            </w:r>
            <w:r>
              <w:rPr>
                <w:rFonts w:hint="eastAsia" w:ascii="Times New Roman" w:hAnsi="Times New Roman" w:eastAsia="宋体" w:cs="Times New Roman"/>
                <w:color w:val="auto"/>
                <w:sz w:val="26"/>
                <w:szCs w:val="24"/>
                <w:highlight w:val="none"/>
              </w:rPr>
              <w:t>生活垃圾定期清运至</w:t>
            </w:r>
            <w:r>
              <w:rPr>
                <w:rFonts w:hint="eastAsia" w:eastAsia="宋体" w:cs="Times New Roman"/>
                <w:color w:val="auto"/>
                <w:sz w:val="26"/>
                <w:szCs w:val="24"/>
                <w:highlight w:val="none"/>
                <w:lang w:val="en-US" w:eastAsia="zh-CN"/>
              </w:rPr>
              <w:t>环卫部门指定地点</w:t>
            </w:r>
            <w:r>
              <w:rPr>
                <w:rFonts w:hint="eastAsia" w:ascii="Times New Roman" w:hAnsi="Times New Roman" w:eastAsia="宋体" w:cs="Times New Roman"/>
                <w:color w:val="auto"/>
                <w:sz w:val="26"/>
                <w:szCs w:val="24"/>
                <w:highlight w:val="none"/>
              </w:rPr>
              <w:t>。本项目固体废弃物处理率达100%，对周围环境影响小。</w:t>
            </w:r>
          </w:p>
          <w:p w14:paraId="6625D22E">
            <w:pPr>
              <w:pStyle w:val="12"/>
              <w:adjustRightInd w:val="0"/>
              <w:snapToGrid w:val="0"/>
              <w:spacing w:line="360" w:lineRule="auto"/>
              <w:ind w:firstLine="482"/>
              <w:rPr>
                <w:b/>
                <w:color w:val="auto"/>
                <w:sz w:val="24"/>
                <w:szCs w:val="24"/>
                <w:highlight w:val="none"/>
                <w:lang w:val="zh-CN"/>
              </w:rPr>
            </w:pPr>
            <w:r>
              <w:rPr>
                <w:rFonts w:hint="eastAsia"/>
                <w:b/>
                <w:color w:val="auto"/>
                <w:sz w:val="24"/>
                <w:szCs w:val="24"/>
                <w:highlight w:val="none"/>
              </w:rPr>
              <w:t>8</w:t>
            </w:r>
            <w:r>
              <w:rPr>
                <w:b/>
                <w:color w:val="auto"/>
                <w:sz w:val="24"/>
                <w:szCs w:val="24"/>
                <w:highlight w:val="none"/>
              </w:rPr>
              <w:t>、</w:t>
            </w:r>
            <w:r>
              <w:rPr>
                <w:b/>
                <w:color w:val="auto"/>
                <w:sz w:val="24"/>
                <w:szCs w:val="24"/>
                <w:highlight w:val="none"/>
                <w:lang w:val="zh-CN"/>
              </w:rPr>
              <w:t>综合评价结论</w:t>
            </w:r>
          </w:p>
          <w:p w14:paraId="172447A6">
            <w:pPr>
              <w:tabs>
                <w:tab w:val="left" w:pos="2100"/>
              </w:tabs>
              <w:spacing w:line="480" w:lineRule="exact"/>
              <w:ind w:firstLine="520" w:firstLineChars="200"/>
              <w:outlineLvl w:val="1"/>
              <w:rPr>
                <w:color w:val="auto"/>
                <w:sz w:val="24"/>
                <w:szCs w:val="24"/>
                <w:highlight w:val="none"/>
              </w:rPr>
            </w:pPr>
            <w:r>
              <w:rPr>
                <w:rFonts w:hint="eastAsia" w:ascii="Times New Roman" w:hAnsi="Times New Roman"/>
                <w:color w:val="auto"/>
                <w:sz w:val="26"/>
                <w:szCs w:val="26"/>
                <w:highlight w:val="none"/>
              </w:rPr>
              <w:t>综上所述，项目的建设符合国家产业政策，区域内环境质量基本能满足相应功能区要求。通过评价分析，建设单位在落实好环保资金和本环评提出的各项污染防治措施的前提下，加强环境管理，切实做到“三同时”，各污染物排放均达到相应标准。因此，从环保角度考虑本项目的建设是可行的。</w:t>
            </w:r>
          </w:p>
          <w:p w14:paraId="3D6AB338">
            <w:pPr>
              <w:spacing w:line="360" w:lineRule="auto"/>
              <w:ind w:firstLine="482" w:firstLineChars="200"/>
              <w:rPr>
                <w:b/>
                <w:color w:val="auto"/>
                <w:sz w:val="24"/>
                <w:highlight w:val="none"/>
              </w:rPr>
            </w:pPr>
            <w:r>
              <w:rPr>
                <w:b/>
                <w:color w:val="auto"/>
                <w:sz w:val="24"/>
                <w:highlight w:val="none"/>
              </w:rPr>
              <w:t>二、建议</w:t>
            </w:r>
          </w:p>
          <w:p w14:paraId="3E9A66FA">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（1）建设单位应认真落实环保“三同时”制度，做到废气、废水和噪声治理措施与主体工程建设同时设计、同时施工、同时验收。</w:t>
            </w:r>
          </w:p>
          <w:p w14:paraId="3DC66E69">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（2）严格按照相关要求建好固体废物临时储存场地，分类并及时收集、储存处置。</w:t>
            </w:r>
          </w:p>
          <w:p w14:paraId="608E0F98">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（3）厂区建设应做好雨污分流，污污分流，并作好整个厂区的绿化规划，应注意乔、灌、草合理搭配。</w:t>
            </w:r>
          </w:p>
          <w:p w14:paraId="26829CA0">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（4）加强施工期的环保管理措施，减轻项目施工对周围环境的影响。</w:t>
            </w:r>
          </w:p>
          <w:p w14:paraId="222A5AF3">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（5）加强职工环境意识教育，制定环保设施操作运行规程，建立健全各项环保岗位责任制，强化环保管理，确保环保设施正常稳定运行，防止污染事故发生。</w:t>
            </w:r>
          </w:p>
          <w:p w14:paraId="78598DE8">
            <w:pPr>
              <w:widowControl/>
              <w:tabs>
                <w:tab w:val="left" w:pos="3255"/>
              </w:tabs>
              <w:spacing w:line="480" w:lineRule="exact"/>
              <w:ind w:firstLine="520" w:firstLineChars="200"/>
              <w:rPr>
                <w:rFonts w:ascii="Times New Roman" w:hAnsi="Times New Roman"/>
                <w:color w:val="auto"/>
                <w:sz w:val="26"/>
                <w:szCs w:val="26"/>
                <w:highlight w:val="none"/>
              </w:rPr>
            </w:pPr>
            <w:r>
              <w:rPr>
                <w:rFonts w:hint="eastAsia" w:ascii="Times New Roman" w:hAnsi="Times New Roman"/>
                <w:color w:val="auto"/>
                <w:sz w:val="26"/>
                <w:szCs w:val="26"/>
                <w:highlight w:val="none"/>
              </w:rPr>
              <w:t>（6）项目应按相关规范要求设置废气排污口及警示标志</w:t>
            </w:r>
            <w:r>
              <w:rPr>
                <w:rFonts w:hint="eastAsia" w:ascii="Times New Roman" w:hAnsi="Times New Roman"/>
                <w:color w:val="auto"/>
                <w:sz w:val="26"/>
                <w:szCs w:val="26"/>
                <w:highlight w:val="none"/>
                <w:lang w:eastAsia="zh-CN"/>
              </w:rPr>
              <w:t>，</w:t>
            </w:r>
            <w:r>
              <w:rPr>
                <w:rFonts w:hint="eastAsia" w:ascii="Times New Roman" w:hAnsi="Times New Roman"/>
                <w:color w:val="auto"/>
                <w:sz w:val="26"/>
                <w:szCs w:val="26"/>
                <w:highlight w:val="none"/>
              </w:rPr>
              <w:t>并建有监测平台，随时接受当地环保监测部门的监测。</w:t>
            </w:r>
          </w:p>
          <w:p w14:paraId="60854635">
            <w:pPr>
              <w:spacing w:line="360" w:lineRule="auto"/>
              <w:ind w:firstLine="480" w:firstLineChars="200"/>
              <w:rPr>
                <w:color w:val="auto"/>
                <w:sz w:val="24"/>
                <w:highlight w:val="none"/>
              </w:rPr>
            </w:pPr>
          </w:p>
          <w:p w14:paraId="49E8F56E">
            <w:pPr>
              <w:spacing w:line="360" w:lineRule="auto"/>
              <w:ind w:firstLine="480" w:firstLineChars="200"/>
              <w:rPr>
                <w:color w:val="auto"/>
                <w:sz w:val="24"/>
                <w:highlight w:val="none"/>
              </w:rPr>
            </w:pPr>
          </w:p>
          <w:p w14:paraId="00CD9E34">
            <w:pPr>
              <w:pStyle w:val="15"/>
              <w:rPr>
                <w:rFonts w:ascii="Times New Roman" w:hAnsi="Times New Roman" w:cs="Times New Roman"/>
                <w:color w:val="auto"/>
                <w:sz w:val="24"/>
                <w:highlight w:val="none"/>
              </w:rPr>
            </w:pPr>
          </w:p>
          <w:p w14:paraId="5DB94E77">
            <w:pPr>
              <w:pStyle w:val="15"/>
              <w:rPr>
                <w:rFonts w:ascii="Times New Roman" w:hAnsi="Times New Roman" w:cs="Times New Roman"/>
                <w:color w:val="auto"/>
                <w:sz w:val="24"/>
                <w:highlight w:val="none"/>
              </w:rPr>
            </w:pPr>
          </w:p>
          <w:p w14:paraId="3521D99E">
            <w:pPr>
              <w:pStyle w:val="15"/>
              <w:rPr>
                <w:rFonts w:ascii="Times New Roman" w:hAnsi="Times New Roman" w:cs="Times New Roman"/>
                <w:color w:val="auto"/>
                <w:sz w:val="24"/>
                <w:highlight w:val="none"/>
              </w:rPr>
            </w:pPr>
          </w:p>
          <w:p w14:paraId="0B9B46B9">
            <w:pPr>
              <w:pStyle w:val="15"/>
              <w:rPr>
                <w:rFonts w:ascii="Times New Roman" w:hAnsi="Times New Roman" w:cs="Times New Roman"/>
                <w:color w:val="auto"/>
                <w:sz w:val="24"/>
                <w:highlight w:val="none"/>
              </w:rPr>
            </w:pPr>
          </w:p>
          <w:p w14:paraId="0FAB4A87">
            <w:pPr>
              <w:pStyle w:val="15"/>
              <w:rPr>
                <w:rFonts w:ascii="Times New Roman" w:hAnsi="Times New Roman" w:cs="Times New Roman"/>
                <w:color w:val="auto"/>
                <w:sz w:val="24"/>
                <w:highlight w:val="none"/>
              </w:rPr>
            </w:pPr>
          </w:p>
          <w:p w14:paraId="1E04DE16">
            <w:pPr>
              <w:ind w:left="0" w:leftChars="0" w:firstLine="0" w:firstLineChars="0"/>
              <w:rPr>
                <w:color w:val="auto"/>
                <w:highlight w:val="none"/>
              </w:rPr>
            </w:pPr>
          </w:p>
        </w:tc>
      </w:tr>
      <w:tr w14:paraId="73D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635E3E44">
            <w:pPr>
              <w:pageBreakBefore/>
              <w:spacing w:line="400" w:lineRule="exact"/>
              <w:rPr>
                <w:color w:val="auto"/>
                <w:sz w:val="28"/>
                <w:highlight w:val="none"/>
              </w:rPr>
            </w:pPr>
            <w:r>
              <w:rPr>
                <w:color w:val="auto"/>
                <w:sz w:val="28"/>
                <w:highlight w:val="none"/>
              </w:rPr>
              <w:t>预审意见：</w:t>
            </w:r>
          </w:p>
          <w:p w14:paraId="069B7863">
            <w:pPr>
              <w:spacing w:line="400" w:lineRule="exact"/>
              <w:ind w:firstLine="560"/>
              <w:rPr>
                <w:color w:val="auto"/>
                <w:sz w:val="28"/>
                <w:highlight w:val="none"/>
              </w:rPr>
            </w:pPr>
          </w:p>
          <w:p w14:paraId="3D8E164B">
            <w:pPr>
              <w:spacing w:line="400" w:lineRule="exact"/>
              <w:ind w:firstLine="560"/>
              <w:rPr>
                <w:color w:val="auto"/>
                <w:sz w:val="28"/>
                <w:highlight w:val="none"/>
              </w:rPr>
            </w:pPr>
          </w:p>
          <w:p w14:paraId="2C36B541">
            <w:pPr>
              <w:spacing w:line="400" w:lineRule="exact"/>
              <w:ind w:firstLine="560"/>
              <w:rPr>
                <w:color w:val="auto"/>
                <w:sz w:val="28"/>
                <w:highlight w:val="none"/>
              </w:rPr>
            </w:pPr>
          </w:p>
          <w:p w14:paraId="6C22A34A">
            <w:pPr>
              <w:spacing w:line="400" w:lineRule="exact"/>
              <w:rPr>
                <w:color w:val="auto"/>
                <w:sz w:val="28"/>
                <w:highlight w:val="none"/>
              </w:rPr>
            </w:pPr>
          </w:p>
          <w:p w14:paraId="3F79E438">
            <w:pPr>
              <w:spacing w:line="400" w:lineRule="exact"/>
              <w:rPr>
                <w:color w:val="auto"/>
                <w:sz w:val="28"/>
                <w:highlight w:val="none"/>
              </w:rPr>
            </w:pPr>
          </w:p>
          <w:p w14:paraId="6A4ADBD7">
            <w:pPr>
              <w:spacing w:line="400" w:lineRule="exact"/>
              <w:rPr>
                <w:color w:val="auto"/>
                <w:sz w:val="28"/>
                <w:highlight w:val="none"/>
              </w:rPr>
            </w:pPr>
          </w:p>
          <w:p w14:paraId="62CC9CC3">
            <w:pPr>
              <w:spacing w:line="400" w:lineRule="exact"/>
              <w:rPr>
                <w:color w:val="auto"/>
                <w:sz w:val="28"/>
                <w:highlight w:val="none"/>
              </w:rPr>
            </w:pPr>
          </w:p>
          <w:p w14:paraId="348F8FEC">
            <w:pPr>
              <w:spacing w:line="400" w:lineRule="exact"/>
              <w:rPr>
                <w:color w:val="auto"/>
                <w:sz w:val="28"/>
                <w:highlight w:val="none"/>
              </w:rPr>
            </w:pPr>
          </w:p>
          <w:p w14:paraId="3BAEC5BF">
            <w:pPr>
              <w:spacing w:line="400" w:lineRule="exact"/>
              <w:rPr>
                <w:color w:val="auto"/>
                <w:sz w:val="28"/>
                <w:highlight w:val="none"/>
              </w:rPr>
            </w:pPr>
          </w:p>
          <w:p w14:paraId="2039B1E5">
            <w:pPr>
              <w:spacing w:line="400" w:lineRule="exact"/>
              <w:rPr>
                <w:color w:val="auto"/>
                <w:sz w:val="28"/>
                <w:highlight w:val="none"/>
              </w:rPr>
            </w:pPr>
          </w:p>
          <w:p w14:paraId="4A3DFB3E">
            <w:pPr>
              <w:spacing w:line="400" w:lineRule="exact"/>
              <w:rPr>
                <w:color w:val="auto"/>
                <w:sz w:val="28"/>
                <w:highlight w:val="none"/>
              </w:rPr>
            </w:pPr>
          </w:p>
          <w:p w14:paraId="2106746B">
            <w:pPr>
              <w:spacing w:line="400" w:lineRule="exact"/>
              <w:rPr>
                <w:color w:val="auto"/>
                <w:sz w:val="28"/>
                <w:highlight w:val="none"/>
              </w:rPr>
            </w:pPr>
          </w:p>
          <w:p w14:paraId="5442BAD7">
            <w:pPr>
              <w:wordWrap w:val="0"/>
              <w:spacing w:line="400" w:lineRule="exact"/>
              <w:ind w:right="560" w:firstLine="5740" w:firstLineChars="2050"/>
              <w:rPr>
                <w:color w:val="auto"/>
                <w:sz w:val="28"/>
                <w:highlight w:val="none"/>
              </w:rPr>
            </w:pPr>
            <w:r>
              <w:rPr>
                <w:color w:val="auto"/>
                <w:sz w:val="28"/>
                <w:highlight w:val="none"/>
              </w:rPr>
              <w:t xml:space="preserve"> 公    章</w:t>
            </w:r>
          </w:p>
          <w:p w14:paraId="11748104">
            <w:pPr>
              <w:wordWrap w:val="0"/>
              <w:spacing w:line="400" w:lineRule="exact"/>
              <w:ind w:right="1400"/>
              <w:rPr>
                <w:color w:val="auto"/>
                <w:sz w:val="28"/>
                <w:highlight w:val="none"/>
              </w:rPr>
            </w:pPr>
            <w:r>
              <w:rPr>
                <w:color w:val="auto"/>
                <w:sz w:val="28"/>
                <w:highlight w:val="none"/>
              </w:rPr>
              <w:t xml:space="preserve">经办人：                             </w:t>
            </w:r>
          </w:p>
          <w:p w14:paraId="47ADAF6B">
            <w:pPr>
              <w:spacing w:line="400" w:lineRule="exact"/>
              <w:ind w:right="560" w:firstLine="560"/>
              <w:jc w:val="center"/>
              <w:rPr>
                <w:color w:val="auto"/>
                <w:sz w:val="28"/>
                <w:highlight w:val="none"/>
              </w:rPr>
            </w:pPr>
            <w:r>
              <w:rPr>
                <w:color w:val="auto"/>
                <w:sz w:val="28"/>
                <w:highlight w:val="none"/>
              </w:rPr>
              <w:t xml:space="preserve">                                 年    月    日    </w:t>
            </w:r>
          </w:p>
          <w:p w14:paraId="0C9FA828">
            <w:pPr>
              <w:spacing w:line="400" w:lineRule="exact"/>
              <w:ind w:firstLine="560"/>
              <w:jc w:val="right"/>
              <w:rPr>
                <w:color w:val="auto"/>
                <w:sz w:val="28"/>
                <w:highlight w:val="none"/>
              </w:rPr>
            </w:pPr>
          </w:p>
        </w:tc>
      </w:tr>
      <w:tr w14:paraId="2CD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08C3CD66">
            <w:pPr>
              <w:spacing w:line="360" w:lineRule="auto"/>
              <w:rPr>
                <w:color w:val="auto"/>
                <w:sz w:val="28"/>
                <w:highlight w:val="none"/>
              </w:rPr>
            </w:pPr>
            <w:r>
              <w:rPr>
                <w:color w:val="auto"/>
                <w:sz w:val="28"/>
                <w:highlight w:val="none"/>
              </w:rPr>
              <w:t>下一级环境保护行政主管部门审查意见：</w:t>
            </w:r>
          </w:p>
          <w:p w14:paraId="36332576">
            <w:pPr>
              <w:spacing w:line="500" w:lineRule="exact"/>
              <w:ind w:firstLine="560" w:firstLineChars="200"/>
              <w:rPr>
                <w:color w:val="auto"/>
                <w:sz w:val="28"/>
                <w:highlight w:val="none"/>
              </w:rPr>
            </w:pPr>
          </w:p>
          <w:p w14:paraId="308F12BA">
            <w:pPr>
              <w:spacing w:line="500" w:lineRule="exact"/>
              <w:ind w:firstLine="560" w:firstLineChars="200"/>
              <w:rPr>
                <w:color w:val="auto"/>
                <w:sz w:val="28"/>
                <w:highlight w:val="none"/>
              </w:rPr>
            </w:pPr>
          </w:p>
          <w:p w14:paraId="2B79D592">
            <w:pPr>
              <w:spacing w:line="500" w:lineRule="exact"/>
              <w:ind w:firstLine="560" w:firstLineChars="200"/>
              <w:rPr>
                <w:color w:val="auto"/>
                <w:sz w:val="28"/>
                <w:highlight w:val="none"/>
              </w:rPr>
            </w:pPr>
          </w:p>
          <w:p w14:paraId="26903FAA">
            <w:pPr>
              <w:spacing w:line="500" w:lineRule="exact"/>
              <w:rPr>
                <w:color w:val="auto"/>
                <w:sz w:val="28"/>
                <w:highlight w:val="none"/>
              </w:rPr>
            </w:pPr>
          </w:p>
          <w:p w14:paraId="2346CEA1">
            <w:pPr>
              <w:spacing w:line="500" w:lineRule="exact"/>
              <w:ind w:firstLine="560" w:firstLineChars="200"/>
              <w:rPr>
                <w:color w:val="auto"/>
                <w:sz w:val="28"/>
                <w:highlight w:val="none"/>
              </w:rPr>
            </w:pPr>
          </w:p>
          <w:p w14:paraId="2BF24659">
            <w:pPr>
              <w:spacing w:line="500" w:lineRule="exact"/>
              <w:ind w:firstLine="560" w:firstLineChars="200"/>
              <w:rPr>
                <w:color w:val="auto"/>
                <w:sz w:val="28"/>
                <w:highlight w:val="none"/>
              </w:rPr>
            </w:pPr>
          </w:p>
          <w:p w14:paraId="69D5D071">
            <w:pPr>
              <w:spacing w:line="500" w:lineRule="exact"/>
              <w:ind w:firstLine="560" w:firstLineChars="200"/>
              <w:rPr>
                <w:color w:val="auto"/>
                <w:sz w:val="28"/>
                <w:highlight w:val="none"/>
              </w:rPr>
            </w:pPr>
          </w:p>
          <w:p w14:paraId="778C4DE1">
            <w:pPr>
              <w:spacing w:line="500" w:lineRule="exact"/>
              <w:rPr>
                <w:color w:val="auto"/>
                <w:sz w:val="28"/>
                <w:highlight w:val="none"/>
              </w:rPr>
            </w:pPr>
          </w:p>
          <w:p w14:paraId="31ACE22D">
            <w:pPr>
              <w:spacing w:line="500" w:lineRule="exact"/>
              <w:ind w:firstLine="6160" w:firstLineChars="2200"/>
              <w:rPr>
                <w:color w:val="auto"/>
                <w:sz w:val="28"/>
                <w:highlight w:val="none"/>
              </w:rPr>
            </w:pPr>
            <w:r>
              <w:rPr>
                <w:color w:val="auto"/>
                <w:sz w:val="28"/>
                <w:highlight w:val="none"/>
              </w:rPr>
              <w:t>公    章</w:t>
            </w:r>
          </w:p>
          <w:p w14:paraId="04C65B46">
            <w:pPr>
              <w:wordWrap w:val="0"/>
              <w:spacing w:line="400" w:lineRule="exact"/>
              <w:ind w:right="560"/>
              <w:rPr>
                <w:color w:val="auto"/>
                <w:sz w:val="28"/>
                <w:highlight w:val="none"/>
              </w:rPr>
            </w:pPr>
            <w:r>
              <w:rPr>
                <w:color w:val="auto"/>
                <w:sz w:val="28"/>
                <w:highlight w:val="none"/>
              </w:rPr>
              <w:t xml:space="preserve">经办人：        </w:t>
            </w:r>
          </w:p>
          <w:p w14:paraId="5C7453C8">
            <w:pPr>
              <w:spacing w:line="400" w:lineRule="exact"/>
              <w:ind w:right="560"/>
              <w:jc w:val="right"/>
              <w:rPr>
                <w:color w:val="auto"/>
                <w:sz w:val="28"/>
                <w:highlight w:val="none"/>
              </w:rPr>
            </w:pPr>
            <w:r>
              <w:rPr>
                <w:color w:val="auto"/>
                <w:sz w:val="28"/>
                <w:highlight w:val="none"/>
              </w:rPr>
              <w:t xml:space="preserve">年    月    日 </w:t>
            </w:r>
          </w:p>
          <w:p w14:paraId="7AA5E95C">
            <w:pPr>
              <w:spacing w:line="400" w:lineRule="exact"/>
              <w:ind w:right="560"/>
              <w:jc w:val="right"/>
              <w:rPr>
                <w:color w:val="auto"/>
                <w:sz w:val="28"/>
                <w:highlight w:val="none"/>
              </w:rPr>
            </w:pPr>
          </w:p>
          <w:p w14:paraId="6D680AA5">
            <w:pPr>
              <w:spacing w:line="400" w:lineRule="exact"/>
              <w:ind w:right="560"/>
              <w:jc w:val="right"/>
              <w:rPr>
                <w:color w:val="auto"/>
                <w:sz w:val="28"/>
                <w:highlight w:val="none"/>
              </w:rPr>
            </w:pPr>
            <w:r>
              <w:rPr>
                <w:color w:val="auto"/>
                <w:sz w:val="28"/>
                <w:highlight w:val="none"/>
              </w:rPr>
              <w:t xml:space="preserve">                             </w:t>
            </w:r>
          </w:p>
        </w:tc>
      </w:tr>
      <w:tr w14:paraId="6C8B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5"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789F78EF">
            <w:pPr>
              <w:spacing w:line="360" w:lineRule="auto"/>
              <w:rPr>
                <w:color w:val="auto"/>
                <w:sz w:val="28"/>
                <w:highlight w:val="none"/>
              </w:rPr>
            </w:pPr>
            <w:r>
              <w:rPr>
                <w:color w:val="auto"/>
                <w:sz w:val="28"/>
                <w:highlight w:val="none"/>
              </w:rPr>
              <w:t>审批意见：</w:t>
            </w:r>
          </w:p>
          <w:p w14:paraId="1B677C8F">
            <w:pPr>
              <w:spacing w:line="360" w:lineRule="auto"/>
              <w:ind w:firstLine="560"/>
              <w:rPr>
                <w:color w:val="auto"/>
                <w:sz w:val="28"/>
                <w:szCs w:val="28"/>
                <w:highlight w:val="none"/>
              </w:rPr>
            </w:pPr>
            <w:r>
              <w:rPr>
                <w:color w:val="auto"/>
                <w:sz w:val="28"/>
                <w:szCs w:val="28"/>
                <w:highlight w:val="none"/>
              </w:rPr>
              <w:t xml:space="preserve"> </w:t>
            </w:r>
          </w:p>
          <w:p w14:paraId="034F1AF5">
            <w:pPr>
              <w:spacing w:line="400" w:lineRule="exact"/>
              <w:ind w:firstLine="560"/>
              <w:rPr>
                <w:color w:val="auto"/>
                <w:sz w:val="28"/>
                <w:highlight w:val="none"/>
              </w:rPr>
            </w:pPr>
          </w:p>
          <w:p w14:paraId="1B0CB591">
            <w:pPr>
              <w:spacing w:line="400" w:lineRule="exact"/>
              <w:ind w:firstLine="560"/>
              <w:rPr>
                <w:color w:val="auto"/>
                <w:sz w:val="28"/>
                <w:highlight w:val="none"/>
              </w:rPr>
            </w:pPr>
          </w:p>
          <w:p w14:paraId="71C84DF8">
            <w:pPr>
              <w:spacing w:line="400" w:lineRule="exact"/>
              <w:ind w:firstLine="560"/>
              <w:rPr>
                <w:color w:val="auto"/>
                <w:sz w:val="28"/>
                <w:highlight w:val="none"/>
              </w:rPr>
            </w:pPr>
          </w:p>
          <w:p w14:paraId="443B99A1">
            <w:pPr>
              <w:spacing w:line="400" w:lineRule="exact"/>
              <w:ind w:firstLine="560"/>
              <w:rPr>
                <w:color w:val="auto"/>
                <w:sz w:val="28"/>
                <w:highlight w:val="none"/>
              </w:rPr>
            </w:pPr>
          </w:p>
          <w:p w14:paraId="72E7E2C2">
            <w:pPr>
              <w:spacing w:line="400" w:lineRule="exact"/>
              <w:ind w:firstLine="560"/>
              <w:rPr>
                <w:color w:val="auto"/>
                <w:sz w:val="28"/>
                <w:highlight w:val="none"/>
              </w:rPr>
            </w:pPr>
          </w:p>
          <w:p w14:paraId="096D0753">
            <w:pPr>
              <w:spacing w:line="400" w:lineRule="exact"/>
              <w:ind w:firstLine="560"/>
              <w:rPr>
                <w:color w:val="auto"/>
                <w:sz w:val="28"/>
                <w:highlight w:val="none"/>
              </w:rPr>
            </w:pPr>
          </w:p>
          <w:p w14:paraId="7A9F8BB4">
            <w:pPr>
              <w:spacing w:line="400" w:lineRule="exact"/>
              <w:ind w:firstLine="560"/>
              <w:rPr>
                <w:color w:val="auto"/>
                <w:sz w:val="28"/>
                <w:highlight w:val="none"/>
              </w:rPr>
            </w:pPr>
          </w:p>
          <w:p w14:paraId="74A5B7DB">
            <w:pPr>
              <w:spacing w:line="400" w:lineRule="exact"/>
              <w:ind w:firstLine="560"/>
              <w:rPr>
                <w:color w:val="auto"/>
                <w:sz w:val="28"/>
                <w:highlight w:val="none"/>
              </w:rPr>
            </w:pPr>
          </w:p>
          <w:p w14:paraId="5A1979D4">
            <w:pPr>
              <w:spacing w:line="400" w:lineRule="exact"/>
              <w:ind w:firstLine="560"/>
              <w:rPr>
                <w:color w:val="auto"/>
                <w:sz w:val="28"/>
                <w:highlight w:val="none"/>
              </w:rPr>
            </w:pPr>
          </w:p>
          <w:p w14:paraId="2FE86FFC">
            <w:pPr>
              <w:spacing w:line="400" w:lineRule="exact"/>
              <w:ind w:firstLine="560"/>
              <w:rPr>
                <w:color w:val="auto"/>
                <w:sz w:val="28"/>
                <w:highlight w:val="none"/>
              </w:rPr>
            </w:pPr>
          </w:p>
          <w:p w14:paraId="012EBBAB">
            <w:pPr>
              <w:spacing w:line="400" w:lineRule="exact"/>
              <w:ind w:firstLine="560"/>
              <w:rPr>
                <w:color w:val="auto"/>
                <w:sz w:val="28"/>
                <w:highlight w:val="none"/>
              </w:rPr>
            </w:pPr>
          </w:p>
          <w:p w14:paraId="0983D8B0">
            <w:pPr>
              <w:spacing w:line="400" w:lineRule="exact"/>
              <w:ind w:firstLine="560"/>
              <w:rPr>
                <w:color w:val="auto"/>
                <w:sz w:val="28"/>
                <w:highlight w:val="none"/>
              </w:rPr>
            </w:pPr>
          </w:p>
          <w:p w14:paraId="53EDD69C">
            <w:pPr>
              <w:spacing w:line="400" w:lineRule="exact"/>
              <w:ind w:firstLine="560"/>
              <w:rPr>
                <w:color w:val="auto"/>
                <w:sz w:val="28"/>
                <w:highlight w:val="none"/>
              </w:rPr>
            </w:pPr>
          </w:p>
          <w:p w14:paraId="2B1ED7D4">
            <w:pPr>
              <w:spacing w:line="400" w:lineRule="exact"/>
              <w:ind w:firstLine="560"/>
              <w:rPr>
                <w:color w:val="auto"/>
                <w:sz w:val="28"/>
                <w:highlight w:val="none"/>
              </w:rPr>
            </w:pPr>
          </w:p>
          <w:p w14:paraId="4FCD560E">
            <w:pPr>
              <w:spacing w:line="400" w:lineRule="exact"/>
              <w:ind w:firstLine="560"/>
              <w:rPr>
                <w:color w:val="auto"/>
                <w:sz w:val="28"/>
                <w:highlight w:val="none"/>
              </w:rPr>
            </w:pPr>
          </w:p>
          <w:p w14:paraId="0F8CECA7">
            <w:pPr>
              <w:spacing w:line="400" w:lineRule="exact"/>
              <w:ind w:firstLine="560"/>
              <w:rPr>
                <w:color w:val="auto"/>
                <w:sz w:val="28"/>
                <w:highlight w:val="none"/>
              </w:rPr>
            </w:pPr>
          </w:p>
          <w:p w14:paraId="6F6DD471">
            <w:pPr>
              <w:spacing w:line="400" w:lineRule="exact"/>
              <w:ind w:firstLine="560"/>
              <w:rPr>
                <w:color w:val="auto"/>
                <w:sz w:val="28"/>
                <w:highlight w:val="none"/>
              </w:rPr>
            </w:pPr>
          </w:p>
          <w:p w14:paraId="0E303743">
            <w:pPr>
              <w:spacing w:line="400" w:lineRule="exact"/>
              <w:ind w:firstLine="560"/>
              <w:rPr>
                <w:color w:val="auto"/>
                <w:sz w:val="28"/>
                <w:highlight w:val="none"/>
              </w:rPr>
            </w:pPr>
          </w:p>
          <w:p w14:paraId="5EA4B1C6">
            <w:pPr>
              <w:spacing w:line="400" w:lineRule="exact"/>
              <w:ind w:firstLine="560"/>
              <w:rPr>
                <w:color w:val="auto"/>
                <w:sz w:val="28"/>
                <w:highlight w:val="none"/>
              </w:rPr>
            </w:pPr>
          </w:p>
          <w:p w14:paraId="2F248388">
            <w:pPr>
              <w:spacing w:line="400" w:lineRule="exact"/>
              <w:ind w:firstLine="560"/>
              <w:rPr>
                <w:color w:val="auto"/>
                <w:sz w:val="28"/>
                <w:highlight w:val="none"/>
              </w:rPr>
            </w:pPr>
          </w:p>
          <w:p w14:paraId="3CF16AD2">
            <w:pPr>
              <w:spacing w:line="400" w:lineRule="exact"/>
              <w:rPr>
                <w:color w:val="auto"/>
                <w:sz w:val="28"/>
                <w:highlight w:val="none"/>
              </w:rPr>
            </w:pPr>
          </w:p>
          <w:p w14:paraId="5AE46369">
            <w:pPr>
              <w:spacing w:line="400" w:lineRule="exact"/>
              <w:rPr>
                <w:color w:val="auto"/>
                <w:sz w:val="28"/>
                <w:highlight w:val="none"/>
              </w:rPr>
            </w:pPr>
          </w:p>
          <w:p w14:paraId="4B441647">
            <w:pPr>
              <w:spacing w:line="400" w:lineRule="exact"/>
              <w:ind w:firstLine="560"/>
              <w:rPr>
                <w:color w:val="auto"/>
                <w:sz w:val="28"/>
                <w:highlight w:val="none"/>
              </w:rPr>
            </w:pPr>
            <w:r>
              <w:rPr>
                <w:color w:val="auto"/>
                <w:sz w:val="28"/>
                <w:highlight w:val="none"/>
              </w:rPr>
              <w:t xml:space="preserve">                                       公  章</w:t>
            </w:r>
          </w:p>
          <w:p w14:paraId="76EEA7A7">
            <w:pPr>
              <w:spacing w:line="400" w:lineRule="exact"/>
              <w:rPr>
                <w:color w:val="auto"/>
                <w:sz w:val="28"/>
                <w:highlight w:val="none"/>
              </w:rPr>
            </w:pPr>
            <w:r>
              <w:rPr>
                <w:color w:val="auto"/>
                <w:sz w:val="28"/>
                <w:highlight w:val="none"/>
              </w:rPr>
              <w:t>经办人：</w:t>
            </w:r>
          </w:p>
          <w:p w14:paraId="787D2138">
            <w:pPr>
              <w:spacing w:line="400" w:lineRule="exact"/>
              <w:ind w:firstLine="4900" w:firstLineChars="1750"/>
              <w:rPr>
                <w:color w:val="auto"/>
                <w:sz w:val="28"/>
                <w:highlight w:val="none"/>
              </w:rPr>
            </w:pPr>
          </w:p>
          <w:p w14:paraId="0BE6C2C4">
            <w:pPr>
              <w:spacing w:line="400" w:lineRule="exact"/>
              <w:ind w:firstLine="5600" w:firstLineChars="2000"/>
              <w:rPr>
                <w:color w:val="auto"/>
                <w:sz w:val="28"/>
                <w:highlight w:val="none"/>
              </w:rPr>
            </w:pPr>
            <w:r>
              <w:rPr>
                <w:color w:val="auto"/>
                <w:sz w:val="28"/>
                <w:highlight w:val="none"/>
              </w:rPr>
              <w:t>年     月     日</w:t>
            </w:r>
          </w:p>
          <w:p w14:paraId="35DE62B8">
            <w:pPr>
              <w:spacing w:line="400" w:lineRule="exact"/>
              <w:rPr>
                <w:color w:val="auto"/>
                <w:sz w:val="28"/>
                <w:highlight w:val="none"/>
              </w:rPr>
            </w:pPr>
          </w:p>
          <w:p w14:paraId="2F04A34F">
            <w:pPr>
              <w:spacing w:line="400" w:lineRule="exact"/>
              <w:rPr>
                <w:color w:val="auto"/>
                <w:sz w:val="28"/>
                <w:highlight w:val="none"/>
              </w:rPr>
            </w:pPr>
          </w:p>
        </w:tc>
      </w:tr>
    </w:tbl>
    <w:p w14:paraId="45769A2F">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CF41">
    <w:pPr>
      <w:pStyle w:val="1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28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EF28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95B4">
    <w:pPr>
      <w:pStyle w:val="17"/>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22B9C">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A22B9C">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5A456"/>
    <w:multiLevelType w:val="singleLevel"/>
    <w:tmpl w:val="02A5A456"/>
    <w:lvl w:ilvl="0" w:tentative="0">
      <w:start w:val="3"/>
      <w:numFmt w:val="decimal"/>
      <w:suff w:val="nothing"/>
      <w:lvlText w:val="（%1）"/>
      <w:lvlJc w:val="left"/>
    </w:lvl>
  </w:abstractNum>
  <w:abstractNum w:abstractNumId="1">
    <w:nsid w:val="67C7A21D"/>
    <w:multiLevelType w:val="singleLevel"/>
    <w:tmpl w:val="67C7A21D"/>
    <w:lvl w:ilvl="0" w:tentative="0">
      <w:start w:val="1"/>
      <w:numFmt w:val="decimal"/>
      <w:lvlText w:val="%1)"/>
      <w:lvlJc w:val="left"/>
      <w:pPr>
        <w:ind w:left="425" w:hanging="425"/>
      </w:pPr>
      <w:rPr>
        <w:rFonts w:hint="default"/>
      </w:rPr>
    </w:lvl>
  </w:abstractNum>
  <w:abstractNum w:abstractNumId="2">
    <w:nsid w:val="6BE02DD4"/>
    <w:multiLevelType w:val="multilevel"/>
    <w:tmpl w:val="6BE02D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139AA"/>
    <w:rsid w:val="043D20A0"/>
    <w:rsid w:val="069E757E"/>
    <w:rsid w:val="070B4CEF"/>
    <w:rsid w:val="0827265D"/>
    <w:rsid w:val="08483507"/>
    <w:rsid w:val="08567FE4"/>
    <w:rsid w:val="087C377B"/>
    <w:rsid w:val="09B576E7"/>
    <w:rsid w:val="09BD6D1C"/>
    <w:rsid w:val="0B795A97"/>
    <w:rsid w:val="0C513D60"/>
    <w:rsid w:val="0D65391F"/>
    <w:rsid w:val="0E594EB9"/>
    <w:rsid w:val="0EBE4D45"/>
    <w:rsid w:val="0F1D6577"/>
    <w:rsid w:val="0FB84FE6"/>
    <w:rsid w:val="100A76AC"/>
    <w:rsid w:val="10E31E45"/>
    <w:rsid w:val="11003BEE"/>
    <w:rsid w:val="112C00F5"/>
    <w:rsid w:val="1189525D"/>
    <w:rsid w:val="11D86D06"/>
    <w:rsid w:val="154747F0"/>
    <w:rsid w:val="156268A0"/>
    <w:rsid w:val="16464798"/>
    <w:rsid w:val="175B76FF"/>
    <w:rsid w:val="181876BC"/>
    <w:rsid w:val="182738FC"/>
    <w:rsid w:val="185246D1"/>
    <w:rsid w:val="186D3D00"/>
    <w:rsid w:val="190F51A9"/>
    <w:rsid w:val="1A8C78C4"/>
    <w:rsid w:val="1C334BBB"/>
    <w:rsid w:val="1C767DAF"/>
    <w:rsid w:val="1CB94601"/>
    <w:rsid w:val="1D5F35A9"/>
    <w:rsid w:val="1E06692E"/>
    <w:rsid w:val="1E721BE1"/>
    <w:rsid w:val="1F124B9F"/>
    <w:rsid w:val="20225664"/>
    <w:rsid w:val="20741426"/>
    <w:rsid w:val="2336369A"/>
    <w:rsid w:val="246647E8"/>
    <w:rsid w:val="254224DA"/>
    <w:rsid w:val="267B3C5C"/>
    <w:rsid w:val="26C8643D"/>
    <w:rsid w:val="289708F7"/>
    <w:rsid w:val="296838FE"/>
    <w:rsid w:val="2A8016E0"/>
    <w:rsid w:val="2AA634CB"/>
    <w:rsid w:val="2B033774"/>
    <w:rsid w:val="2B7B3D39"/>
    <w:rsid w:val="2C577D12"/>
    <w:rsid w:val="2CBE044D"/>
    <w:rsid w:val="2D1263C6"/>
    <w:rsid w:val="2DB24328"/>
    <w:rsid w:val="2FC32A4B"/>
    <w:rsid w:val="32E446D6"/>
    <w:rsid w:val="34F15946"/>
    <w:rsid w:val="35CF3119"/>
    <w:rsid w:val="36D93C7A"/>
    <w:rsid w:val="38A33D70"/>
    <w:rsid w:val="3AC02B82"/>
    <w:rsid w:val="3B1448C5"/>
    <w:rsid w:val="3C556BA5"/>
    <w:rsid w:val="3DCB15E7"/>
    <w:rsid w:val="3DF70820"/>
    <w:rsid w:val="410139AA"/>
    <w:rsid w:val="41A60E87"/>
    <w:rsid w:val="42044B02"/>
    <w:rsid w:val="45E8626E"/>
    <w:rsid w:val="460F682D"/>
    <w:rsid w:val="46342029"/>
    <w:rsid w:val="47174749"/>
    <w:rsid w:val="4790701F"/>
    <w:rsid w:val="48141044"/>
    <w:rsid w:val="4A8D4F70"/>
    <w:rsid w:val="4B4F0E4E"/>
    <w:rsid w:val="4D3D2476"/>
    <w:rsid w:val="4E1C5B11"/>
    <w:rsid w:val="4E915CD1"/>
    <w:rsid w:val="4EC25A85"/>
    <w:rsid w:val="4FFA6BEC"/>
    <w:rsid w:val="507943C9"/>
    <w:rsid w:val="512921F7"/>
    <w:rsid w:val="51CF351D"/>
    <w:rsid w:val="535A1E04"/>
    <w:rsid w:val="54895ABD"/>
    <w:rsid w:val="5CF43DC4"/>
    <w:rsid w:val="5D5A0FE1"/>
    <w:rsid w:val="5E1728D2"/>
    <w:rsid w:val="605E50FE"/>
    <w:rsid w:val="607A0D3C"/>
    <w:rsid w:val="619126F4"/>
    <w:rsid w:val="628C2576"/>
    <w:rsid w:val="63BE51EA"/>
    <w:rsid w:val="64F539DE"/>
    <w:rsid w:val="65B6265B"/>
    <w:rsid w:val="682B5F69"/>
    <w:rsid w:val="6DF244BE"/>
    <w:rsid w:val="6EEF2BD6"/>
    <w:rsid w:val="73B269BC"/>
    <w:rsid w:val="747826D8"/>
    <w:rsid w:val="75E31454"/>
    <w:rsid w:val="76F61417"/>
    <w:rsid w:val="771902CD"/>
    <w:rsid w:val="77D173C3"/>
    <w:rsid w:val="7947596C"/>
    <w:rsid w:val="79BC383E"/>
    <w:rsid w:val="79E929EC"/>
    <w:rsid w:val="7BF40479"/>
    <w:rsid w:val="7D660A53"/>
    <w:rsid w:val="7EB9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1446" w:firstLineChars="200"/>
      <w:jc w:val="both"/>
    </w:pPr>
    <w:rPr>
      <w:rFonts w:ascii="Times New Roman" w:hAnsi="Times New Roman" w:eastAsia="宋体" w:cstheme="minorBidi"/>
      <w:kern w:val="2"/>
      <w:sz w:val="26"/>
      <w:szCs w:val="26"/>
      <w:lang w:val="en-US" w:eastAsia="zh-CN" w:bidi="ar-SA"/>
    </w:rPr>
  </w:style>
  <w:style w:type="paragraph" w:styleId="6">
    <w:name w:val="heading 1"/>
    <w:basedOn w:val="1"/>
    <w:next w:val="1"/>
    <w:link w:val="26"/>
    <w:qFormat/>
    <w:uiPriority w:val="0"/>
    <w:pPr>
      <w:keepNext/>
      <w:keepLines/>
      <w:spacing w:before="100" w:beforeLines="100" w:after="100" w:afterLines="100" w:line="480" w:lineRule="exact"/>
      <w:ind w:firstLine="0" w:firstLineChars="0"/>
      <w:jc w:val="center"/>
      <w:outlineLvl w:val="0"/>
    </w:pPr>
    <w:rPr>
      <w:b/>
      <w:bCs/>
      <w:kern w:val="44"/>
      <w:sz w:val="32"/>
      <w:szCs w:val="32"/>
    </w:rPr>
  </w:style>
  <w:style w:type="paragraph" w:styleId="7">
    <w:name w:val="heading 2"/>
    <w:basedOn w:val="1"/>
    <w:next w:val="1"/>
    <w:link w:val="27"/>
    <w:semiHidden/>
    <w:unhideWhenUsed/>
    <w:qFormat/>
    <w:uiPriority w:val="0"/>
    <w:pPr>
      <w:keepNext/>
      <w:keepLines/>
      <w:spacing w:before="50" w:beforeLines="50" w:after="50" w:afterLines="50" w:line="480" w:lineRule="exact"/>
      <w:ind w:firstLine="0" w:firstLineChars="0"/>
      <w:jc w:val="left"/>
      <w:outlineLvl w:val="1"/>
    </w:pPr>
    <w:rPr>
      <w:rFonts w:cs="Times New Roman"/>
      <w:b/>
      <w:bCs/>
      <w:sz w:val="28"/>
      <w:szCs w:val="28"/>
    </w:rPr>
  </w:style>
  <w:style w:type="paragraph" w:styleId="8">
    <w:name w:val="heading 3"/>
    <w:basedOn w:val="1"/>
    <w:next w:val="1"/>
    <w:link w:val="28"/>
    <w:semiHidden/>
    <w:unhideWhenUsed/>
    <w:qFormat/>
    <w:uiPriority w:val="0"/>
    <w:pPr>
      <w:keepNext/>
      <w:keepLines/>
      <w:spacing w:line="480" w:lineRule="exact"/>
      <w:ind w:firstLine="0" w:firstLineChars="0"/>
      <w:jc w:val="left"/>
      <w:outlineLvl w:val="2"/>
    </w:pPr>
    <w:rPr>
      <w:rFonts w:cs="Times New Roman"/>
      <w:b/>
      <w:bCs/>
    </w:rPr>
  </w:style>
  <w:style w:type="paragraph" w:styleId="9">
    <w:name w:val="heading 4"/>
    <w:basedOn w:val="1"/>
    <w:next w:val="1"/>
    <w:link w:val="29"/>
    <w:semiHidden/>
    <w:unhideWhenUsed/>
    <w:qFormat/>
    <w:uiPriority w:val="0"/>
    <w:pPr>
      <w:keepNext/>
      <w:keepLines/>
      <w:ind w:firstLine="0" w:firstLineChars="0"/>
      <w:jc w:val="center"/>
      <w:outlineLvl w:val="9"/>
    </w:pPr>
    <w:rPr>
      <w:rFonts w:ascii="Times New Roman" w:hAnsi="Times New Roman" w:cs="Times New Roman"/>
      <w:b/>
      <w:bCs/>
      <w:snapToGrid w:val="0"/>
      <w:color w:val="000000"/>
      <w:sz w:val="21"/>
      <w:szCs w:val="21"/>
    </w:rPr>
  </w:style>
  <w:style w:type="paragraph" w:styleId="10">
    <w:name w:val="heading 5"/>
    <w:basedOn w:val="1"/>
    <w:next w:val="1"/>
    <w:link w:val="30"/>
    <w:semiHidden/>
    <w:unhideWhenUsed/>
    <w:qFormat/>
    <w:uiPriority w:val="0"/>
    <w:pPr>
      <w:keepNext/>
      <w:keepLines/>
      <w:widowControl/>
      <w:spacing w:line="320" w:lineRule="exact"/>
      <w:ind w:firstLine="0" w:firstLineChars="0"/>
      <w:jc w:val="center"/>
      <w:outlineLvl w:val="9"/>
    </w:pPr>
    <w:rPr>
      <w:rFonts w:ascii="Times New Roman" w:hAnsi="Times New Roman" w:cs="Times New Roman"/>
      <w:snapToGrid w:val="0"/>
      <w:color w:val="000000"/>
      <w:sz w:val="22"/>
      <w:szCs w:val="22"/>
    </w:rPr>
  </w:style>
  <w:style w:type="paragraph" w:styleId="11">
    <w:name w:val="heading 6"/>
    <w:basedOn w:val="1"/>
    <w:next w:val="1"/>
    <w:unhideWhenUsed/>
    <w:qFormat/>
    <w:uiPriority w:val="0"/>
    <w:pPr>
      <w:keepNext w:val="0"/>
      <w:keepLines w:val="0"/>
      <w:spacing w:beforeLines="0" w:beforeAutospacing="0" w:afterLines="0" w:afterAutospacing="0" w:line="320" w:lineRule="exact"/>
      <w:ind w:firstLine="0" w:firstLineChars="0"/>
      <w:jc w:val="center"/>
      <w:textAlignment w:val="center"/>
      <w:outlineLvl w:val="5"/>
    </w:pPr>
    <w:rPr>
      <w:sz w:val="22"/>
      <w:szCs w:val="22"/>
    </w:rPr>
  </w:style>
  <w:style w:type="character" w:default="1" w:styleId="24">
    <w:name w:val="Default Paragraph Font"/>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600" w:lineRule="exact"/>
      <w:ind w:firstLine="720"/>
    </w:pPr>
    <w:rPr>
      <w:rFonts w:ascii="Times New Roman" w:hAnsi="Times New Roman"/>
      <w:spacing w:val="10"/>
      <w:sz w:val="24"/>
      <w:szCs w:val="20"/>
    </w:r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0"/>
  </w:style>
  <w:style w:type="paragraph" w:styleId="12">
    <w:name w:val="Normal Indent"/>
    <w:basedOn w:val="1"/>
    <w:qFormat/>
    <w:uiPriority w:val="0"/>
    <w:pPr>
      <w:ind w:firstLine="420"/>
    </w:pPr>
    <w:rPr>
      <w:snapToGrid/>
      <w:color w:val="auto"/>
      <w:kern w:val="2"/>
      <w:sz w:val="24"/>
      <w:szCs w:val="20"/>
    </w:rPr>
  </w:style>
  <w:style w:type="paragraph" w:styleId="13">
    <w:name w:val="annotation text"/>
    <w:basedOn w:val="1"/>
    <w:qFormat/>
    <w:uiPriority w:val="0"/>
    <w:pPr>
      <w:jc w:val="left"/>
    </w:pPr>
  </w:style>
  <w:style w:type="paragraph" w:styleId="14">
    <w:name w:val="Body Text 3"/>
    <w:basedOn w:val="1"/>
    <w:qFormat/>
    <w:uiPriority w:val="0"/>
    <w:pPr>
      <w:spacing w:after="120"/>
    </w:pPr>
    <w:rPr>
      <w:sz w:val="16"/>
      <w:szCs w:val="16"/>
    </w:rPr>
  </w:style>
  <w:style w:type="paragraph" w:styleId="15">
    <w:name w:val="Plain Text"/>
    <w:basedOn w:val="1"/>
    <w:qFormat/>
    <w:uiPriority w:val="0"/>
    <w:pPr>
      <w:spacing w:line="240" w:lineRule="atLeast"/>
    </w:pPr>
    <w:rPr>
      <w:rFonts w:ascii="宋体" w:hAnsi="Courier New"/>
      <w:snapToGrid/>
      <w:color w:val="auto"/>
      <w:kern w:val="2"/>
      <w:sz w:val="28"/>
      <w:szCs w:val="20"/>
    </w:rPr>
  </w:style>
  <w:style w:type="paragraph" w:styleId="16">
    <w:name w:val="Body Text Indent 2"/>
    <w:basedOn w:val="1"/>
    <w:qFormat/>
    <w:uiPriority w:val="0"/>
    <w:pPr>
      <w:spacing w:line="580" w:lineRule="exact"/>
      <w:ind w:firstLine="560" w:firstLineChars="200"/>
    </w:pPr>
    <w:rPr>
      <w:rFonts w:ascii="Times New Roman" w:hAnsi="Times New Roman" w:eastAsia="仿宋_GB2312"/>
      <w:color w:val="FF0000"/>
      <w:sz w:val="28"/>
      <w:szCs w:val="24"/>
    </w:rPr>
  </w:style>
  <w:style w:type="paragraph" w:styleId="17">
    <w:name w:val="footer"/>
    <w:basedOn w:val="1"/>
    <w:next w:val="1"/>
    <w:qFormat/>
    <w:uiPriority w:val="0"/>
    <w:pPr>
      <w:tabs>
        <w:tab w:val="center" w:pos="4153"/>
        <w:tab w:val="right" w:pos="8306"/>
      </w:tabs>
      <w:snapToGrid w:val="0"/>
      <w:spacing w:line="320" w:lineRule="exact"/>
      <w:ind w:firstLine="0" w:firstLineChars="0"/>
      <w:jc w:val="center"/>
    </w:pPr>
    <w:rPr>
      <w:sz w:val="22"/>
      <w:szCs w:val="22"/>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semiHidden/>
    <w:qFormat/>
    <w:uiPriority w:val="0"/>
    <w:rPr>
      <w:sz w:val="21"/>
      <w:szCs w:val="21"/>
    </w:rPr>
  </w:style>
  <w:style w:type="character" w:customStyle="1" w:styleId="26">
    <w:name w:val="标题 1 Char"/>
    <w:basedOn w:val="24"/>
    <w:link w:val="6"/>
    <w:qFormat/>
    <w:uiPriority w:val="9"/>
    <w:rPr>
      <w:rFonts w:ascii="Times New Roman" w:hAnsi="Times New Roman" w:eastAsia="宋体" w:cs="Times New Roman"/>
      <w:b/>
      <w:bCs/>
      <w:kern w:val="0"/>
      <w:sz w:val="32"/>
      <w:szCs w:val="32"/>
      <w:lang w:val="en-US" w:eastAsia="zh-CN" w:bidi="ar-SA"/>
    </w:rPr>
  </w:style>
  <w:style w:type="character" w:customStyle="1" w:styleId="27">
    <w:name w:val="标题 2 Char"/>
    <w:basedOn w:val="24"/>
    <w:link w:val="7"/>
    <w:semiHidden/>
    <w:qFormat/>
    <w:uiPriority w:val="0"/>
    <w:rPr>
      <w:rFonts w:ascii="Times New Roman" w:hAnsi="Times New Roman" w:eastAsia="宋体" w:cs="Times New Roman"/>
      <w:b/>
      <w:bCs/>
      <w:kern w:val="2"/>
      <w:sz w:val="28"/>
      <w:szCs w:val="28"/>
      <w:lang w:val="en-US" w:eastAsia="zh-CN" w:bidi="ar-SA"/>
    </w:rPr>
  </w:style>
  <w:style w:type="character" w:customStyle="1" w:styleId="28">
    <w:name w:val="标题 3 Char"/>
    <w:basedOn w:val="24"/>
    <w:link w:val="8"/>
    <w:semiHidden/>
    <w:qFormat/>
    <w:uiPriority w:val="0"/>
    <w:rPr>
      <w:rFonts w:ascii="Times New Roman" w:hAnsi="Times New Roman" w:eastAsia="宋体" w:cs="Times New Roman"/>
      <w:b/>
      <w:bCs/>
      <w:kern w:val="0"/>
      <w:sz w:val="26"/>
      <w:szCs w:val="26"/>
      <w:lang w:val="en-US" w:eastAsia="zh-CN" w:bidi="ar-SA"/>
    </w:rPr>
  </w:style>
  <w:style w:type="character" w:customStyle="1" w:styleId="29">
    <w:name w:val="标题 4 Char"/>
    <w:basedOn w:val="24"/>
    <w:link w:val="9"/>
    <w:semiHidden/>
    <w:qFormat/>
    <w:uiPriority w:val="9"/>
    <w:rPr>
      <w:rFonts w:ascii="Times New Roman" w:hAnsi="Times New Roman" w:eastAsia="宋体" w:cs="Times New Roman"/>
      <w:b/>
      <w:bCs/>
      <w:snapToGrid w:val="0"/>
      <w:color w:val="000000"/>
      <w:kern w:val="0"/>
      <w:sz w:val="21"/>
      <w:szCs w:val="21"/>
      <w:lang w:val="en-US" w:eastAsia="zh-CN" w:bidi="ar-SA"/>
    </w:rPr>
  </w:style>
  <w:style w:type="character" w:customStyle="1" w:styleId="30">
    <w:name w:val="标题 5 Char"/>
    <w:basedOn w:val="24"/>
    <w:link w:val="10"/>
    <w:semiHidden/>
    <w:qFormat/>
    <w:uiPriority w:val="0"/>
    <w:rPr>
      <w:rFonts w:ascii="Times New Roman" w:hAnsi="Times New Roman" w:eastAsia="宋体" w:cs="Times New Roman"/>
      <w:snapToGrid w:val="0"/>
      <w:color w:val="000000"/>
      <w:kern w:val="2"/>
      <w:sz w:val="22"/>
      <w:szCs w:val="22"/>
      <w:lang w:val="en-US" w:eastAsia="zh-CN" w:bidi="ar-SA"/>
    </w:rPr>
  </w:style>
  <w:style w:type="paragraph" w:customStyle="1" w:styleId="31">
    <w:name w:val="图文"/>
    <w:basedOn w:val="1"/>
    <w:link w:val="32"/>
    <w:qFormat/>
    <w:uiPriority w:val="0"/>
    <w:pPr>
      <w:spacing w:line="360" w:lineRule="auto"/>
      <w:jc w:val="center"/>
    </w:pPr>
    <w:rPr>
      <w:rFonts w:ascii="宋体" w:hAnsi="宋体"/>
      <w:bCs/>
      <w:snapToGrid/>
      <w:color w:val="000000" w:themeColor="text1"/>
      <w:kern w:val="2"/>
      <w:sz w:val="21"/>
      <w:szCs w:val="21"/>
      <w14:textFill>
        <w14:solidFill>
          <w14:schemeClr w14:val="tx1"/>
        </w14:solidFill>
      </w14:textFill>
    </w:rPr>
  </w:style>
  <w:style w:type="character" w:customStyle="1" w:styleId="32">
    <w:name w:val="表格 Char1"/>
    <w:link w:val="31"/>
    <w:qFormat/>
    <w:locked/>
    <w:uiPriority w:val="0"/>
    <w:rPr>
      <w:rFonts w:ascii="宋体" w:hAnsi="宋体" w:eastAsia="宋体"/>
      <w:color w:val="000000" w:themeColor="text1"/>
      <w:kern w:val="2"/>
      <w:sz w:val="21"/>
      <w:szCs w:val="21"/>
      <w14:textFill>
        <w14:solidFill>
          <w14:schemeClr w14:val="tx1"/>
        </w14:solidFill>
      </w14:textFill>
    </w:rPr>
  </w:style>
  <w:style w:type="paragraph" w:customStyle="1" w:styleId="33">
    <w:name w:val="三级标题"/>
    <w:basedOn w:val="34"/>
    <w:qFormat/>
    <w:uiPriority w:val="0"/>
    <w:pPr>
      <w:autoSpaceDE w:val="0"/>
      <w:autoSpaceDN w:val="0"/>
      <w:adjustRightInd w:val="0"/>
      <w:spacing w:before="120" w:after="120" w:line="440" w:lineRule="exact"/>
      <w:jc w:val="left"/>
    </w:pPr>
    <w:rPr>
      <w:rFonts w:ascii="黑体" w:hAnsi="ˎ̥" w:eastAsia="黑体" w:cs="宋体"/>
      <w:sz w:val="28"/>
      <w:szCs w:val="28"/>
    </w:rPr>
  </w:style>
  <w:style w:type="paragraph" w:customStyle="1" w:styleId="34">
    <w:name w:val="二级标题"/>
    <w:basedOn w:val="35"/>
    <w:qFormat/>
    <w:uiPriority w:val="0"/>
    <w:pPr>
      <w:outlineLvl w:val="1"/>
    </w:pPr>
    <w:rPr>
      <w:rFonts w:ascii="宋体" w:hAnsi="宋体"/>
      <w:bCs w:val="0"/>
      <w:sz w:val="28"/>
      <w:szCs w:val="28"/>
    </w:rPr>
  </w:style>
  <w:style w:type="paragraph" w:customStyle="1" w:styleId="35">
    <w:name w:val="一级标题"/>
    <w:basedOn w:val="1"/>
    <w:qFormat/>
    <w:uiPriority w:val="0"/>
    <w:pPr>
      <w:spacing w:line="480" w:lineRule="exact"/>
      <w:jc w:val="left"/>
      <w:outlineLvl w:val="0"/>
    </w:pPr>
    <w:rPr>
      <w:rFonts w:hAnsi="Times New Roman" w:eastAsia="宋体"/>
      <w:b/>
      <w:bCs/>
      <w:sz w:val="32"/>
      <w:szCs w:val="24"/>
    </w:rPr>
  </w:style>
  <w:style w:type="paragraph" w:customStyle="1" w:styleId="36">
    <w:name w:val="Table Paragraph"/>
    <w:basedOn w:val="1"/>
    <w:qFormat/>
    <w:uiPriority w:val="1"/>
    <w:pPr>
      <w:jc w:val="center"/>
    </w:pPr>
    <w:rPr>
      <w:rFonts w:ascii="宋体" w:hAnsi="宋体" w:eastAsia="宋体" w:cs="宋体"/>
      <w:lang w:val="zh-CN" w:eastAsia="zh-CN" w:bidi="zh-CN"/>
    </w:rPr>
  </w:style>
  <w:style w:type="paragraph" w:customStyle="1" w:styleId="37">
    <w:name w:val="正文2"/>
    <w:basedOn w:val="1"/>
    <w:qFormat/>
    <w:uiPriority w:val="0"/>
    <w:pPr>
      <w:spacing w:line="480" w:lineRule="exact"/>
      <w:ind w:firstLine="480" w:firstLineChars="200"/>
    </w:pPr>
    <w:rPr>
      <w:rFonts w:ascii="宋体" w:hAnsi="宋体"/>
      <w:snapToGrid/>
      <w:color w:val="auto"/>
      <w:kern w:val="2"/>
      <w:sz w:val="24"/>
      <w:szCs w:val="20"/>
    </w:rPr>
  </w:style>
  <w:style w:type="paragraph" w:customStyle="1" w:styleId="38">
    <w:name w:val="内容"/>
    <w:basedOn w:val="1"/>
    <w:qFormat/>
    <w:uiPriority w:val="0"/>
    <w:pPr>
      <w:widowControl w:val="0"/>
      <w:tabs>
        <w:tab w:val="left" w:pos="4404"/>
      </w:tabs>
      <w:ind w:firstLine="520"/>
    </w:pPr>
    <w:rPr>
      <w:rFonts w:hAnsi="宋体"/>
      <w:snapToGrid/>
      <w:color w:val="auto"/>
      <w:kern w:val="2"/>
    </w:rPr>
  </w:style>
  <w:style w:type="paragraph" w:customStyle="1" w:styleId="39">
    <w:name w:val="No Spacing"/>
    <w:qFormat/>
    <w:uiPriority w:val="0"/>
    <w:pPr>
      <w:widowControl w:val="0"/>
      <w:spacing w:line="480" w:lineRule="exact"/>
      <w:ind w:firstLine="200" w:firstLineChars="200"/>
      <w:jc w:val="both"/>
    </w:pPr>
    <w:rPr>
      <w:rFonts w:ascii="Times New Roman" w:hAnsi="Times New Roman" w:eastAsia="宋体" w:cs="Times New Roman"/>
      <w:bCs/>
      <w:snapToGrid w:val="0"/>
      <w:color w:val="000000"/>
      <w:kern w:val="2"/>
      <w:sz w:val="21"/>
      <w:szCs w:val="24"/>
      <w:lang w:val="en-US" w:eastAsia="zh-CN" w:bidi="ar-SA"/>
    </w:rPr>
  </w:style>
  <w:style w:type="paragraph" w:customStyle="1" w:styleId="40">
    <w:name w:val="Default"/>
    <w:qFormat/>
    <w:uiPriority w:val="0"/>
    <w:pPr>
      <w:widowControl w:val="0"/>
      <w:autoSpaceDE w:val="0"/>
      <w:autoSpaceDN w:val="0"/>
      <w:spacing w:line="480" w:lineRule="exact"/>
      <w:ind w:firstLine="200" w:firstLineChars="200"/>
      <w:jc w:val="both"/>
    </w:pPr>
    <w:rPr>
      <w:rFonts w:ascii="宋体" w:hAnsi="Times New Roman" w:eastAsia="宋体" w:cs="宋体"/>
      <w:bCs/>
      <w:snapToGrid w:val="0"/>
      <w:color w:val="000000"/>
      <w:sz w:val="24"/>
      <w:szCs w:val="24"/>
      <w:lang w:val="en-US" w:eastAsia="zh-CN" w:bidi="ar-SA"/>
    </w:rPr>
  </w:style>
  <w:style w:type="paragraph" w:customStyle="1" w:styleId="41">
    <w:name w:val="样式9"/>
    <w:basedOn w:val="1"/>
    <w:qFormat/>
    <w:uiPriority w:val="0"/>
    <w:pPr>
      <w:spacing w:before="240" w:beforeLines="100" w:after="240" w:afterLines="100"/>
      <w:outlineLvl w:val="1"/>
    </w:pPr>
    <w:rPr>
      <w:b/>
      <w:sz w:val="24"/>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标题3"/>
    <w:next w:val="1"/>
    <w:qFormat/>
    <w:uiPriority w:val="0"/>
    <w:pPr>
      <w:tabs>
        <w:tab w:val="left" w:pos="2695"/>
      </w:tabs>
      <w:spacing w:line="360" w:lineRule="auto"/>
      <w:ind w:left="-315" w:leftChars="-150" w:right="210" w:rightChars="100" w:firstLine="313" w:firstLineChars="130"/>
      <w:outlineLvl w:val="2"/>
    </w:pPr>
    <w:rPr>
      <w:rFonts w:ascii="Times New Roman" w:hAnsi="Arial" w:eastAsia="宋体" w:cs="宋体"/>
      <w:b/>
      <w:bCs/>
      <w:kern w:val="2"/>
      <w:sz w:val="24"/>
      <w:lang w:val="en-US" w:eastAsia="zh-CN" w:bidi="ar-SA"/>
    </w:rPr>
  </w:style>
  <w:style w:type="paragraph" w:customStyle="1" w:styleId="45">
    <w:name w:val="正文文本 (3)"/>
    <w:basedOn w:val="1"/>
    <w:qFormat/>
    <w:uiPriority w:val="0"/>
    <w:pPr>
      <w:shd w:val="clear" w:color="auto" w:fill="FFFFFF"/>
      <w:spacing w:line="0" w:lineRule="atLeast"/>
      <w:jc w:val="left"/>
    </w:pPr>
    <w:rPr>
      <w:rFonts w:asciiTheme="minorHAnsi" w:hAnsiTheme="minorHAnsi" w:eastAsiaTheme="minorEastAsia" w:cstheme="minorBidi"/>
      <w:sz w:val="16"/>
      <w:szCs w:val="16"/>
    </w:rPr>
  </w:style>
  <w:style w:type="character" w:customStyle="1" w:styleId="46">
    <w:name w:val="正文文本 (3) + 6.5 pt"/>
    <w:qFormat/>
    <w:uiPriority w:val="0"/>
    <w:rPr>
      <w:rFonts w:hint="default" w:ascii="Times New Roman" w:hAnsi="Times New Roman" w:eastAsia="Times New Roman" w:cs="Times New Roman"/>
      <w:color w:val="000000"/>
      <w:spacing w:val="0"/>
      <w:w w:val="100"/>
      <w:position w:val="0"/>
      <w:sz w:val="13"/>
      <w:szCs w:val="13"/>
      <w:lang w:val="zh-CN"/>
    </w:rPr>
  </w:style>
  <w:style w:type="paragraph" w:styleId="47">
    <w:name w:val="List Paragraph"/>
    <w:basedOn w:val="1"/>
    <w:qFormat/>
    <w:uiPriority w:val="1"/>
    <w:pPr>
      <w:ind w:left="1395" w:hanging="652"/>
    </w:pPr>
    <w:rPr>
      <w:rFonts w:ascii="宋体" w:hAnsi="宋体" w:eastAsia="宋体" w:cs="宋体"/>
      <w:lang w:val="zh-CN" w:eastAsia="zh-CN" w:bidi="zh-CN"/>
    </w:rPr>
  </w:style>
  <w:style w:type="paragraph" w:customStyle="1" w:styleId="48">
    <w:name w:val="环评报告正文"/>
    <w:next w:val="1"/>
    <w:qFormat/>
    <w:uiPriority w:val="0"/>
    <w:pPr>
      <w:spacing w:line="480" w:lineRule="exact"/>
      <w:ind w:firstLine="420" w:firstLineChars="200"/>
      <w:jc w:val="both"/>
    </w:pPr>
    <w:rPr>
      <w:rFonts w:ascii="Times New Roman" w:hAnsi="Times New Roman" w:eastAsia="宋体" w:cs="Times New Roman"/>
      <w:sz w:val="26"/>
      <w:szCs w:val="26"/>
      <w:lang w:val="en-US" w:eastAsia="zh-CN" w:bidi="ar-SA"/>
    </w:rPr>
  </w:style>
  <w:style w:type="paragraph" w:customStyle="1" w:styleId="49">
    <w:name w:val="Other|1"/>
    <w:basedOn w:val="1"/>
    <w:qFormat/>
    <w:uiPriority w:val="0"/>
    <w:pPr>
      <w:widowControl w:val="0"/>
      <w:shd w:val="clear" w:color="auto" w:fill="auto"/>
      <w:spacing w:line="242" w:lineRule="exact"/>
      <w:jc w:val="center"/>
    </w:pPr>
    <w:rPr>
      <w:rFonts w:ascii="宋体" w:hAnsi="宋体" w:eastAsia="宋体" w:cs="宋体"/>
      <w:sz w:val="18"/>
      <w:szCs w:val="18"/>
      <w:u w:val="none"/>
      <w:shd w:val="clear" w:color="auto" w:fill="auto"/>
      <w:lang w:val="zh-TW" w:eastAsia="zh-TW" w:bidi="zh-TW"/>
    </w:rPr>
  </w:style>
  <w:style w:type="paragraph" w:customStyle="1" w:styleId="50">
    <w:name w:val="样式 标题 1 + 四号 段前: 0 磅 段后: 0 磅 行距: 1.5 倍行距"/>
    <w:basedOn w:val="6"/>
    <w:qFormat/>
    <w:uiPriority w:val="0"/>
  </w:style>
  <w:style w:type="paragraph" w:customStyle="1" w:styleId="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png"/><Relationship Id="rId23" Type="http://schemas.openxmlformats.org/officeDocument/2006/relationships/image" Target="media/image15.wmf"/><Relationship Id="rId22" Type="http://schemas.openxmlformats.org/officeDocument/2006/relationships/oleObject" Target="embeddings/oleObject1.bin"/><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930</Words>
  <Characters>954</Characters>
  <Lines>0</Lines>
  <Paragraphs>0</Paragraphs>
  <TotalTime>241</TotalTime>
  <ScaleCrop>false</ScaleCrop>
  <LinksUpToDate>false</LinksUpToDate>
  <CharactersWithSpaces>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2021-01-05T08:43:00Z</dcterms:created>
  <dc:creator>w世界</dc:creator>
  <cp:lastModifiedBy>学而知之</cp:lastModifiedBy>
  <cp:lastPrinted>2021-03-01T01:38:00Z</cp:lastPrinted>
  <dcterms:modified xsi:type="dcterms:W3CDTF">2025-12-24T08:14:18Z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8959860A96CE4635B81C84F7AFBF7CE7_13</vt:lpwstr>
  </property>
  <property fmtid="{D5CDD505-2E9C-101B-9397-08002B2CF9AE}" pid="4" name="KSOTemplateDocerSaveRecord">
    <vt:lpwstr>eyJoZGlkIjoiNDlhYTc5NDc4NDUxMTc0YzljM2FkNzNkNjQyOGQ0Y2EiLCJ1c2VySWQiOiIxOTk2MjU0OTkifQ==</vt:lpwstr>
  </property>
</Properties>
</file>