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2914E"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关于不合格产品风险控制措施信息的通告</w:t>
      </w:r>
    </w:p>
    <w:p w14:paraId="43634D4A">
      <w:pPr>
        <w:spacing w:line="560" w:lineRule="exact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第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二十五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期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</w:t>
      </w:r>
    </w:p>
    <w:p w14:paraId="17C63035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</w:pPr>
    </w:p>
    <w:p w14:paraId="05A60918">
      <w:pPr>
        <w:spacing w:line="560" w:lineRule="exact"/>
        <w:ind w:firstLine="640" w:firstLineChars="200"/>
        <w:rPr>
          <w:rFonts w:ascii="仿宋_GB2312" w:eastAsia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根据国家食品安全抽样检验信息系统信息显示，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涉及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东川区鸿盛源购物中心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不合格预包装产品“月饼”1批次，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现将对上述不合格产品所采取的风险控制措施情况进行公示（详见附件） 。</w:t>
      </w:r>
    </w:p>
    <w:p w14:paraId="2E9FC5DD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</w:pPr>
    </w:p>
    <w:p w14:paraId="551242A7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附件：不合格食品风险控制措施信息公示表</w:t>
      </w:r>
    </w:p>
    <w:p w14:paraId="75C77F1D">
      <w:pPr>
        <w:spacing w:line="560" w:lineRule="exact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 xml:space="preserve"> </w:t>
      </w:r>
    </w:p>
    <w:p w14:paraId="7BF215F5">
      <w:pPr>
        <w:spacing w:line="560" w:lineRule="exact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 xml:space="preserve"> </w:t>
      </w:r>
    </w:p>
    <w:p w14:paraId="76B0F335">
      <w:pPr>
        <w:spacing w:line="560" w:lineRule="exact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</w:pPr>
    </w:p>
    <w:p w14:paraId="5CF03902">
      <w:pPr>
        <w:spacing w:line="560" w:lineRule="exact"/>
        <w:jc w:val="right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昆明市东川区市场监督管理局</w:t>
      </w:r>
    </w:p>
    <w:p w14:paraId="462C6FB8">
      <w:pPr>
        <w:wordWrap w:val="0"/>
        <w:spacing w:line="560" w:lineRule="exact"/>
        <w:jc w:val="right"/>
        <w:rPr>
          <w:rFonts w:hint="default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    </w:t>
      </w:r>
    </w:p>
    <w:p w14:paraId="1698EC2C">
      <w:pPr>
        <w:jc w:val="right"/>
        <w:rPr>
          <w:rFonts w:ascii="仿宋_GB2312" w:eastAsia="仿宋_GB2312"/>
          <w:color w:val="auto"/>
          <w:sz w:val="32"/>
          <w:szCs w:val="32"/>
        </w:rPr>
      </w:pPr>
    </w:p>
    <w:p w14:paraId="0572CD38">
      <w:pPr>
        <w:rPr>
          <w:rFonts w:ascii="仿宋_GB2312" w:eastAsia="仿宋_GB2312"/>
          <w:color w:val="auto"/>
          <w:sz w:val="32"/>
          <w:szCs w:val="32"/>
        </w:rPr>
      </w:pPr>
    </w:p>
    <w:p w14:paraId="2930FD03">
      <w:pPr>
        <w:jc w:val="left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  <w:r>
        <w:rPr>
          <w:rFonts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（公开属性：依法公开）</w:t>
      </w:r>
    </w:p>
    <w:p w14:paraId="0C17212D">
      <w:pPr>
        <w:ind w:firstLine="640" w:firstLineChars="200"/>
        <w:jc w:val="left"/>
        <w:rPr>
          <w:rFonts w:ascii="仿宋_GB2312" w:eastAsia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附件：</w:t>
      </w:r>
    </w:p>
    <w:p w14:paraId="04F29373">
      <w:pPr>
        <w:spacing w:line="560" w:lineRule="exact"/>
        <w:jc w:val="center"/>
        <w:rPr>
          <w:rFonts w:ascii="仿宋_GB2312" w:eastAsia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eastAsia="方正小标宋简体"/>
          <w:color w:val="auto"/>
          <w:kern w:val="0"/>
          <w:sz w:val="36"/>
          <w:szCs w:val="36"/>
          <w:shd w:val="clear" w:color="auto" w:fill="FFFFFF"/>
        </w:rPr>
        <w:t>不合格食品风险控制措施信息公示表</w:t>
      </w:r>
    </w:p>
    <w:tbl>
      <w:tblPr>
        <w:tblStyle w:val="3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16"/>
        <w:gridCol w:w="1304"/>
        <w:gridCol w:w="1605"/>
        <w:gridCol w:w="1769"/>
        <w:gridCol w:w="1396"/>
        <w:gridCol w:w="1635"/>
        <w:gridCol w:w="1785"/>
        <w:gridCol w:w="2640"/>
      </w:tblGrid>
      <w:tr w14:paraId="0EEAB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restart"/>
            <w:vAlign w:val="center"/>
          </w:tcPr>
          <w:p w14:paraId="4080DDDD">
            <w:pPr>
              <w:jc w:val="center"/>
              <w:rPr>
                <w:rFonts w:ascii="仿宋_GB2312" w:eastAsia="仿宋_GB2312" w:cs="宋体"/>
                <w:b/>
                <w:bCs/>
                <w:color w:val="auto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auto"/>
                <w:kern w:val="0"/>
                <w:sz w:val="20"/>
                <w:szCs w:val="20"/>
                <w:shd w:val="clear" w:color="auto" w:fill="FFFFFF"/>
              </w:rPr>
              <w:t>序号</w:t>
            </w:r>
          </w:p>
        </w:tc>
        <w:tc>
          <w:tcPr>
            <w:tcW w:w="7290" w:type="dxa"/>
            <w:gridSpan w:val="5"/>
            <w:tcBorders>
              <w:left w:val="nil"/>
            </w:tcBorders>
            <w:vAlign w:val="center"/>
          </w:tcPr>
          <w:p w14:paraId="333D21E9">
            <w:pPr>
              <w:jc w:val="center"/>
              <w:rPr>
                <w:rFonts w:ascii="仿宋_GB2312" w:eastAsia="仿宋_GB2312" w:cs="宋体"/>
                <w:b/>
                <w:bCs/>
                <w:color w:val="auto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 w:val="32"/>
                <w:szCs w:val="32"/>
              </w:rPr>
              <w:t>抽检基本情况</w:t>
            </w:r>
          </w:p>
        </w:tc>
        <w:tc>
          <w:tcPr>
            <w:tcW w:w="1635" w:type="dxa"/>
            <w:vMerge w:val="restart"/>
            <w:tcBorders>
              <w:left w:val="nil"/>
            </w:tcBorders>
            <w:vAlign w:val="center"/>
          </w:tcPr>
          <w:p w14:paraId="616D4BF7">
            <w:pPr>
              <w:jc w:val="center"/>
              <w:rPr>
                <w:rFonts w:ascii="仿宋_GB2312" w:eastAsia="仿宋_GB2312" w:cs="宋体"/>
                <w:b/>
                <w:bCs/>
                <w:color w:val="auto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auto"/>
                <w:kern w:val="0"/>
                <w:sz w:val="20"/>
                <w:szCs w:val="20"/>
                <w:shd w:val="clear" w:color="auto" w:fill="FFFFFF"/>
                <w:lang w:eastAsia="zh-CN"/>
              </w:rPr>
              <w:t>生产、购进</w:t>
            </w:r>
            <w:r>
              <w:rPr>
                <w:rFonts w:hint="eastAsia" w:ascii="仿宋_GB2312" w:hAnsi="Times New Roman" w:eastAsia="仿宋_GB2312"/>
                <w:b/>
                <w:bCs/>
                <w:color w:val="auto"/>
                <w:kern w:val="0"/>
                <w:sz w:val="20"/>
                <w:szCs w:val="20"/>
                <w:shd w:val="clear" w:color="auto" w:fill="FFFFFF"/>
              </w:rPr>
              <w:t>及购销存信息</w:t>
            </w:r>
          </w:p>
        </w:tc>
        <w:tc>
          <w:tcPr>
            <w:tcW w:w="1785" w:type="dxa"/>
            <w:vMerge w:val="restart"/>
            <w:tcBorders>
              <w:left w:val="nil"/>
            </w:tcBorders>
            <w:vAlign w:val="center"/>
          </w:tcPr>
          <w:p w14:paraId="380ED514">
            <w:pPr>
              <w:jc w:val="center"/>
              <w:rPr>
                <w:rFonts w:ascii="仿宋_GB2312" w:eastAsia="仿宋_GB2312" w:cs="宋体"/>
                <w:b/>
                <w:bCs/>
                <w:color w:val="auto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auto"/>
                <w:kern w:val="0"/>
                <w:sz w:val="20"/>
                <w:szCs w:val="20"/>
                <w:shd w:val="clear" w:color="auto" w:fill="FFFFFF"/>
              </w:rPr>
              <w:t>企业采取措施</w:t>
            </w:r>
          </w:p>
        </w:tc>
        <w:tc>
          <w:tcPr>
            <w:tcW w:w="2640" w:type="dxa"/>
            <w:vMerge w:val="restart"/>
            <w:tcBorders>
              <w:left w:val="nil"/>
            </w:tcBorders>
            <w:vAlign w:val="center"/>
          </w:tcPr>
          <w:p w14:paraId="36BD8DEE">
            <w:pPr>
              <w:jc w:val="center"/>
              <w:rPr>
                <w:rFonts w:ascii="仿宋_GB2312" w:eastAsia="仿宋_GB2312" w:cs="宋体"/>
                <w:b/>
                <w:bCs/>
                <w:color w:val="auto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auto"/>
                <w:kern w:val="0"/>
                <w:sz w:val="20"/>
                <w:szCs w:val="20"/>
                <w:shd w:val="clear" w:color="auto" w:fill="FFFFFF"/>
              </w:rPr>
              <w:t>执法部门所采取的的措施</w:t>
            </w:r>
          </w:p>
        </w:tc>
      </w:tr>
      <w:tr w14:paraId="7B00C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continue"/>
            <w:vAlign w:val="center"/>
          </w:tcPr>
          <w:p w14:paraId="5EBF9255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auto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216" w:type="dxa"/>
            <w:tcBorders>
              <w:left w:val="nil"/>
            </w:tcBorders>
            <w:vAlign w:val="center"/>
          </w:tcPr>
          <w:p w14:paraId="6D3C501E">
            <w:pPr>
              <w:jc w:val="center"/>
              <w:rPr>
                <w:rFonts w:ascii="仿宋_GB2312" w:eastAsia="仿宋_GB2312" w:cs="宋体"/>
                <w:b/>
                <w:bCs/>
                <w:color w:val="auto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auto"/>
                <w:kern w:val="0"/>
                <w:sz w:val="20"/>
                <w:szCs w:val="20"/>
                <w:shd w:val="clear" w:color="auto" w:fill="FFFFFF"/>
              </w:rPr>
              <w:t>名称</w:t>
            </w:r>
            <w:r>
              <w:rPr>
                <w:rFonts w:ascii="仿宋_GB2312" w:hAnsi="Times New Roman" w:eastAsia="仿宋_GB2312"/>
                <w:b/>
                <w:bCs/>
                <w:color w:val="auto"/>
                <w:kern w:val="0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hint="eastAsia" w:ascii="仿宋_GB2312" w:hAnsi="Times New Roman" w:eastAsia="仿宋_GB2312"/>
                <w:b/>
                <w:bCs/>
                <w:color w:val="auto"/>
                <w:kern w:val="0"/>
                <w:sz w:val="20"/>
                <w:szCs w:val="20"/>
                <w:shd w:val="clear" w:color="auto" w:fill="FFFFFF"/>
              </w:rPr>
              <w:t>规格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4F1B0934">
            <w:pPr>
              <w:jc w:val="center"/>
              <w:rPr>
                <w:rFonts w:ascii="仿宋_GB2312" w:eastAsia="仿宋_GB2312" w:cs="宋体"/>
                <w:b/>
                <w:bCs/>
                <w:color w:val="auto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auto"/>
                <w:kern w:val="0"/>
                <w:sz w:val="20"/>
                <w:szCs w:val="20"/>
                <w:shd w:val="clear" w:color="auto" w:fill="FFFFFF"/>
                <w:lang w:eastAsia="zh-CN"/>
              </w:rPr>
              <w:t>购进</w:t>
            </w:r>
            <w:r>
              <w:rPr>
                <w:rFonts w:hint="eastAsia" w:ascii="仿宋_GB2312" w:hAnsi="Times New Roman" w:eastAsia="仿宋_GB2312"/>
                <w:b/>
                <w:bCs/>
                <w:color w:val="auto"/>
                <w:kern w:val="0"/>
                <w:sz w:val="20"/>
                <w:szCs w:val="20"/>
                <w:shd w:val="clear" w:color="auto" w:fill="FFFFFF"/>
              </w:rPr>
              <w:t>日期</w:t>
            </w:r>
          </w:p>
          <w:p w14:paraId="719FCD83">
            <w:pPr>
              <w:jc w:val="center"/>
              <w:rPr>
                <w:rFonts w:ascii="仿宋_GB2312" w:eastAsia="仿宋_GB2312" w:cs="宋体"/>
                <w:b/>
                <w:bCs/>
                <w:color w:val="auto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auto"/>
                <w:kern w:val="0"/>
                <w:sz w:val="20"/>
                <w:szCs w:val="20"/>
                <w:shd w:val="clear" w:color="auto" w:fill="FFFFFF"/>
              </w:rPr>
              <w:t>批号</w:t>
            </w:r>
          </w:p>
        </w:tc>
        <w:tc>
          <w:tcPr>
            <w:tcW w:w="1605" w:type="dxa"/>
            <w:tcBorders>
              <w:left w:val="nil"/>
            </w:tcBorders>
            <w:vAlign w:val="center"/>
          </w:tcPr>
          <w:p w14:paraId="452D5B2F">
            <w:pPr>
              <w:jc w:val="center"/>
              <w:rPr>
                <w:rFonts w:ascii="仿宋_GB2312" w:eastAsia="仿宋_GB2312" w:cs="宋体"/>
                <w:b/>
                <w:bCs/>
                <w:color w:val="auto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auto"/>
                <w:kern w:val="0"/>
                <w:sz w:val="20"/>
                <w:szCs w:val="20"/>
                <w:shd w:val="clear" w:color="auto" w:fill="FFFFFF"/>
              </w:rPr>
              <w:t>不合格项目</w:t>
            </w:r>
          </w:p>
        </w:tc>
        <w:tc>
          <w:tcPr>
            <w:tcW w:w="1769" w:type="dxa"/>
            <w:tcBorders>
              <w:left w:val="nil"/>
            </w:tcBorders>
            <w:vAlign w:val="center"/>
          </w:tcPr>
          <w:p w14:paraId="19F64E7F">
            <w:pPr>
              <w:jc w:val="center"/>
              <w:rPr>
                <w:rFonts w:ascii="仿宋_GB2312" w:eastAsia="仿宋_GB2312" w:cs="宋体"/>
                <w:b/>
                <w:bCs/>
                <w:color w:val="auto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auto"/>
                <w:kern w:val="0"/>
                <w:sz w:val="20"/>
                <w:szCs w:val="20"/>
                <w:shd w:val="clear" w:color="auto" w:fill="FFFFFF"/>
              </w:rPr>
              <w:t>被抽样单位及所在地</w:t>
            </w:r>
          </w:p>
        </w:tc>
        <w:tc>
          <w:tcPr>
            <w:tcW w:w="1396" w:type="dxa"/>
            <w:tcBorders>
              <w:left w:val="nil"/>
            </w:tcBorders>
            <w:vAlign w:val="center"/>
          </w:tcPr>
          <w:p w14:paraId="7CAFCAAE">
            <w:pPr>
              <w:jc w:val="center"/>
              <w:rPr>
                <w:rFonts w:ascii="仿宋_GB2312" w:eastAsia="仿宋_GB2312" w:cs="宋体"/>
                <w:b/>
                <w:bCs/>
                <w:color w:val="auto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auto"/>
                <w:kern w:val="0"/>
                <w:sz w:val="20"/>
                <w:szCs w:val="20"/>
                <w:shd w:val="clear" w:color="auto" w:fill="FFFFFF"/>
                <w:lang w:eastAsia="zh-CN"/>
              </w:rPr>
              <w:t>购进</w:t>
            </w:r>
            <w:r>
              <w:rPr>
                <w:rFonts w:hint="eastAsia" w:ascii="仿宋_GB2312" w:hAnsi="Times New Roman" w:eastAsia="仿宋_GB2312"/>
                <w:b/>
                <w:bCs/>
                <w:color w:val="auto"/>
                <w:kern w:val="0"/>
                <w:sz w:val="20"/>
                <w:szCs w:val="20"/>
                <w:shd w:val="clear" w:color="auto" w:fill="FFFFFF"/>
              </w:rPr>
              <w:t>企业名称及所在地</w:t>
            </w:r>
          </w:p>
        </w:tc>
        <w:tc>
          <w:tcPr>
            <w:tcW w:w="1635" w:type="dxa"/>
            <w:vMerge w:val="continue"/>
            <w:tcBorders>
              <w:left w:val="nil"/>
            </w:tcBorders>
            <w:vAlign w:val="center"/>
          </w:tcPr>
          <w:p w14:paraId="17A23DD7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auto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785" w:type="dxa"/>
            <w:vMerge w:val="continue"/>
            <w:tcBorders>
              <w:left w:val="nil"/>
            </w:tcBorders>
            <w:vAlign w:val="center"/>
          </w:tcPr>
          <w:p w14:paraId="3010EF4C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auto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640" w:type="dxa"/>
            <w:vMerge w:val="continue"/>
            <w:tcBorders>
              <w:left w:val="nil"/>
            </w:tcBorders>
            <w:vAlign w:val="center"/>
          </w:tcPr>
          <w:p w14:paraId="72877010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auto"/>
                <w:kern w:val="0"/>
                <w:szCs w:val="21"/>
                <w:shd w:val="clear" w:color="auto" w:fill="FFFFFF"/>
              </w:rPr>
            </w:pPr>
          </w:p>
        </w:tc>
      </w:tr>
      <w:tr w14:paraId="3D90F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735" w:type="dxa"/>
            <w:vAlign w:val="center"/>
          </w:tcPr>
          <w:p w14:paraId="4772FCDD">
            <w:pPr>
              <w:rPr>
                <w:rFonts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216" w:type="dxa"/>
            <w:tcBorders>
              <w:left w:val="nil"/>
            </w:tcBorders>
            <w:vAlign w:val="center"/>
          </w:tcPr>
          <w:p w14:paraId="116BAF9C"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eastAsia="zh-CN"/>
              </w:rPr>
              <w:t>月饼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684FCF71">
            <w:pPr>
              <w:rPr>
                <w:rFonts w:hint="eastAsia"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  <w:lang w:eastAsia="zh-CN"/>
              </w:rPr>
              <w:t>生产日期：</w:t>
            </w:r>
            <w:r>
              <w:rPr>
                <w:rFonts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</w:rPr>
              <w:t>202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5</w:t>
            </w:r>
            <w:r>
              <w:rPr>
                <w:rFonts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8/7</w:t>
            </w:r>
          </w:p>
          <w:p w14:paraId="0EB37CEE">
            <w:pPr>
              <w:rPr>
                <w:rFonts w:hint="eastAsia"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</w:p>
          <w:p w14:paraId="36AD8E45">
            <w:pPr>
              <w:rPr>
                <w:rFonts w:hint="default"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流通环节购进日期：2025/8/10</w:t>
            </w:r>
          </w:p>
        </w:tc>
        <w:tc>
          <w:tcPr>
            <w:tcW w:w="1605" w:type="dxa"/>
            <w:tcBorders>
              <w:left w:val="nil"/>
            </w:tcBorders>
            <w:vAlign w:val="center"/>
          </w:tcPr>
          <w:p w14:paraId="366F4B02">
            <w:pPr>
              <w:rPr>
                <w:rFonts w:hint="default"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铝的残留量（干样品，以A1计）项目</w:t>
            </w:r>
          </w:p>
        </w:tc>
        <w:tc>
          <w:tcPr>
            <w:tcW w:w="1769" w:type="dxa"/>
            <w:tcBorders>
              <w:left w:val="nil"/>
            </w:tcBorders>
            <w:vAlign w:val="center"/>
          </w:tcPr>
          <w:p w14:paraId="01A7CC1A">
            <w:pPr>
              <w:rPr>
                <w:rFonts w:hint="eastAsia"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</w:rPr>
              <w:t>名称：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东川区鸿盛源购物中心</w:t>
            </w:r>
          </w:p>
          <w:p w14:paraId="0D1C6DFD">
            <w:pPr>
              <w:rPr>
                <w:rFonts w:hint="eastAsia"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</w:rPr>
              <w:t>所在地：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云南省昆明市东川区碧谷街道凯达路44号</w:t>
            </w:r>
          </w:p>
        </w:tc>
        <w:tc>
          <w:tcPr>
            <w:tcW w:w="1396" w:type="dxa"/>
            <w:tcBorders>
              <w:left w:val="nil"/>
            </w:tcBorders>
            <w:vAlign w:val="center"/>
          </w:tcPr>
          <w:p w14:paraId="2C58D1B1">
            <w:pPr>
              <w:rPr>
                <w:rFonts w:hint="default"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</w:rPr>
              <w:t>名称：东川区香香糕点厂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 xml:space="preserve"> （也即该批月饼生产企业）</w:t>
            </w:r>
          </w:p>
          <w:p w14:paraId="0DC586D4">
            <w:pPr>
              <w:rPr>
                <w:rFonts w:hint="eastAsia"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</w:rPr>
              <w:t>所在地：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  <w:lang w:eastAsia="zh-CN"/>
              </w:rPr>
              <w:t>云南省昆明市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</w:rPr>
              <w:t>东川区石羊村</w:t>
            </w:r>
          </w:p>
        </w:tc>
        <w:tc>
          <w:tcPr>
            <w:tcW w:w="1635" w:type="dxa"/>
            <w:tcBorders>
              <w:left w:val="nil"/>
            </w:tcBorders>
            <w:vAlign w:val="center"/>
          </w:tcPr>
          <w:p w14:paraId="602FDFCA">
            <w:pP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eastAsia="zh-CN"/>
              </w:rPr>
              <w:t>生产环节：</w:t>
            </w:r>
          </w:p>
          <w:p w14:paraId="4ED13985">
            <w:pPr>
              <w:rPr>
                <w:rFonts w:hint="default"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eastAsia="zh-CN"/>
              </w:rPr>
              <w:t>生产：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50个</w:t>
            </w:r>
          </w:p>
          <w:p w14:paraId="1962EA3F">
            <w:pPr>
              <w:rPr>
                <w:rFonts w:hint="default"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</w:rPr>
              <w:t>销售：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50个</w:t>
            </w:r>
          </w:p>
          <w:p w14:paraId="25133DCC">
            <w:pPr>
              <w:rPr>
                <w:rFonts w:hint="default"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eastAsia="zh-CN"/>
              </w:rPr>
              <w:t>损耗：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0个</w:t>
            </w:r>
          </w:p>
          <w:p w14:paraId="55B040B3">
            <w:pP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</w:rPr>
              <w:t>库存：</w:t>
            </w:r>
            <w:r>
              <w:rPr>
                <w:rFonts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</w:rPr>
              <w:t>0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eastAsia="zh-CN"/>
              </w:rPr>
              <w:t>个</w:t>
            </w:r>
          </w:p>
          <w:p w14:paraId="63D1AD40">
            <w:pP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</w:p>
          <w:p w14:paraId="2BF7CD13">
            <w:pP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eastAsia="zh-CN"/>
              </w:rPr>
              <w:t>流通环节：</w:t>
            </w:r>
          </w:p>
          <w:p w14:paraId="308094CB">
            <w:pPr>
              <w:rPr>
                <w:rFonts w:hint="default"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eastAsia="zh-CN"/>
              </w:rPr>
              <w:t>购进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50个</w:t>
            </w:r>
          </w:p>
          <w:p w14:paraId="349AF1DD">
            <w:pPr>
              <w:rPr>
                <w:rFonts w:hint="default"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</w:rPr>
              <w:t>销售：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50个</w:t>
            </w:r>
          </w:p>
          <w:p w14:paraId="44DA3F95">
            <w:pPr>
              <w:rPr>
                <w:rFonts w:hint="default"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eastAsia="zh-CN"/>
              </w:rPr>
              <w:t>损耗：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0个</w:t>
            </w:r>
          </w:p>
          <w:p w14:paraId="4F4551E6">
            <w:pP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</w:rPr>
              <w:t>库存：</w:t>
            </w:r>
            <w:r>
              <w:rPr>
                <w:rFonts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</w:rPr>
              <w:t>0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eastAsia="zh-CN"/>
              </w:rPr>
              <w:t>个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14:paraId="392D9AFB">
            <w:pPr>
              <w:rPr>
                <w:rFonts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</w:rPr>
              <w:t>整改情况：排查不合格原因，加强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食品进货查验相关工作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</w:rPr>
              <w:t>。</w:t>
            </w:r>
          </w:p>
        </w:tc>
        <w:tc>
          <w:tcPr>
            <w:tcW w:w="2640" w:type="dxa"/>
            <w:tcBorders>
              <w:left w:val="nil"/>
            </w:tcBorders>
            <w:vAlign w:val="center"/>
          </w:tcPr>
          <w:p w14:paraId="694144CF">
            <w:pPr>
              <w:rPr>
                <w:rFonts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</w:rPr>
              <w:t>1.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</w:rPr>
              <w:t>进行不合格问题原因排查；</w:t>
            </w:r>
          </w:p>
          <w:p w14:paraId="0319F7D0">
            <w:pPr>
              <w:rPr>
                <w:rFonts w:ascii="仿宋_GB2312" w:eastAsia="仿宋_GB2312" w:cs="宋体"/>
                <w:color w:val="auto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</w:rPr>
              <w:t>2.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</w:rPr>
              <w:t>对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  <w:lang w:eastAsia="zh-CN"/>
              </w:rPr>
              <w:t>生产、流通两个环节中生产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</w:rPr>
              <w:t>经营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  <w:lang w:eastAsia="zh-CN"/>
              </w:rPr>
              <w:t>超限量使用食品添加剂的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18"/>
                <w:szCs w:val="18"/>
                <w:shd w:val="clear" w:color="auto" w:fill="FFFFFF"/>
              </w:rPr>
              <w:t>食品的行为立案调查。</w:t>
            </w:r>
          </w:p>
        </w:tc>
      </w:tr>
    </w:tbl>
    <w:p w14:paraId="3B0E23F9">
      <w:pPr>
        <w:rPr>
          <w:color w:val="auto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TIxMDE3ZTYyZWQ1M2M3OWVkMWYzODA4YmZiNDcifQ=="/>
  </w:docVars>
  <w:rsids>
    <w:rsidRoot w:val="44933A96"/>
    <w:rsid w:val="00024CCC"/>
    <w:rsid w:val="00133F8D"/>
    <w:rsid w:val="00337EE7"/>
    <w:rsid w:val="006F4784"/>
    <w:rsid w:val="0083385D"/>
    <w:rsid w:val="00B64B8B"/>
    <w:rsid w:val="00C22C1E"/>
    <w:rsid w:val="00CA299C"/>
    <w:rsid w:val="00D93CE7"/>
    <w:rsid w:val="00E75E57"/>
    <w:rsid w:val="022D3E9F"/>
    <w:rsid w:val="07486A11"/>
    <w:rsid w:val="089D7302"/>
    <w:rsid w:val="127F2F5A"/>
    <w:rsid w:val="12CD4791"/>
    <w:rsid w:val="155F5A24"/>
    <w:rsid w:val="17F75EA0"/>
    <w:rsid w:val="1FA618BE"/>
    <w:rsid w:val="22780455"/>
    <w:rsid w:val="2C477569"/>
    <w:rsid w:val="42C84952"/>
    <w:rsid w:val="436B3CA7"/>
    <w:rsid w:val="43DD0D12"/>
    <w:rsid w:val="44933A96"/>
    <w:rsid w:val="45575C2D"/>
    <w:rsid w:val="4C571FCC"/>
    <w:rsid w:val="4E567CA1"/>
    <w:rsid w:val="51F34B83"/>
    <w:rsid w:val="53AD2561"/>
    <w:rsid w:val="59500DC5"/>
    <w:rsid w:val="62EB2B5F"/>
    <w:rsid w:val="713C33D6"/>
    <w:rsid w:val="78D24525"/>
    <w:rsid w:val="78E01A6F"/>
    <w:rsid w:val="7B1C2068"/>
    <w:rsid w:val="7CBB43DF"/>
    <w:rsid w:val="CD5FC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51</Words>
  <Characters>293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2022-08-03T15:01:00Z</dcterms:created>
  <dc:creator>小卷儿</dc:creator>
  <cp:lastModifiedBy>Administrator</cp:lastModifiedBy>
  <dcterms:modified xsi:type="dcterms:W3CDTF">2025-12-04T01:51:53Z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6C250A90FDB55A3C074B08688F0C5DCE_43</vt:lpwstr>
  </property>
</Properties>
</file>