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关于不合格产品风险控制措施信息的通告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（202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年第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二十四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期）</w:t>
      </w:r>
    </w:p>
    <w:p>
      <w:pPr>
        <w:widowControl/>
        <w:spacing w:line="480" w:lineRule="atLeast"/>
        <w:jc w:val="both"/>
        <w:rPr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　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</w:p>
    <w:p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根据国家食品安全抽样检验信息系统信息显示，涉及东川区拖布卡顺发便利店不合格产品“炒瓜子”1批次、东川区拖布卡顺富米店不合格产品“黄花菜”1批次，现将对上述不合格产品所采取的风险控制措施情况进行公示（详见附件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附件：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不合格产品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风险控制措施信息公示表</w:t>
      </w:r>
    </w:p>
    <w:p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>
      <w:pPr>
        <w:jc w:val="righ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昆明市东川区市场监督管理局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    </w:t>
      </w:r>
    </w:p>
    <w:p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（公开属性：依法公开）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ind w:firstLine="640" w:firstLineChars="20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</w:rPr>
        <w:t>附件：</w:t>
      </w:r>
    </w:p>
    <w:p>
      <w:pPr>
        <w:spacing w:line="560" w:lineRule="exact"/>
        <w:jc w:val="center"/>
        <w:rPr>
          <w:rFonts w:ascii="方正小标宋简体" w:eastAsia="方正小标宋简体"/>
          <w:color w:val="333333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eastAsia="方正小标宋简体"/>
          <w:color w:val="333333"/>
          <w:kern w:val="0"/>
          <w:sz w:val="36"/>
          <w:szCs w:val="36"/>
          <w:shd w:val="clear" w:color="auto" w:fill="FFFFFF"/>
        </w:rPr>
        <w:t>不合格食品风险控制措施信息公示表</w:t>
      </w:r>
    </w:p>
    <w:tbl>
      <w:tblPr>
        <w:tblStyle w:val="4"/>
        <w:tblW w:w="14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16"/>
        <w:gridCol w:w="1304"/>
        <w:gridCol w:w="1605"/>
        <w:gridCol w:w="1769"/>
        <w:gridCol w:w="1396"/>
        <w:gridCol w:w="1380"/>
        <w:gridCol w:w="2040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3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宋体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</w:rPr>
              <w:t>序号</w:t>
            </w:r>
          </w:p>
        </w:tc>
        <w:tc>
          <w:tcPr>
            <w:tcW w:w="7290" w:type="dxa"/>
            <w:gridSpan w:val="5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2"/>
                <w:szCs w:val="32"/>
              </w:rPr>
              <w:t>抽检基本情况</w:t>
            </w:r>
          </w:p>
        </w:tc>
        <w:tc>
          <w:tcPr>
            <w:tcW w:w="1380" w:type="dxa"/>
            <w:vMerge w:val="restart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</w:rPr>
              <w:t>生产及购销存信息</w:t>
            </w:r>
          </w:p>
        </w:tc>
        <w:tc>
          <w:tcPr>
            <w:tcW w:w="2040" w:type="dxa"/>
            <w:vMerge w:val="restart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</w:rPr>
              <w:t>企业采取措施</w:t>
            </w:r>
          </w:p>
        </w:tc>
        <w:tc>
          <w:tcPr>
            <w:tcW w:w="2640" w:type="dxa"/>
            <w:vMerge w:val="restart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</w:rPr>
              <w:t>执法部门所采取的的措施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21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</w:rPr>
              <w:t>名称</w:t>
            </w:r>
            <w:r>
              <w:rPr>
                <w:rFonts w:ascii="仿宋_GB2312" w:hAnsi="Times New Roman" w:eastAsia="仿宋_GB2312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hint="eastAsia" w:ascii="仿宋_GB2312" w:hAnsi="Times New Roman" w:eastAsia="仿宋_GB2312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</w:rPr>
              <w:t>规格</w:t>
            </w:r>
          </w:p>
        </w:tc>
        <w:tc>
          <w:tcPr>
            <w:tcW w:w="130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</w:rPr>
              <w:t>生产日期</w:t>
            </w:r>
          </w:p>
          <w:p>
            <w:pPr>
              <w:jc w:val="center"/>
              <w:rPr>
                <w:rFonts w:ascii="仿宋_GB2312" w:eastAsia="仿宋_GB2312" w:cs="宋体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</w:rPr>
              <w:t>批号</w:t>
            </w:r>
          </w:p>
        </w:tc>
        <w:tc>
          <w:tcPr>
            <w:tcW w:w="160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</w:rPr>
              <w:t>不合格项目</w:t>
            </w:r>
          </w:p>
        </w:tc>
        <w:tc>
          <w:tcPr>
            <w:tcW w:w="176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</w:rPr>
              <w:t>被抽样单位及所在地</w:t>
            </w:r>
          </w:p>
        </w:tc>
        <w:tc>
          <w:tcPr>
            <w:tcW w:w="139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</w:rPr>
              <w:t>标示生产企业名称及所在地</w:t>
            </w:r>
          </w:p>
        </w:tc>
        <w:tc>
          <w:tcPr>
            <w:tcW w:w="1380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040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640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1" w:hRule="atLeast"/>
        </w:trPr>
        <w:tc>
          <w:tcPr>
            <w:tcW w:w="735" w:type="dxa"/>
            <w:vAlign w:val="center"/>
          </w:tcPr>
          <w:p>
            <w:pPr>
              <w:rPr>
                <w:rFonts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hAnsi="Times New Roman" w:eastAsia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216" w:type="dxa"/>
            <w:tcBorders>
              <w:left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2C3E5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炒瓜子</w:t>
            </w:r>
          </w:p>
        </w:tc>
        <w:tc>
          <w:tcPr>
            <w:tcW w:w="1304" w:type="dxa"/>
            <w:tcBorders>
              <w:left w:val="nil"/>
            </w:tcBorders>
            <w:vAlign w:val="center"/>
          </w:tcPr>
          <w:p>
            <w:pPr>
              <w:rPr>
                <w:rFonts w:hint="default"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2025/07/07</w:t>
            </w:r>
          </w:p>
        </w:tc>
        <w:tc>
          <w:tcPr>
            <w:tcW w:w="1605" w:type="dxa"/>
            <w:tcBorders>
              <w:left w:val="nil"/>
            </w:tcBorders>
            <w:vAlign w:val="center"/>
          </w:tcPr>
          <w:p>
            <w:pPr>
              <w:rPr>
                <w:rFonts w:hint="default"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过氧化值（以脂肪计）项目不</w:t>
            </w:r>
            <w:bookmarkStart w:id="0" w:name="_GoBack"/>
            <w:bookmarkEnd w:id="0"/>
            <w:r>
              <w:rPr>
                <w:rFonts w:hint="eastAsia"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符合GB19300-2014《食品安全国家标准 坚果与籽类食品》</w:t>
            </w:r>
          </w:p>
        </w:tc>
        <w:tc>
          <w:tcPr>
            <w:tcW w:w="1769" w:type="dxa"/>
            <w:tcBorders>
              <w:left w:val="nil"/>
            </w:tcBorders>
            <w:vAlign w:val="center"/>
          </w:tcPr>
          <w:p>
            <w:pPr>
              <w:rPr>
                <w:rFonts w:hint="eastAsia"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名称：东川区拖布卡顺发便利店</w:t>
            </w:r>
            <w:r>
              <w:rPr>
                <w:rFonts w:hint="eastAsia"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 xml:space="preserve"> 所在地：</w:t>
            </w:r>
            <w:r>
              <w:rPr>
                <w:rFonts w:hint="eastAsia"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云南省昆明市东川区拖布卡乡新街村委会邮政所对面</w:t>
            </w:r>
          </w:p>
          <w:p>
            <w:pPr>
              <w:rPr>
                <w:rFonts w:hint="eastAsia"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</w:p>
          <w:p>
            <w:pPr>
              <w:rPr>
                <w:rFonts w:hint="default"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396" w:type="dxa"/>
            <w:tcBorders>
              <w:left w:val="nil"/>
            </w:tcBorders>
            <w:vAlign w:val="center"/>
          </w:tcPr>
          <w:p>
            <w:pPr>
              <w:rPr>
                <w:rFonts w:hint="eastAsia"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无</w:t>
            </w:r>
          </w:p>
        </w:tc>
        <w:tc>
          <w:tcPr>
            <w:tcW w:w="1380" w:type="dxa"/>
            <w:tcBorders>
              <w:left w:val="nil"/>
            </w:tcBorders>
            <w:vAlign w:val="center"/>
          </w:tcPr>
          <w:p>
            <w:pPr>
              <w:rPr>
                <w:rFonts w:hint="eastAsia" w:ascii="仿宋_GB2312" w:eastAsia="仿宋_GB2312" w:cs="宋体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shd w:val="clear" w:color="auto" w:fill="FFFFFF"/>
                <w:lang w:eastAsia="zh-CN"/>
              </w:rPr>
              <w:t>经营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shd w:val="clear" w:color="auto" w:fill="FFFFFF"/>
              </w:rPr>
              <w:t>：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8.2kg</w:t>
            </w:r>
          </w:p>
          <w:p>
            <w:pPr>
              <w:rPr>
                <w:rFonts w:ascii="仿宋_GB2312" w:eastAsia="仿宋_GB2312" w:cs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shd w:val="clear" w:color="auto" w:fill="FFFFFF"/>
              </w:rPr>
              <w:t>库存：</w:t>
            </w:r>
            <w:r>
              <w:rPr>
                <w:rFonts w:ascii="仿宋_GB2312" w:eastAsia="仿宋_GB2312" w:cs="宋体"/>
                <w:kern w:val="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2040" w:type="dxa"/>
            <w:tcBorders>
              <w:left w:val="nil"/>
            </w:tcBorders>
            <w:vAlign w:val="center"/>
          </w:tcPr>
          <w:p>
            <w:pPr>
              <w:rPr>
                <w:rFonts w:hint="eastAsia" w:ascii="仿宋_GB2312" w:hAnsi="Times New Roman" w:eastAsia="仿宋_GB2312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18"/>
                <w:szCs w:val="18"/>
                <w:shd w:val="clear" w:color="auto" w:fill="FFFFFF"/>
              </w:rPr>
              <w:t>整改情况：</w:t>
            </w:r>
            <w:r>
              <w:rPr>
                <w:rFonts w:hint="eastAsia" w:ascii="仿宋_GB2312" w:hAnsi="Times New Roman" w:eastAsia="仿宋_GB2312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1.对库存不合格商品进行全面清理，查清商品不合格原因；</w:t>
            </w:r>
          </w:p>
          <w:p>
            <w:pPr>
              <w:rPr>
                <w:rFonts w:hint="eastAsia" w:ascii="仿宋_GB2312" w:hAnsi="Times New Roman" w:eastAsia="仿宋_GB2312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2.加强食品安全相关法律法规学习；规范经营行为，遵守行政管理秩序；</w:t>
            </w:r>
          </w:p>
          <w:p>
            <w:pPr>
              <w:rPr>
                <w:rFonts w:hint="eastAsia" w:ascii="仿宋_GB2312" w:hAnsi="Times New Roman" w:eastAsia="仿宋_GB2312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3.建立并落实食品查验进货制度，特别是</w:t>
            </w:r>
            <w:r>
              <w:rPr>
                <w:rFonts w:hint="eastAsia" w:ascii="仿宋_GB2312" w:hAnsi="Times New Roman" w:eastAsia="仿宋_GB2312"/>
                <w:kern w:val="0"/>
                <w:sz w:val="18"/>
                <w:szCs w:val="18"/>
                <w:shd w:val="clear" w:color="auto" w:fill="FFFFFF"/>
              </w:rPr>
              <w:t>查验供货者的许可证和食品出厂检验合格证或者其他合格证明</w:t>
            </w:r>
            <w:r>
              <w:rPr>
                <w:rFonts w:hint="eastAsia" w:ascii="仿宋_GB2312" w:hAnsi="Times New Roman" w:eastAsia="仿宋_GB2312"/>
                <w:kern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</w:p>
          <w:p>
            <w:pPr>
              <w:rPr>
                <w:rFonts w:hint="eastAsia" w:ascii="仿宋_GB2312" w:eastAsia="仿宋_GB2312" w:cs="宋体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2640" w:type="dxa"/>
            <w:tcBorders>
              <w:left w:val="nil"/>
            </w:tcBorders>
            <w:vAlign w:val="center"/>
          </w:tcPr>
          <w:p>
            <w:pPr>
              <w:rPr>
                <w:rFonts w:ascii="仿宋_GB2312" w:hAnsi="Times New Roman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hAnsi="Times New Roman" w:eastAsia="仿宋_GB2312"/>
                <w:kern w:val="0"/>
                <w:sz w:val="18"/>
                <w:szCs w:val="18"/>
                <w:shd w:val="clear" w:color="auto" w:fill="FFFFFF"/>
              </w:rPr>
              <w:t>1.</w:t>
            </w:r>
            <w:r>
              <w:rPr>
                <w:rFonts w:hint="eastAsia" w:ascii="仿宋_GB2312" w:hAnsi="Times New Roman" w:eastAsia="仿宋_GB2312"/>
                <w:kern w:val="0"/>
                <w:sz w:val="18"/>
                <w:szCs w:val="18"/>
                <w:shd w:val="clear" w:color="auto" w:fill="FFFFFF"/>
              </w:rPr>
              <w:t>进行不合格问题原因排查；</w:t>
            </w:r>
          </w:p>
          <w:p>
            <w:pPr>
              <w:rPr>
                <w:rFonts w:ascii="仿宋_GB2312" w:eastAsia="仿宋_GB2312" w:cs="宋体"/>
                <w:color w:val="FF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hAnsi="Times New Roman" w:eastAsia="仿宋_GB2312"/>
                <w:kern w:val="0"/>
                <w:sz w:val="18"/>
                <w:szCs w:val="18"/>
                <w:shd w:val="clear" w:color="auto" w:fill="FFFFFF"/>
              </w:rPr>
              <w:t>2.</w:t>
            </w:r>
            <w:r>
              <w:rPr>
                <w:rFonts w:hint="eastAsia" w:ascii="仿宋_GB2312" w:hAnsi="Times New Roman" w:eastAsia="仿宋_GB2312"/>
                <w:kern w:val="0"/>
                <w:sz w:val="18"/>
                <w:szCs w:val="18"/>
                <w:shd w:val="clear" w:color="auto" w:fill="FFFFFF"/>
              </w:rPr>
              <w:t>对生产经营不符合食品安全标准食品的行为立案调查。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4" w:hRule="atLeast"/>
        </w:trPr>
        <w:tc>
          <w:tcPr>
            <w:tcW w:w="735" w:type="dxa"/>
            <w:vAlign w:val="center"/>
          </w:tcPr>
          <w:p>
            <w:pPr>
              <w:rPr>
                <w:rFonts w:hint="default" w:ascii="仿宋_GB2312" w:hAnsi="Times New Roman" w:eastAsia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2.</w:t>
            </w:r>
          </w:p>
        </w:tc>
        <w:tc>
          <w:tcPr>
            <w:tcW w:w="1216" w:type="dxa"/>
            <w:tcBorders>
              <w:left w:val="nil"/>
            </w:tcBorders>
            <w:vAlign w:val="center"/>
          </w:tcPr>
          <w:p>
            <w:pPr>
              <w:rPr>
                <w:rFonts w:hint="eastAsia"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黄花菜</w:t>
            </w:r>
          </w:p>
        </w:tc>
        <w:tc>
          <w:tcPr>
            <w:tcW w:w="1304" w:type="dxa"/>
            <w:tcBorders>
              <w:left w:val="nil"/>
            </w:tcBorders>
            <w:vAlign w:val="center"/>
          </w:tcPr>
          <w:p>
            <w:pPr>
              <w:rPr>
                <w:rFonts w:hint="default" w:ascii="仿宋_GB2312" w:hAnsi="Times New Roman" w:eastAsia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2025/07/07</w:t>
            </w:r>
          </w:p>
        </w:tc>
        <w:tc>
          <w:tcPr>
            <w:tcW w:w="1605" w:type="dxa"/>
            <w:tcBorders>
              <w:left w:val="nil"/>
            </w:tcBorders>
            <w:vAlign w:val="center"/>
          </w:tcPr>
          <w:p>
            <w:pPr>
              <w:rPr>
                <w:rFonts w:hint="eastAsia"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二氧化硫残留量项目不符合GB2760-2024《食品安全国家标准 食品添加剂使用标准》</w:t>
            </w:r>
          </w:p>
        </w:tc>
        <w:tc>
          <w:tcPr>
            <w:tcW w:w="1769" w:type="dxa"/>
            <w:tcBorders>
              <w:left w:val="nil"/>
            </w:tcBorders>
            <w:vAlign w:val="center"/>
          </w:tcPr>
          <w:p>
            <w:pPr>
              <w:rPr>
                <w:rFonts w:hint="eastAsia"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名称：东川区拖布卡顺富米店</w:t>
            </w:r>
            <w:r>
              <w:rPr>
                <w:rFonts w:hint="eastAsia"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所在地：</w:t>
            </w:r>
            <w:r>
              <w:rPr>
                <w:rFonts w:hint="eastAsia"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昆明市东川区拖布卡新街村半边街52号</w:t>
            </w:r>
          </w:p>
          <w:p>
            <w:pPr>
              <w:rPr>
                <w:rFonts w:hint="eastAsia"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</w:p>
          <w:p>
            <w:pPr>
              <w:rPr>
                <w:rFonts w:hint="default"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396" w:type="dxa"/>
            <w:tcBorders>
              <w:left w:val="nil"/>
            </w:tcBorders>
            <w:vAlign w:val="center"/>
          </w:tcPr>
          <w:p>
            <w:pPr>
              <w:rPr>
                <w:rFonts w:hint="eastAsia"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无</w:t>
            </w:r>
          </w:p>
        </w:tc>
        <w:tc>
          <w:tcPr>
            <w:tcW w:w="1380" w:type="dxa"/>
            <w:tcBorders>
              <w:left w:val="nil"/>
            </w:tcBorders>
            <w:vAlign w:val="center"/>
          </w:tcPr>
          <w:p>
            <w:pPr>
              <w:rPr>
                <w:rFonts w:hint="eastAsia" w:ascii="仿宋_GB2312" w:eastAsia="仿宋_GB2312" w:cs="宋体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shd w:val="clear" w:color="auto" w:fill="FFFFFF"/>
                <w:lang w:eastAsia="zh-CN"/>
              </w:rPr>
              <w:t>经营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shd w:val="clear" w:color="auto" w:fill="FFFFFF"/>
              </w:rPr>
              <w:t>：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2.0kg</w:t>
            </w:r>
          </w:p>
          <w:p>
            <w:pPr>
              <w:rPr>
                <w:rFonts w:hint="eastAsia" w:ascii="仿宋_GB2312" w:eastAsia="仿宋_GB2312" w:cs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shd w:val="clear" w:color="auto" w:fill="FFFFFF"/>
              </w:rPr>
              <w:t>库存：</w:t>
            </w:r>
            <w:r>
              <w:rPr>
                <w:rFonts w:ascii="仿宋_GB2312" w:eastAsia="仿宋_GB2312" w:cs="宋体"/>
                <w:kern w:val="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2040" w:type="dxa"/>
            <w:tcBorders>
              <w:left w:val="nil"/>
            </w:tcBorders>
            <w:vAlign w:val="center"/>
          </w:tcPr>
          <w:p>
            <w:pPr>
              <w:rPr>
                <w:rFonts w:hint="eastAsia" w:ascii="仿宋_GB2312" w:hAnsi="Times New Roman" w:eastAsia="仿宋_GB2312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18"/>
                <w:szCs w:val="18"/>
                <w:shd w:val="clear" w:color="auto" w:fill="FFFFFF"/>
              </w:rPr>
              <w:t>整改情况：</w:t>
            </w:r>
            <w:r>
              <w:rPr>
                <w:rFonts w:hint="eastAsia" w:ascii="仿宋_GB2312" w:hAnsi="Times New Roman" w:eastAsia="仿宋_GB2312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1.对库存不合格商品进行全面清理，查清商品不合格原因；</w:t>
            </w:r>
          </w:p>
          <w:p>
            <w:pPr>
              <w:rPr>
                <w:rFonts w:hint="eastAsia" w:ascii="仿宋_GB2312" w:hAnsi="Times New Roman" w:eastAsia="仿宋_GB2312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2.加强食品安全相关法律法规学习；规范经营行为，遵守行政管理秩序；</w:t>
            </w:r>
          </w:p>
          <w:p>
            <w:pPr>
              <w:rPr>
                <w:rFonts w:hint="eastAsia" w:ascii="仿宋_GB2312" w:hAnsi="Times New Roman" w:eastAsia="仿宋_GB2312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3.建立并落实食品查验进货制度，特别是</w:t>
            </w:r>
            <w:r>
              <w:rPr>
                <w:rFonts w:hint="eastAsia" w:ascii="仿宋_GB2312" w:hAnsi="Times New Roman" w:eastAsia="仿宋_GB2312"/>
                <w:kern w:val="0"/>
                <w:sz w:val="18"/>
                <w:szCs w:val="18"/>
                <w:shd w:val="clear" w:color="auto" w:fill="FFFFFF"/>
              </w:rPr>
              <w:t>查验供货者的许可证和食品出厂检验合格证或者其他合格证明</w:t>
            </w:r>
            <w:r>
              <w:rPr>
                <w:rFonts w:hint="eastAsia" w:ascii="仿宋_GB2312" w:hAnsi="Times New Roman" w:eastAsia="仿宋_GB2312"/>
                <w:kern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2640" w:type="dxa"/>
            <w:tcBorders>
              <w:left w:val="nil"/>
            </w:tcBorders>
            <w:vAlign w:val="center"/>
          </w:tcPr>
          <w:p>
            <w:pPr>
              <w:rPr>
                <w:rFonts w:ascii="仿宋_GB2312" w:hAnsi="Times New Roman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hAnsi="Times New Roman" w:eastAsia="仿宋_GB2312"/>
                <w:kern w:val="0"/>
                <w:sz w:val="18"/>
                <w:szCs w:val="18"/>
                <w:shd w:val="clear" w:color="auto" w:fill="FFFFFF"/>
              </w:rPr>
              <w:t>1.</w:t>
            </w:r>
            <w:r>
              <w:rPr>
                <w:rFonts w:hint="eastAsia" w:ascii="仿宋_GB2312" w:hAnsi="Times New Roman" w:eastAsia="仿宋_GB2312"/>
                <w:kern w:val="0"/>
                <w:sz w:val="18"/>
                <w:szCs w:val="18"/>
                <w:shd w:val="clear" w:color="auto" w:fill="FFFFFF"/>
              </w:rPr>
              <w:t>进行不合格问题原因排查；</w:t>
            </w:r>
          </w:p>
          <w:p>
            <w:pPr>
              <w:rPr>
                <w:rFonts w:ascii="仿宋_GB2312" w:hAnsi="Times New Roman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hAnsi="Times New Roman" w:eastAsia="仿宋_GB2312"/>
                <w:kern w:val="0"/>
                <w:sz w:val="18"/>
                <w:szCs w:val="18"/>
                <w:shd w:val="clear" w:color="auto" w:fill="FFFFFF"/>
              </w:rPr>
              <w:t>2.</w:t>
            </w:r>
            <w:r>
              <w:rPr>
                <w:rFonts w:hint="eastAsia" w:ascii="仿宋_GB2312" w:hAnsi="Times New Roman" w:eastAsia="仿宋_GB2312"/>
                <w:kern w:val="0"/>
                <w:sz w:val="18"/>
                <w:szCs w:val="18"/>
                <w:shd w:val="clear" w:color="auto" w:fill="FFFFFF"/>
              </w:rPr>
              <w:t>对生产经营不符合食品安全标准食品的行为立案调查。</w:t>
            </w:r>
          </w:p>
        </w:tc>
      </w:tr>
    </w:tbl>
    <w:p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reeSans">
    <w:altName w:val="Segoe Print"/>
    <w:panose1 w:val="020B0504020002020204"/>
    <w:charset w:val="00"/>
    <w:family w:val="auto"/>
    <w:pitch w:val="default"/>
    <w:sig w:usb0="00000000" w:usb1="00000000" w:usb2="000030A0" w:usb3="00000584" w:csb0="600001BF" w:csb1="DFF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A92"/>
    <w:rsid w:val="00485A92"/>
    <w:rsid w:val="00612FEB"/>
    <w:rsid w:val="00616AAE"/>
    <w:rsid w:val="00E14BCB"/>
    <w:rsid w:val="00EF614E"/>
    <w:rsid w:val="01E930C9"/>
    <w:rsid w:val="06065B80"/>
    <w:rsid w:val="08D73CB7"/>
    <w:rsid w:val="0A73690D"/>
    <w:rsid w:val="0AA841BB"/>
    <w:rsid w:val="0AC97CC4"/>
    <w:rsid w:val="0B456211"/>
    <w:rsid w:val="0C821369"/>
    <w:rsid w:val="1E253F81"/>
    <w:rsid w:val="21A01496"/>
    <w:rsid w:val="29655F1E"/>
    <w:rsid w:val="29A7421A"/>
    <w:rsid w:val="2BC146AD"/>
    <w:rsid w:val="2CC57322"/>
    <w:rsid w:val="2DCE0735"/>
    <w:rsid w:val="2F8B6FC9"/>
    <w:rsid w:val="317220C8"/>
    <w:rsid w:val="334C51E2"/>
    <w:rsid w:val="344062C5"/>
    <w:rsid w:val="36432FA5"/>
    <w:rsid w:val="36590C61"/>
    <w:rsid w:val="369417C7"/>
    <w:rsid w:val="3A435EBC"/>
    <w:rsid w:val="3C040DBB"/>
    <w:rsid w:val="3C673A15"/>
    <w:rsid w:val="3E033578"/>
    <w:rsid w:val="3FB7026E"/>
    <w:rsid w:val="420F778B"/>
    <w:rsid w:val="446B4262"/>
    <w:rsid w:val="44BF3B03"/>
    <w:rsid w:val="472F3166"/>
    <w:rsid w:val="4A152819"/>
    <w:rsid w:val="4A1B24C1"/>
    <w:rsid w:val="4C173306"/>
    <w:rsid w:val="4C885DD2"/>
    <w:rsid w:val="4EDB1A22"/>
    <w:rsid w:val="50486F61"/>
    <w:rsid w:val="50AC2E02"/>
    <w:rsid w:val="51117E24"/>
    <w:rsid w:val="54657946"/>
    <w:rsid w:val="548C31C2"/>
    <w:rsid w:val="58B74B73"/>
    <w:rsid w:val="58CF50BE"/>
    <w:rsid w:val="59723AA6"/>
    <w:rsid w:val="5A35113C"/>
    <w:rsid w:val="5D052CC9"/>
    <w:rsid w:val="64B00AEB"/>
    <w:rsid w:val="65B45B1C"/>
    <w:rsid w:val="66636F4A"/>
    <w:rsid w:val="71DE6354"/>
    <w:rsid w:val="72EC630D"/>
    <w:rsid w:val="739C1845"/>
    <w:rsid w:val="74E655AA"/>
    <w:rsid w:val="794E0599"/>
    <w:rsid w:val="795A7759"/>
    <w:rsid w:val="7B4F4133"/>
    <w:rsid w:val="7CB12FB8"/>
    <w:rsid w:val="7FAF21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1010</Words>
  <Characters>305</Characters>
  <Lines>2</Lines>
  <Paragraphs>2</Paragraphs>
  <TotalTime>0</TotalTime>
  <ScaleCrop>false</ScaleCrop>
  <LinksUpToDate>false</LinksUpToDate>
  <CharactersWithSpaces>1313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2021-08-09T00:38:00Z</cp:lastPrinted>
  <dcterms:modified xsi:type="dcterms:W3CDTF">2025-11-03T10:28:33Z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4625CE1D1BD1417EA93C4D35CB09F295</vt:lpwstr>
  </property>
</Properties>
</file>