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81" w:firstLineChars="100"/>
        <w:jc w:val="left"/>
        <w:rPr>
          <w:rFonts w:hint="eastAsia" w:ascii="宋体" w:hAnsi="宋体" w:eastAsia="宋体" w:cs="宋体"/>
          <w:b/>
          <w:bCs/>
          <w:kern w:val="44"/>
          <w:sz w:val="28"/>
          <w:szCs w:val="28"/>
          <w:lang w:val="zh-CN" w:eastAsia="zh-CN" w:bidi="ar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zh-CN" w:eastAsia="zh-CN" w:bidi="ar"/>
        </w:rPr>
        <w:t>《东川区第二幼儿园地块国土空间详细规划》</w:t>
      </w: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en-US" w:eastAsia="zh-CN" w:bidi="ar"/>
        </w:rPr>
        <w:t>批后公布</w:t>
      </w:r>
    </w:p>
    <w:p>
      <w:pPr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项目名称：</w:t>
      </w:r>
      <w:r>
        <w:rPr>
          <w:rFonts w:hint="eastAsia" w:ascii="宋体" w:hAnsi="宋体" w:eastAsia="宋体" w:cs="宋体"/>
          <w:lang w:val="en-US" w:eastAsia="zh-CN"/>
        </w:rPr>
        <w:t>东川区第二幼儿园地块国土空间详细规划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批准情况：</w:t>
      </w:r>
      <w:bookmarkStart w:id="0" w:name="_GoBack"/>
      <w:r>
        <w:rPr>
          <w:rFonts w:hint="eastAsia" w:ascii="宋体" w:hAnsi="宋体" w:eastAsia="宋体" w:cs="宋体"/>
          <w:highlight w:val="none"/>
          <w:lang w:val="en-US" w:eastAsia="zh-CN"/>
        </w:rPr>
        <w:t>2025年8月8日昆明市东川区人民政府《东川区第二幼儿园地块国土空间详细规划》（东政复〔2025〕118号）批复同意。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公布时间：</w:t>
      </w:r>
      <w:r>
        <w:rPr>
          <w:rFonts w:hint="eastAsia" w:ascii="宋体" w:hAnsi="宋体" w:eastAsia="宋体" w:cs="宋体"/>
          <w:highlight w:val="none"/>
          <w:lang w:val="en-US" w:eastAsia="zh-CN"/>
        </w:rPr>
        <w:t>2025年9月9日</w:t>
      </w:r>
    </w:p>
    <w:bookmarkEnd w:id="0"/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公布途径：</w:t>
      </w:r>
      <w:r>
        <w:rPr>
          <w:rFonts w:hint="eastAsia" w:ascii="宋体" w:hAnsi="宋体" w:eastAsia="宋体" w:cs="宋体"/>
          <w:lang w:val="en-US" w:eastAsia="zh-CN"/>
        </w:rPr>
        <w:t>昆明市东川区人民政府官网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规划内容简介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一、规划范围：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依据《东川区国土空间总体规划（2021—2035年）》划定的地块作为规划范围的依据，地块位于南部宜居生活单元，西临东起路，南临规划兴铜路，均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以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道路红线为界，北侧及东侧临现状耕地，以总规幼儿园用地边界为界。总体规划中，地块规划为幼儿园用地，面积为1.2375公顷（18.56亩），与规划地块范围面积一致。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二</w:t>
            </w: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、规划内容：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规划将东川区第二幼儿园地块的功能定位为幼儿园用地，建设东川区幼儿园有利于加强南部宜居生活单元公共服务设施配套，同时能够与周边教育资源串联。明确土地使用及用地管控，规定开发强度容积率在0.5≤R≤1.2之间，建筑密度不应超过35%，绿地率不低于30%，建筑高度不应超过24米，建筑间距控制和建筑退让控制应符合国家、地方相关法律法规及《昆明市城乡规划管理技术规定》；对风貌塑造、综合交通、市政公用设施等内容进行引导性控制，规划为东川区第二幼儿园地块开发提供规划条件和建设依据，指导地块的开发建设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宋体" w:hAnsi="宋体" w:eastAsia="宋体" w:cs="宋体"/>
                <w:b/>
                <w:bCs/>
                <w:color w:val="FF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三、规划定位：</w:t>
            </w:r>
            <w:r>
              <w:rPr>
                <w:rFonts w:hint="eastAsia" w:cs="Times New Roman"/>
                <w:szCs w:val="22"/>
                <w:lang w:val="en-US" w:eastAsia="zh-CN"/>
              </w:rPr>
              <w:t>近年来，随着易地扶贫搬迁和农村进城务工人员的增加，东川城区学前教育适龄人口逐年增长，而幼儿园办学规模与人口增长发展需求差距较大。铜都街道办事处境内公办幼儿园仅有3所（尼拉姑、达贝、石羊），且规模小、办学条件不足，制约了学前教育质量和办学水平的提高。为加快东川学前教育发展，改善幼儿入公办园难的问题，保障幼儿能就近就便接受高质量的学前教育需求，规划新建东川区第二幼儿园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/>
              </w:rPr>
              <w:t>规划范围位于南部宜居生活单元，以高品质居住、商业服务、文化娱乐功能为主，重点加强公共服务设施配套，建设组团级商业中心和文化娱乐中心，依托腊利沟的景观风貌，塑造城市南部宜居门户地区。</w:t>
            </w:r>
          </w:p>
        </w:tc>
      </w:tr>
    </w:tbl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区位图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</w:pPr>
      <w:r>
        <w:drawing>
          <wp:inline distT="0" distB="0" distL="114300" distR="114300">
            <wp:extent cx="4982845" cy="4617085"/>
            <wp:effectExtent l="0" t="0" r="8255" b="12065"/>
            <wp:docPr id="51" name="图片 50" descr="C:\Users\hp\Desktop\捕获.JPG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 descr="C:\Users\hp\Desktop\捕获.JPG捕获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040" cy="3719195"/>
                  <wp:effectExtent l="0" t="0" r="3810" b="14605"/>
                  <wp:docPr id="10" name="图片 10" descr="C:\Users\hp\Desktop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hp\Desktop\1.JPG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1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eastAsiaTheme="minorEastAsia"/>
                <w:i/>
                <w:iCs/>
                <w:vertAlign w:val="baseline"/>
                <w:lang w:eastAsia="zh-CN"/>
              </w:rPr>
            </w:pPr>
            <w:r>
              <w:rPr>
                <w:rFonts w:hint="eastAsia" w:eastAsiaTheme="minorEastAsia"/>
                <w:i/>
                <w:iCs/>
                <w:vertAlign w:val="baseline"/>
                <w:lang w:eastAsia="zh-CN"/>
              </w:rPr>
              <w:drawing>
                <wp:inline distT="0" distB="0" distL="114300" distR="114300">
                  <wp:extent cx="5269230" cy="3720465"/>
                  <wp:effectExtent l="0" t="0" r="7620" b="13335"/>
                  <wp:docPr id="11" name="图片 11" descr="C:\Users\hp\Desktop\2.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hp\Desktop\2.JPG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72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vertAlign w:val="baseline"/>
              </w:rPr>
            </w:pPr>
            <w:r>
              <w:drawing>
                <wp:inline distT="0" distB="0" distL="114300" distR="114300">
                  <wp:extent cx="5290185" cy="3739515"/>
                  <wp:effectExtent l="0" t="0" r="5715" b="13335"/>
                  <wp:docPr id="2" name="图片 1" descr="C:\Users\hp\Desktop\二幼图则.jpg二幼图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hp\Desktop\二幼图则.jpg二幼图则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185" cy="37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80660" cy="3724910"/>
                  <wp:effectExtent l="0" t="0" r="15240" b="8890"/>
                  <wp:docPr id="5" name="图片 5" descr="C:\Users\hp\Desktop\捕获.JPG捕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hp\Desktop\捕获.JPG捕获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0" cy="372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宋体" w:hAnsi="宋体" w:eastAsia="宋体" w:cs="宋体"/>
          <w:b/>
          <w:bCs/>
          <w:highlight w:val="yellow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CF6215"/>
    <w:rsid w:val="026E36E8"/>
    <w:rsid w:val="067C4DD7"/>
    <w:rsid w:val="09661E1E"/>
    <w:rsid w:val="0B63211C"/>
    <w:rsid w:val="0CBF3E0A"/>
    <w:rsid w:val="0D320870"/>
    <w:rsid w:val="11EA6668"/>
    <w:rsid w:val="19A44987"/>
    <w:rsid w:val="1D077D5C"/>
    <w:rsid w:val="20CF6215"/>
    <w:rsid w:val="23C103D5"/>
    <w:rsid w:val="284871C5"/>
    <w:rsid w:val="28B61572"/>
    <w:rsid w:val="311E2EB0"/>
    <w:rsid w:val="35626C55"/>
    <w:rsid w:val="384767CA"/>
    <w:rsid w:val="391760E6"/>
    <w:rsid w:val="3BD22676"/>
    <w:rsid w:val="3BED2ADE"/>
    <w:rsid w:val="3E1131CF"/>
    <w:rsid w:val="3F992B5D"/>
    <w:rsid w:val="40122C50"/>
    <w:rsid w:val="41B475E0"/>
    <w:rsid w:val="46773B8D"/>
    <w:rsid w:val="4C883D82"/>
    <w:rsid w:val="4CC5764B"/>
    <w:rsid w:val="4E18105F"/>
    <w:rsid w:val="50496D46"/>
    <w:rsid w:val="52907EE0"/>
    <w:rsid w:val="58A57D8C"/>
    <w:rsid w:val="593D12F7"/>
    <w:rsid w:val="5E0B4E83"/>
    <w:rsid w:val="60AC3DF1"/>
    <w:rsid w:val="62374F2C"/>
    <w:rsid w:val="6A6743FA"/>
    <w:rsid w:val="6D0971DF"/>
    <w:rsid w:val="6DF8337A"/>
    <w:rsid w:val="6FF84BF7"/>
    <w:rsid w:val="708B158E"/>
    <w:rsid w:val="733A771A"/>
    <w:rsid w:val="78EA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1"/>
    <w:qFormat/>
    <w:uiPriority w:val="99"/>
    <w:rPr>
      <w:rFonts w:ascii="宋体" w:hAnsi="Courier New"/>
      <w:szCs w:val="21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790</Words>
  <Characters>834</Characters>
  <Lines>0</Lines>
  <Paragraphs>0</Paragraphs>
  <TotalTime>14</TotalTime>
  <ScaleCrop>false</ScaleCrop>
  <LinksUpToDate>false</LinksUpToDate>
  <CharactersWithSpaces>834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2025-06-12T07:37:00Z</dcterms:created>
  <dc:creator>yzy</dc:creator>
  <cp:lastModifiedBy>龙江</cp:lastModifiedBy>
  <dcterms:modified xsi:type="dcterms:W3CDTF">2025-09-09T01:15:09Z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3F225E8BEF624ADC871D2694B6B02707_13</vt:lpwstr>
  </property>
  <property fmtid="{D5CDD505-2E9C-101B-9397-08002B2CF9AE}" pid="4" name="KSOTemplateDocerSaveRecord">
    <vt:lpwstr>eyJoZGlkIjoiOTE0ODgzYmM4ZWY3YzUxN2JiMTRlNDdhZjRlMmZmZDMifQ==</vt:lpwstr>
  </property>
</Properties>
</file>