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281" w:firstLineChars="100"/>
        <w:jc w:val="left"/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zh-CN" w:eastAsia="zh-CN" w:bidi="ar"/>
        </w:rPr>
        <w:t>《东川区阿旺镇老大石头村东侧地块控制性详细规划》</w:t>
      </w:r>
      <w:r>
        <w:rPr>
          <w:rFonts w:hint="eastAsia" w:ascii="宋体" w:hAnsi="宋体" w:eastAsia="宋体" w:cs="宋体"/>
          <w:b/>
          <w:bCs/>
          <w:kern w:val="44"/>
          <w:sz w:val="28"/>
          <w:szCs w:val="28"/>
          <w:lang w:val="en-US" w:eastAsia="zh-CN" w:bidi="ar"/>
        </w:rPr>
        <w:t>批后公布</w:t>
      </w:r>
    </w:p>
    <w:p>
      <w:pPr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项目名称：</w:t>
      </w:r>
      <w:r>
        <w:rPr>
          <w:rFonts w:hint="eastAsia" w:ascii="宋体" w:hAnsi="宋体" w:eastAsia="宋体" w:cs="宋体"/>
          <w:lang w:val="en-US" w:eastAsia="zh-CN"/>
        </w:rPr>
        <w:t>东川区阿旺镇老大石头村东侧地块控制性详细规划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批准情况：</w:t>
      </w:r>
      <w:r>
        <w:rPr>
          <w:rFonts w:hint="eastAsia" w:ascii="宋体" w:hAnsi="宋体" w:eastAsia="宋体" w:cs="宋体"/>
          <w:highlight w:val="none"/>
          <w:lang w:val="en-US" w:eastAsia="zh-CN"/>
        </w:rPr>
        <w:t>2025年9月5日昆明市东川区人民政府《东川区阿旺镇老大石头村东侧地块控制性详细规划》（东政复〔2025〕130号）批复同意。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highlight w:val="none"/>
          <w:lang w:val="en-US" w:eastAsia="zh-CN"/>
        </w:rPr>
        <w:t>公布时间：</w:t>
      </w:r>
      <w:r>
        <w:rPr>
          <w:rFonts w:hint="eastAsia" w:ascii="宋体" w:hAnsi="宋体" w:eastAsia="宋体" w:cs="宋体"/>
          <w:highlight w:val="none"/>
          <w:lang w:val="en-US" w:eastAsia="zh-CN"/>
        </w:rPr>
        <w:t>2025年9月9日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公布途径：</w:t>
      </w:r>
      <w:r>
        <w:rPr>
          <w:rFonts w:hint="eastAsia" w:ascii="宋体" w:hAnsi="宋体" w:eastAsia="宋体" w:cs="宋体"/>
          <w:lang w:val="en-US" w:eastAsia="zh-CN"/>
        </w:rPr>
        <w:t>昆明市东川区人民政府官网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规划内容简介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bidi w:val="0"/>
              <w:spacing w:line="360" w:lineRule="auto"/>
              <w:rPr>
                <w:rFonts w:hint="eastAsia" w:cs="Times New Roman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一、规划范围：</w:t>
            </w:r>
            <w:r>
              <w:rPr>
                <w:rFonts w:hint="default" w:cs="Times New Roman"/>
                <w:szCs w:val="22"/>
                <w:lang w:val="en-US" w:eastAsia="zh-CN"/>
              </w:rPr>
              <w:t>东川区阿旺镇老大石头村东侧地块位于</w:t>
            </w:r>
            <w:r>
              <w:rPr>
                <w:rFonts w:hint="eastAsia" w:cs="Times New Roman"/>
                <w:szCs w:val="22"/>
                <w:lang w:val="en-US" w:eastAsia="zh-CN"/>
              </w:rPr>
              <w:t>昆明市</w:t>
            </w:r>
            <w:r>
              <w:rPr>
                <w:rFonts w:hint="default" w:cs="Times New Roman"/>
                <w:szCs w:val="22"/>
                <w:lang w:val="en-US" w:eastAsia="zh-CN"/>
              </w:rPr>
              <w:t>东川区阿旺镇向阳社区居民委员会第一（老大石头）居民小组，</w:t>
            </w:r>
            <w:r>
              <w:rPr>
                <w:rFonts w:hint="eastAsia" w:cs="Times New Roman"/>
                <w:szCs w:val="22"/>
                <w:lang w:val="en-US" w:eastAsia="zh-CN"/>
              </w:rPr>
              <w:t>地块</w:t>
            </w:r>
            <w:r>
              <w:rPr>
                <w:rFonts w:hint="default" w:cs="Times New Roman"/>
                <w:szCs w:val="22"/>
                <w:lang w:val="en-US" w:eastAsia="zh-CN"/>
              </w:rPr>
              <w:t>东北侧出入口与昆蒙线连接，南侧出入口与乡村道路连接</w:t>
            </w:r>
            <w:r>
              <w:rPr>
                <w:rFonts w:hint="eastAsia" w:cs="Times New Roman"/>
                <w:szCs w:val="22"/>
                <w:lang w:val="en-US" w:eastAsia="zh-CN"/>
              </w:rPr>
              <w:t>，</w:t>
            </w:r>
            <w:r>
              <w:rPr>
                <w:rFonts w:hint="default" w:cs="Times New Roman"/>
                <w:szCs w:val="22"/>
                <w:lang w:val="en-US" w:eastAsia="zh-CN"/>
              </w:rPr>
              <w:t>西侧为功东高速</w:t>
            </w:r>
            <w:r>
              <w:rPr>
                <w:rFonts w:hint="eastAsia" w:cs="Times New Roman"/>
                <w:szCs w:val="22"/>
                <w:lang w:val="en-US" w:eastAsia="zh-CN"/>
              </w:rPr>
              <w:t>，</w:t>
            </w:r>
            <w:r>
              <w:rPr>
                <w:rFonts w:hint="default" w:cs="Times New Roman"/>
                <w:szCs w:val="22"/>
                <w:lang w:val="en-US" w:eastAsia="zh-CN"/>
              </w:rPr>
              <w:t>用地面积为42808.46平方米（约64.21亩）</w:t>
            </w:r>
            <w:r>
              <w:rPr>
                <w:rFonts w:hint="eastAsia" w:cs="Times New Roman"/>
                <w:szCs w:val="22"/>
                <w:lang w:val="en-US" w:eastAsia="zh-CN"/>
              </w:rPr>
              <w:t>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cs="Times New Roman"/>
                <w:szCs w:val="22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lang w:val="en-US" w:eastAsia="zh-CN"/>
              </w:rPr>
              <w:t>二</w:t>
            </w:r>
            <w:r>
              <w:rPr>
                <w:rFonts w:hint="default" w:ascii="宋体" w:hAnsi="宋体" w:eastAsia="宋体" w:cs="宋体"/>
                <w:b/>
                <w:bCs/>
                <w:color w:val="000000" w:themeColor="text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、规划内容：</w:t>
            </w:r>
            <w:r>
              <w:rPr>
                <w:rFonts w:hint="default" w:cs="Times New Roman"/>
                <w:szCs w:val="22"/>
                <w:lang w:val="en-US" w:eastAsia="zh-CN"/>
              </w:rPr>
              <w:t>东川区阿旺镇老大石头村东侧地块用地性质为</w:t>
            </w:r>
            <w:r>
              <w:rPr>
                <w:rFonts w:hint="eastAsia" w:cs="Times New Roman"/>
                <w:szCs w:val="22"/>
                <w:lang w:val="en-US" w:eastAsia="zh-CN"/>
              </w:rPr>
              <w:t>供水</w:t>
            </w:r>
            <w:r>
              <w:rPr>
                <w:rFonts w:hint="default" w:cs="Times New Roman"/>
                <w:szCs w:val="22"/>
                <w:lang w:val="en-US" w:eastAsia="zh-CN"/>
              </w:rPr>
              <w:t>用地（</w:t>
            </w:r>
            <w:r>
              <w:rPr>
                <w:rFonts w:hint="eastAsia" w:cs="Times New Roman"/>
                <w:szCs w:val="22"/>
                <w:lang w:val="en-US" w:eastAsia="zh-CN"/>
              </w:rPr>
              <w:t>U11</w:t>
            </w:r>
            <w:r>
              <w:rPr>
                <w:rFonts w:hint="default" w:cs="Times New Roman"/>
                <w:szCs w:val="22"/>
                <w:lang w:val="en-US" w:eastAsia="zh-CN"/>
              </w:rPr>
              <w:t>），规定开发强度容积率</w:t>
            </w:r>
            <w:r>
              <w:rPr>
                <w:rFonts w:hint="eastAsia" w:cs="Times New Roman"/>
                <w:szCs w:val="22"/>
                <w:lang w:val="en-US" w:eastAsia="zh-CN"/>
              </w:rPr>
              <w:t>大于</w:t>
            </w:r>
            <w:r>
              <w:rPr>
                <w:rFonts w:hint="default" w:cs="Times New Roman"/>
                <w:szCs w:val="22"/>
                <w:lang w:val="en-US" w:eastAsia="zh-CN"/>
              </w:rPr>
              <w:t>0.15</w:t>
            </w:r>
            <w:r>
              <w:rPr>
                <w:rFonts w:hint="eastAsia" w:cs="Times New Roman"/>
                <w:szCs w:val="22"/>
                <w:lang w:val="en-US" w:eastAsia="zh-CN"/>
              </w:rPr>
              <w:t>且不超过</w:t>
            </w:r>
            <w:r>
              <w:rPr>
                <w:rFonts w:hint="default" w:cs="Times New Roman"/>
                <w:szCs w:val="22"/>
                <w:lang w:val="en-US" w:eastAsia="zh-CN"/>
              </w:rPr>
              <w:t>0.65，建筑密度不应超过</w:t>
            </w:r>
            <w:r>
              <w:rPr>
                <w:rFonts w:hint="eastAsia" w:cs="Times New Roman"/>
                <w:szCs w:val="22"/>
                <w:lang w:val="en-US" w:eastAsia="zh-CN"/>
              </w:rPr>
              <w:t>20</w:t>
            </w:r>
            <w:r>
              <w:rPr>
                <w:rFonts w:hint="default" w:cs="Times New Roman"/>
                <w:szCs w:val="22"/>
                <w:lang w:val="en-US" w:eastAsia="zh-CN"/>
              </w:rPr>
              <w:t>%，绿地率不低于</w:t>
            </w:r>
            <w:r>
              <w:rPr>
                <w:rFonts w:hint="eastAsia" w:cs="Times New Roman"/>
                <w:szCs w:val="22"/>
                <w:lang w:val="en-US" w:eastAsia="zh-CN"/>
              </w:rPr>
              <w:t>3</w:t>
            </w:r>
            <w:r>
              <w:rPr>
                <w:rFonts w:hint="default" w:cs="Times New Roman"/>
                <w:szCs w:val="22"/>
                <w:lang w:val="en-US" w:eastAsia="zh-CN"/>
              </w:rPr>
              <w:t>0%，建筑高度不应超过1</w:t>
            </w:r>
            <w:r>
              <w:rPr>
                <w:rFonts w:hint="eastAsia" w:cs="Times New Roman"/>
                <w:szCs w:val="22"/>
                <w:lang w:val="en-US" w:eastAsia="zh-CN"/>
              </w:rPr>
              <w:t>8</w:t>
            </w:r>
            <w:r>
              <w:rPr>
                <w:rFonts w:hint="default" w:cs="Times New Roman"/>
                <w:szCs w:val="22"/>
                <w:lang w:val="en-US" w:eastAsia="zh-CN"/>
              </w:rPr>
              <w:t>米，</w:t>
            </w:r>
            <w:r>
              <w:rPr>
                <w:rFonts w:hint="eastAsia" w:cs="Times New Roman"/>
                <w:szCs w:val="22"/>
                <w:lang w:val="en-US" w:eastAsia="zh-CN"/>
              </w:rPr>
              <w:t>机动车位15个，</w:t>
            </w:r>
            <w:r>
              <w:rPr>
                <w:rFonts w:hint="default" w:cs="Times New Roman"/>
                <w:szCs w:val="22"/>
                <w:lang w:val="en-US" w:eastAsia="zh-CN"/>
              </w:rPr>
              <w:t>建筑间距控制和建筑退让控制应符合国家、地方相关法律法规及《昆明市城乡规划管理技术规定》，对风貌塑造、综合交通、公用设施等内容进行引导性控制。规划为</w:t>
            </w:r>
            <w:r>
              <w:rPr>
                <w:rFonts w:hint="eastAsia" w:cs="Times New Roman"/>
                <w:szCs w:val="22"/>
                <w:lang w:val="en-US" w:eastAsia="zh-CN"/>
              </w:rPr>
              <w:t>东川区</w:t>
            </w:r>
            <w:r>
              <w:rPr>
                <w:rFonts w:hint="default" w:cs="Times New Roman"/>
                <w:szCs w:val="22"/>
                <w:lang w:val="en-US" w:eastAsia="zh-CN"/>
              </w:rPr>
              <w:t>阿旺镇老大石头村东侧地块开发提供规划条件和建设依据，指导地块的开发建设。</w:t>
            </w:r>
          </w:p>
          <w:p>
            <w:pPr>
              <w:bidi w:val="0"/>
              <w:spacing w:line="360" w:lineRule="auto"/>
              <w:rPr>
                <w:rFonts w:hint="eastAsia" w:cs="Times New Roman"/>
                <w:szCs w:val="22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三、规划定位：</w:t>
            </w:r>
            <w:r>
              <w:rPr>
                <w:rFonts w:hint="eastAsia" w:cs="Times New Roman"/>
                <w:szCs w:val="22"/>
                <w:lang w:val="en-US" w:eastAsia="zh-CN"/>
              </w:rPr>
              <w:t>坚持以人为本，落实阿旺镇镇区总体规划的意图，保证城镇协调发展；突出交通设施、公用设施和绿化景观布局，体现公共政策属性，维护社会公共利益；合理控制各种开发建设活动，有效运用市场机制，集约、节约利用土地，提高土地利用率，引导城市合理、有序发展。保护自然与历史文化资源，加强对公共空间和特色景观风貌控制区引导，塑造城镇特色，提高城镇景观艺术水平和环境品质。严格落实规划的刚性要求，充分考虑规划弹性和可操作性，积极探索新思路、运用新理念、采用新方法，提高控制性详细规划的科学性和可操作性。结合水厂规划用地布局及功能分区，统筹考虑规划区与周边道路系统、市政设施、重大交通设施的关系，优化用地布局结构，确定规划区地块用地界限，确定用地兼容性。确定规划区内地块的用地性质、建筑高度、建筑密度、容积率、绿地率等控制指标。在上位规划引导下，具体确定公共设施、基础设施和安全设施的配建要求和相应规定。</w:t>
            </w:r>
          </w:p>
          <w:p>
            <w:pPr>
              <w:keepNext w:val="0"/>
              <w:keepLines w:val="0"/>
              <w:widowControl/>
              <w:suppressLineNumbers w:val="0"/>
              <w:spacing w:line="360" w:lineRule="auto"/>
              <w:jc w:val="both"/>
              <w:rPr>
                <w:rFonts w:hint="default" w:ascii="宋体" w:hAnsi="宋体" w:eastAsia="宋体" w:cs="宋体"/>
                <w:b/>
                <w:bCs/>
                <w:color w:val="FF0000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drawing>
          <wp:inline distT="0" distB="0" distL="114300" distR="114300">
            <wp:extent cx="5272405" cy="4991735"/>
            <wp:effectExtent l="0" t="0" r="4445" b="18415"/>
            <wp:docPr id="1" name="图片 1" descr="d4299519ac537fb9c9bb15764e54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4299519ac537fb9c9bb15764e54588"/>
                    <pic:cNvPicPr>
                      <a:picLocks noChangeAspect="1"/>
                    </pic:cNvPicPr>
                  </pic:nvPicPr>
                  <pic:blipFill>
                    <a:blip r:embed="rId4"/>
                    <a:srcRect t="190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宋体" w:hAnsi="宋体" w:eastAsia="宋体" w:cs="宋体"/>
          <w:b/>
          <w:bCs/>
          <w:highlight w:val="yellow"/>
          <w:lang w:val="en-US" w:eastAsia="zh-CN"/>
        </w:rPr>
        <w:drawing>
          <wp:inline distT="0" distB="0" distL="114300" distR="114300">
            <wp:extent cx="5271770" cy="3651250"/>
            <wp:effectExtent l="0" t="0" r="5080" b="6350"/>
            <wp:docPr id="2" name="图片 2" descr="a3ba4e000eff878c5234193fc88a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3ba4e000eff878c5234193fc88ac56"/>
                    <pic:cNvPicPr>
                      <a:picLocks noChangeAspect="1"/>
                    </pic:cNvPicPr>
                  </pic:nvPicPr>
                  <pic:blipFill>
                    <a:blip r:embed="rId5"/>
                    <a:srcRect t="120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5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default" w:ascii="宋体" w:hAnsi="宋体" w:eastAsia="宋体" w:cs="宋体"/>
          <w:b/>
          <w:bCs/>
          <w:highlight w:val="yellow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CF6215"/>
    <w:rsid w:val="026E36E8"/>
    <w:rsid w:val="06C632A9"/>
    <w:rsid w:val="086C22C1"/>
    <w:rsid w:val="09661E1E"/>
    <w:rsid w:val="0B63211C"/>
    <w:rsid w:val="0CBF3E0A"/>
    <w:rsid w:val="0D320870"/>
    <w:rsid w:val="0FF33436"/>
    <w:rsid w:val="11EA6668"/>
    <w:rsid w:val="19A44987"/>
    <w:rsid w:val="1C386B5F"/>
    <w:rsid w:val="1D077D5C"/>
    <w:rsid w:val="20CF6215"/>
    <w:rsid w:val="23C103D5"/>
    <w:rsid w:val="284871C5"/>
    <w:rsid w:val="28B61572"/>
    <w:rsid w:val="311E2EB0"/>
    <w:rsid w:val="35626C55"/>
    <w:rsid w:val="384767CA"/>
    <w:rsid w:val="391760E6"/>
    <w:rsid w:val="3BD22676"/>
    <w:rsid w:val="3E1131CF"/>
    <w:rsid w:val="3F992B5D"/>
    <w:rsid w:val="41B475E0"/>
    <w:rsid w:val="43741014"/>
    <w:rsid w:val="46B12EFB"/>
    <w:rsid w:val="4C883D82"/>
    <w:rsid w:val="4CC5764B"/>
    <w:rsid w:val="4E18105F"/>
    <w:rsid w:val="52907EE0"/>
    <w:rsid w:val="53265BF1"/>
    <w:rsid w:val="54DD1CC8"/>
    <w:rsid w:val="58A57D8C"/>
    <w:rsid w:val="5E0B4E83"/>
    <w:rsid w:val="60AC3DF1"/>
    <w:rsid w:val="62374F2C"/>
    <w:rsid w:val="6A6743FA"/>
    <w:rsid w:val="6D0971DF"/>
    <w:rsid w:val="6FF84BF7"/>
    <w:rsid w:val="708B158E"/>
    <w:rsid w:val="73117DA5"/>
    <w:rsid w:val="733A771A"/>
    <w:rsid w:val="78EA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next w:val="1"/>
    <w:qFormat/>
    <w:uiPriority w:val="99"/>
    <w:rPr>
      <w:rFonts w:ascii="宋体" w:hAnsi="Courier New"/>
      <w:szCs w:val="21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519</Words>
  <Characters>619</Characters>
  <Lines>0</Lines>
  <Paragraphs>0</Paragraphs>
  <TotalTime>0</TotalTime>
  <ScaleCrop>false</ScaleCrop>
  <LinksUpToDate>false</LinksUpToDate>
  <CharactersWithSpaces>620</CharactersWithSpaces>
  <Application>WPS Office_11.8.6.11825_F1E327BC-269C-435d-A152-05C5408002CA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2025-06-12T07:37:00Z</dcterms:created>
  <dc:creator>yzy</dc:creator>
  <cp:lastModifiedBy>龙江</cp:lastModifiedBy>
  <dcterms:modified xsi:type="dcterms:W3CDTF">2025-09-09T01:25:47Z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2052-11.8.6.11825</vt:lpwstr>
  </property>
  <property fmtid="{D5CDD505-2E9C-101B-9397-08002B2CF9AE}" pid="3" name="ICV">
    <vt:lpwstr>BE9853CC0B8548BDB196205EAB27D68B</vt:lpwstr>
  </property>
  <property fmtid="{D5CDD505-2E9C-101B-9397-08002B2CF9AE}" pid="4" name="KSOTemplateDocerSaveRecord">
    <vt:lpwstr>eyJoZGlkIjoiOTE0ODgzYmM4ZWY3YzUxN2JiMTRlNDdhZjRlMmZmZDMifQ==</vt:lpwstr>
  </property>
</Properties>
</file>