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E0AEA8">
      <w:pPr>
        <w:tabs>
          <w:tab w:val="left" w:pos="1170"/>
        </w:tabs>
        <w:jc w:val="center"/>
        <w:outlineLvl w:val="0"/>
        <w:rPr>
          <w:rFonts w:eastAsia="方正小标宋简体"/>
          <w:sz w:val="44"/>
          <w:szCs w:val="44"/>
        </w:rPr>
      </w:pPr>
      <w:r>
        <w:rPr>
          <w:rFonts w:eastAsia="方正小标宋简体"/>
          <w:sz w:val="44"/>
          <w:szCs w:val="44"/>
        </w:rPr>
        <w:t>云南省</w:t>
      </w:r>
      <w:r>
        <w:rPr>
          <w:rFonts w:hint="eastAsia" w:eastAsia="方正小标宋简体"/>
          <w:sz w:val="44"/>
          <w:szCs w:val="44"/>
        </w:rPr>
        <w:t>昆明市东川区</w:t>
      </w:r>
      <w:r>
        <w:rPr>
          <w:rFonts w:eastAsia="方正小标宋简体"/>
          <w:sz w:val="44"/>
          <w:szCs w:val="44"/>
        </w:rPr>
        <w:t>烟草制品零售点</w:t>
      </w:r>
    </w:p>
    <w:p w14:paraId="0F9F3B48">
      <w:pPr>
        <w:snapToGrid w:val="0"/>
        <w:spacing w:line="317" w:lineRule="auto"/>
        <w:jc w:val="center"/>
        <w:outlineLvl w:val="0"/>
        <w:rPr>
          <w:rFonts w:hint="eastAsia" w:eastAsia="方正小标宋简体"/>
          <w:sz w:val="44"/>
          <w:szCs w:val="44"/>
          <w:lang w:eastAsia="zh-CN"/>
        </w:rPr>
      </w:pPr>
      <w:r>
        <w:rPr>
          <w:rFonts w:eastAsia="方正小标宋简体"/>
          <w:sz w:val="44"/>
          <w:szCs w:val="44"/>
        </w:rPr>
        <w:t>合理布局规划</w:t>
      </w:r>
      <w:r>
        <w:rPr>
          <w:rFonts w:hint="eastAsia" w:eastAsia="方正小标宋简体"/>
          <w:sz w:val="44"/>
          <w:szCs w:val="44"/>
          <w:lang w:eastAsia="zh-CN"/>
        </w:rPr>
        <w:t>（</w:t>
      </w:r>
      <w:r>
        <w:rPr>
          <w:rFonts w:hint="eastAsia" w:eastAsia="方正小标宋简体"/>
          <w:sz w:val="44"/>
          <w:szCs w:val="44"/>
          <w:lang w:val="en-US" w:eastAsia="zh-CN"/>
        </w:rPr>
        <w:t>征求意见稿</w:t>
      </w:r>
      <w:bookmarkStart w:id="2" w:name="_GoBack"/>
      <w:bookmarkEnd w:id="2"/>
      <w:r>
        <w:rPr>
          <w:rFonts w:hint="eastAsia" w:eastAsia="方正小标宋简体"/>
          <w:sz w:val="44"/>
          <w:szCs w:val="44"/>
          <w:lang w:eastAsia="zh-CN"/>
        </w:rPr>
        <w:t>）</w:t>
      </w:r>
    </w:p>
    <w:p w14:paraId="096F7CB5">
      <w:pPr>
        <w:pStyle w:val="8"/>
        <w:snapToGrid w:val="0"/>
        <w:spacing w:before="312" w:beforeLines="100" w:after="312" w:afterLines="100" w:line="360" w:lineRule="auto"/>
        <w:textAlignment w:val="baseline"/>
        <w:rPr>
          <w:rFonts w:ascii="Times New Roman" w:hAnsi="Times New Roman" w:eastAsia="黑体"/>
          <w:sz w:val="32"/>
          <w:szCs w:val="32"/>
        </w:rPr>
      </w:pPr>
      <w:r>
        <w:rPr>
          <w:rFonts w:hint="eastAsia" w:ascii="Times New Roman" w:hAnsi="Times New Roman" w:eastAsia="黑体"/>
          <w:sz w:val="32"/>
          <w:szCs w:val="32"/>
        </w:rPr>
        <w:t xml:space="preserve">第一章 </w:t>
      </w:r>
      <w:r>
        <w:rPr>
          <w:rFonts w:ascii="Times New Roman" w:hAnsi="Times New Roman" w:eastAsia="黑体"/>
          <w:sz w:val="32"/>
          <w:szCs w:val="32"/>
        </w:rPr>
        <w:t>总则</w:t>
      </w:r>
    </w:p>
    <w:p w14:paraId="10D26D45">
      <w:pPr>
        <w:numPr>
          <w:ilvl w:val="2"/>
          <w:numId w:val="0"/>
        </w:numPr>
        <w:adjustRightInd w:val="0"/>
        <w:snapToGrid w:val="0"/>
        <w:spacing w:line="360" w:lineRule="auto"/>
        <w:ind w:firstLine="640" w:firstLineChars="200"/>
        <w:textAlignment w:val="baseline"/>
        <w:rPr>
          <w:rFonts w:eastAsia="仿宋_GB2312"/>
          <w:sz w:val="32"/>
          <w:szCs w:val="32"/>
        </w:rPr>
      </w:pPr>
      <w:r>
        <w:rPr>
          <w:rFonts w:hint="eastAsia" w:eastAsia="黑体"/>
          <w:sz w:val="32"/>
          <w:szCs w:val="32"/>
        </w:rPr>
        <w:t>第一条　</w:t>
      </w:r>
      <w:r>
        <w:rPr>
          <w:rFonts w:eastAsia="仿宋_GB2312"/>
          <w:sz w:val="32"/>
          <w:szCs w:val="32"/>
        </w:rPr>
        <w:t>为深入推进</w:t>
      </w:r>
      <w:r>
        <w:rPr>
          <w:rFonts w:hint="eastAsia" w:ascii="仿宋_GB2312" w:eastAsia="仿宋_GB2312"/>
          <w:sz w:val="32"/>
          <w:szCs w:val="32"/>
        </w:rPr>
        <w:t>“放管服”</w:t>
      </w:r>
      <w:r>
        <w:rPr>
          <w:rFonts w:eastAsia="仿宋_GB2312"/>
          <w:sz w:val="32"/>
          <w:szCs w:val="32"/>
        </w:rPr>
        <w:t>改革，依法依规、科学合理制定烟草制品零售点合理布局规划，提升烟草专卖行政许可的公开性、公平性和公正性，依据《中华人民共和国行政许可法》</w:t>
      </w:r>
      <w:r>
        <w:rPr>
          <w:rFonts w:eastAsia="仿宋_GB2312"/>
          <w:bCs/>
          <w:sz w:val="32"/>
          <w:szCs w:val="32"/>
        </w:rPr>
        <w:t>《中华人民共和国未成年人保护法》《中华人民共和国烟草专卖法》</w:t>
      </w:r>
      <w:r>
        <w:rPr>
          <w:rFonts w:eastAsia="仿宋_GB2312"/>
          <w:sz w:val="32"/>
          <w:szCs w:val="32"/>
        </w:rPr>
        <w:t>《中华人民共和国烟草专卖法实施条例》《烟草专卖许可证管理办法》《烟草专卖许可证管理办法实施细则》等法律</w:t>
      </w:r>
      <w:r>
        <w:rPr>
          <w:rFonts w:hint="eastAsia" w:eastAsia="仿宋_GB2312"/>
          <w:sz w:val="32"/>
          <w:szCs w:val="32"/>
        </w:rPr>
        <w:t>、</w:t>
      </w:r>
      <w:r>
        <w:rPr>
          <w:rFonts w:eastAsia="仿宋_GB2312"/>
          <w:sz w:val="32"/>
          <w:szCs w:val="32"/>
        </w:rPr>
        <w:t>法规</w:t>
      </w:r>
      <w:r>
        <w:rPr>
          <w:rFonts w:hint="eastAsia" w:eastAsia="仿宋_GB2312"/>
          <w:sz w:val="32"/>
          <w:szCs w:val="32"/>
        </w:rPr>
        <w:t>、</w:t>
      </w:r>
      <w:r>
        <w:rPr>
          <w:rFonts w:eastAsia="仿宋_GB2312"/>
          <w:sz w:val="32"/>
          <w:szCs w:val="32"/>
        </w:rPr>
        <w:t>规章</w:t>
      </w:r>
      <w:r>
        <w:rPr>
          <w:rFonts w:hint="eastAsia" w:eastAsia="仿宋_GB2312"/>
          <w:sz w:val="32"/>
          <w:szCs w:val="32"/>
        </w:rPr>
        <w:t>和国家烟草专卖局、省烟草专卖局及市烟草专卖局的有关规定，结合东川区实际，制定</w:t>
      </w:r>
      <w:r>
        <w:rPr>
          <w:rFonts w:eastAsia="仿宋_GB2312"/>
          <w:sz w:val="32"/>
          <w:szCs w:val="32"/>
        </w:rPr>
        <w:t>本规划。</w:t>
      </w:r>
    </w:p>
    <w:p w14:paraId="25D30A75">
      <w:pPr>
        <w:numPr>
          <w:ilvl w:val="2"/>
          <w:numId w:val="0"/>
        </w:numPr>
        <w:adjustRightInd w:val="0"/>
        <w:snapToGrid w:val="0"/>
        <w:spacing w:line="360" w:lineRule="auto"/>
        <w:ind w:firstLine="640" w:firstLineChars="200"/>
        <w:textAlignment w:val="baseline"/>
        <w:rPr>
          <w:rFonts w:eastAsia="仿宋_GB2312"/>
          <w:sz w:val="32"/>
          <w:szCs w:val="32"/>
        </w:rPr>
      </w:pPr>
      <w:r>
        <w:rPr>
          <w:rFonts w:hint="eastAsia" w:eastAsia="黑体"/>
          <w:sz w:val="32"/>
          <w:szCs w:val="32"/>
        </w:rPr>
        <w:t>第二条　</w:t>
      </w:r>
      <w:r>
        <w:rPr>
          <w:rFonts w:eastAsia="仿宋_GB2312"/>
          <w:sz w:val="32"/>
          <w:szCs w:val="32"/>
        </w:rPr>
        <w:t>本规划适用于云南省</w:t>
      </w:r>
      <w:r>
        <w:rPr>
          <w:rFonts w:hint="eastAsia" w:eastAsia="仿宋_GB2312"/>
          <w:sz w:val="32"/>
          <w:szCs w:val="32"/>
        </w:rPr>
        <w:t>昆明市东川区烟草专卖局辖区范围内烟草制品零售点的布局管理。</w:t>
      </w:r>
    </w:p>
    <w:p w14:paraId="4E6D50CA">
      <w:pPr>
        <w:numPr>
          <w:ilvl w:val="2"/>
          <w:numId w:val="0"/>
        </w:numPr>
        <w:adjustRightInd w:val="0"/>
        <w:snapToGrid w:val="0"/>
        <w:spacing w:line="360" w:lineRule="auto"/>
        <w:ind w:firstLine="640" w:firstLineChars="200"/>
        <w:textAlignment w:val="baseline"/>
        <w:rPr>
          <w:rFonts w:hint="eastAsia" w:eastAsia="仿宋_GB2312"/>
          <w:sz w:val="32"/>
          <w:szCs w:val="32"/>
        </w:rPr>
      </w:pPr>
      <w:r>
        <w:rPr>
          <w:rFonts w:hint="eastAsia" w:eastAsia="黑体"/>
          <w:sz w:val="32"/>
          <w:szCs w:val="32"/>
        </w:rPr>
        <w:t>第三条　</w:t>
      </w:r>
      <w:r>
        <w:rPr>
          <w:rFonts w:hint="eastAsia" w:eastAsia="仿宋_GB2312"/>
          <w:sz w:val="32"/>
          <w:szCs w:val="32"/>
        </w:rPr>
        <w:t>本规划所称烟草制品为卷烟、雪茄烟、消费类烟丝，不包含其他烟草制品（含电子烟）。</w:t>
      </w:r>
    </w:p>
    <w:p w14:paraId="7B2F3AE4">
      <w:pPr>
        <w:numPr>
          <w:ilvl w:val="2"/>
          <w:numId w:val="0"/>
        </w:numPr>
        <w:adjustRightInd w:val="0"/>
        <w:snapToGrid w:val="0"/>
        <w:spacing w:line="360" w:lineRule="auto"/>
        <w:ind w:firstLine="640" w:firstLineChars="200"/>
        <w:textAlignment w:val="baseline"/>
        <w:rPr>
          <w:rFonts w:eastAsia="仿宋_GB2312"/>
          <w:sz w:val="32"/>
          <w:szCs w:val="32"/>
        </w:rPr>
      </w:pPr>
      <w:r>
        <w:rPr>
          <w:rFonts w:hint="eastAsia" w:eastAsia="黑体"/>
          <w:sz w:val="32"/>
          <w:szCs w:val="32"/>
        </w:rPr>
        <w:t>第四条　</w:t>
      </w:r>
      <w:r>
        <w:rPr>
          <w:rFonts w:eastAsia="仿宋_GB2312"/>
          <w:sz w:val="32"/>
          <w:szCs w:val="32"/>
        </w:rPr>
        <w:t>本规划所称烟草制品零售点（以下简称零售点）是指依法取得</w:t>
      </w:r>
      <w:r>
        <w:rPr>
          <w:rFonts w:eastAsia="仿宋_GB2312"/>
          <w:sz w:val="32"/>
          <w:szCs w:val="32"/>
          <w:lang w:bidi="ar"/>
        </w:rPr>
        <w:t>烟草专卖零售许可证（</w:t>
      </w:r>
      <w:r>
        <w:rPr>
          <w:rFonts w:eastAsia="仿宋_GB2312"/>
          <w:sz w:val="32"/>
          <w:szCs w:val="32"/>
        </w:rPr>
        <w:t>以下简称零售许可证</w:t>
      </w:r>
      <w:r>
        <w:rPr>
          <w:rFonts w:eastAsia="仿宋_GB2312"/>
          <w:sz w:val="32"/>
          <w:szCs w:val="32"/>
          <w:lang w:bidi="ar"/>
        </w:rPr>
        <w:t>）的公民、法人和其他组织从事烟草制品零售业务的经营场所。</w:t>
      </w:r>
      <w:r>
        <w:rPr>
          <w:rFonts w:hint="eastAsia" w:eastAsia="仿宋_GB2312"/>
          <w:sz w:val="32"/>
          <w:szCs w:val="32"/>
          <w:lang w:bidi="ar"/>
        </w:rPr>
        <w:t xml:space="preserve"> </w:t>
      </w:r>
    </w:p>
    <w:p w14:paraId="45BFD5BB">
      <w:pPr>
        <w:adjustRightInd w:val="0"/>
        <w:snapToGrid w:val="0"/>
        <w:spacing w:line="360" w:lineRule="auto"/>
        <w:ind w:firstLine="640" w:firstLineChars="200"/>
        <w:rPr>
          <w:rFonts w:eastAsia="仿宋_GB2312"/>
          <w:bCs/>
          <w:sz w:val="32"/>
          <w:szCs w:val="32"/>
        </w:rPr>
      </w:pPr>
      <w:r>
        <w:rPr>
          <w:rFonts w:eastAsia="仿宋_GB2312"/>
          <w:bCs/>
          <w:sz w:val="32"/>
          <w:szCs w:val="32"/>
        </w:rPr>
        <w:t>零售点应当设置于与住所相独立的固定经营场所，经营场所与住所应当</w:t>
      </w:r>
      <w:r>
        <w:rPr>
          <w:rFonts w:eastAsia="仿宋_GB2312"/>
          <w:sz w:val="32"/>
          <w:szCs w:val="32"/>
        </w:rPr>
        <w:t>在空间上相互独立，在物理特性上应有实体墙相隔离或有明确的区域界线。经营场所</w:t>
      </w:r>
      <w:r>
        <w:rPr>
          <w:rFonts w:hint="eastAsia" w:eastAsia="仿宋_GB2312"/>
          <w:sz w:val="32"/>
          <w:szCs w:val="32"/>
        </w:rPr>
        <w:t>应有指向明确并唯一的门牌、地址或者方位表述，</w:t>
      </w:r>
      <w:r>
        <w:rPr>
          <w:rFonts w:hint="eastAsia" w:eastAsia="仿宋_GB2312"/>
          <w:bCs/>
          <w:sz w:val="32"/>
          <w:szCs w:val="32"/>
        </w:rPr>
        <w:t>且</w:t>
      </w:r>
      <w:r>
        <w:rPr>
          <w:rFonts w:eastAsia="仿宋_GB2312"/>
          <w:bCs/>
          <w:sz w:val="32"/>
          <w:szCs w:val="32"/>
        </w:rPr>
        <w:t>与营业执照登记注册的经营场</w:t>
      </w:r>
      <w:r>
        <w:rPr>
          <w:rFonts w:hint="eastAsia" w:eastAsia="仿宋_GB2312"/>
          <w:bCs/>
          <w:sz w:val="32"/>
          <w:szCs w:val="32"/>
        </w:rPr>
        <w:t>所相</w:t>
      </w:r>
      <w:r>
        <w:rPr>
          <w:rFonts w:eastAsia="仿宋_GB2312"/>
          <w:bCs/>
          <w:sz w:val="32"/>
          <w:szCs w:val="32"/>
        </w:rPr>
        <w:t>一致</w:t>
      </w:r>
      <w:r>
        <w:rPr>
          <w:rFonts w:hint="eastAsia" w:eastAsia="仿宋_GB2312"/>
          <w:bCs/>
          <w:sz w:val="32"/>
          <w:szCs w:val="32"/>
        </w:rPr>
        <w:t>，并</w:t>
      </w:r>
      <w:r>
        <w:rPr>
          <w:rFonts w:eastAsia="仿宋_GB2312"/>
          <w:bCs/>
          <w:sz w:val="32"/>
          <w:szCs w:val="32"/>
        </w:rPr>
        <w:t>面向公众经营。</w:t>
      </w:r>
    </w:p>
    <w:p w14:paraId="795064BA">
      <w:pPr>
        <w:numPr>
          <w:ilvl w:val="2"/>
          <w:numId w:val="0"/>
        </w:numPr>
        <w:adjustRightInd w:val="0"/>
        <w:snapToGrid w:val="0"/>
        <w:spacing w:line="360" w:lineRule="auto"/>
        <w:ind w:firstLine="640" w:firstLineChars="200"/>
        <w:textAlignment w:val="baseline"/>
        <w:rPr>
          <w:rFonts w:eastAsia="仿宋_GB2312"/>
          <w:sz w:val="32"/>
          <w:szCs w:val="32"/>
        </w:rPr>
      </w:pPr>
      <w:r>
        <w:rPr>
          <w:rFonts w:hint="eastAsia" w:eastAsia="黑体"/>
          <w:sz w:val="32"/>
          <w:szCs w:val="32"/>
        </w:rPr>
        <w:t>第五条　</w:t>
      </w:r>
      <w:r>
        <w:rPr>
          <w:rFonts w:eastAsia="仿宋_GB2312"/>
          <w:sz w:val="32"/>
          <w:szCs w:val="32"/>
        </w:rPr>
        <w:t>本规划遵循依法行政、科学规划、服务社会、均衡发展原则，综合辖区内人口数量、交通状况、经济发展水平、消费能力等因素，对零售点进行科学合理的规划布局</w:t>
      </w:r>
      <w:r>
        <w:rPr>
          <w:rFonts w:hint="eastAsia" w:eastAsia="仿宋_GB2312"/>
          <w:sz w:val="32"/>
          <w:szCs w:val="32"/>
        </w:rPr>
        <w:t>，构建竞争适度、规范有序、状态良好的卷烟市场秩序</w:t>
      </w:r>
      <w:r>
        <w:rPr>
          <w:rFonts w:eastAsia="仿宋_GB2312"/>
          <w:sz w:val="32"/>
          <w:szCs w:val="32"/>
        </w:rPr>
        <w:t>。</w:t>
      </w:r>
    </w:p>
    <w:p w14:paraId="4A394440">
      <w:pPr>
        <w:numPr>
          <w:ilvl w:val="2"/>
          <w:numId w:val="0"/>
        </w:numPr>
        <w:adjustRightInd w:val="0"/>
        <w:snapToGrid w:val="0"/>
        <w:spacing w:line="360" w:lineRule="auto"/>
        <w:ind w:firstLine="640" w:firstLineChars="200"/>
        <w:textAlignment w:val="baseline"/>
        <w:rPr>
          <w:rFonts w:eastAsia="仿宋_GB2312"/>
          <w:sz w:val="32"/>
          <w:szCs w:val="32"/>
        </w:rPr>
      </w:pPr>
      <w:r>
        <w:rPr>
          <w:rFonts w:hint="eastAsia" w:eastAsia="黑体"/>
          <w:sz w:val="32"/>
          <w:szCs w:val="32"/>
        </w:rPr>
        <w:t>第六条　</w:t>
      </w:r>
      <w:r>
        <w:rPr>
          <w:rFonts w:eastAsia="仿宋_GB2312"/>
          <w:sz w:val="32"/>
          <w:szCs w:val="32"/>
        </w:rPr>
        <w:t>零售点布局采用数量限制、距离限制、数量限制</w:t>
      </w:r>
      <w:r>
        <w:rPr>
          <w:rFonts w:eastAsia="仿宋_GB2312"/>
          <w:bCs/>
          <w:sz w:val="32"/>
          <w:szCs w:val="32"/>
        </w:rPr>
        <w:t>与距离</w:t>
      </w:r>
      <w:r>
        <w:rPr>
          <w:rFonts w:eastAsia="仿宋_GB2312"/>
          <w:sz w:val="32"/>
          <w:szCs w:val="32"/>
        </w:rPr>
        <w:t>限制</w:t>
      </w:r>
      <w:r>
        <w:rPr>
          <w:rFonts w:eastAsia="仿宋_GB2312"/>
          <w:bCs/>
          <w:sz w:val="32"/>
          <w:szCs w:val="32"/>
        </w:rPr>
        <w:t>相结合、</w:t>
      </w:r>
      <w:r>
        <w:rPr>
          <w:rFonts w:eastAsia="仿宋_GB2312"/>
          <w:sz w:val="32"/>
          <w:szCs w:val="32"/>
        </w:rPr>
        <w:t>不予设置烟草制品零售点等布局标准。</w:t>
      </w:r>
    </w:p>
    <w:p w14:paraId="12022C71">
      <w:pPr>
        <w:pStyle w:val="8"/>
        <w:snapToGrid w:val="0"/>
        <w:spacing w:before="312" w:beforeLines="100" w:after="312" w:afterLines="100" w:line="360" w:lineRule="auto"/>
        <w:textAlignment w:val="baseline"/>
        <w:rPr>
          <w:rFonts w:ascii="Times New Roman" w:hAnsi="Times New Roman" w:eastAsia="黑体"/>
          <w:sz w:val="32"/>
          <w:szCs w:val="32"/>
        </w:rPr>
      </w:pPr>
      <w:r>
        <w:rPr>
          <w:rFonts w:hint="eastAsia" w:ascii="Times New Roman" w:hAnsi="Times New Roman" w:eastAsia="黑体"/>
          <w:sz w:val="32"/>
          <w:szCs w:val="32"/>
        </w:rPr>
        <w:t xml:space="preserve">第二章 </w:t>
      </w:r>
      <w:r>
        <w:rPr>
          <w:rFonts w:ascii="Times New Roman" w:hAnsi="Times New Roman" w:eastAsia="黑体"/>
          <w:sz w:val="32"/>
          <w:szCs w:val="32"/>
        </w:rPr>
        <w:t>零售点布局标准</w:t>
      </w:r>
    </w:p>
    <w:p w14:paraId="088EC52A">
      <w:pPr>
        <w:numPr>
          <w:ilvl w:val="2"/>
          <w:numId w:val="0"/>
        </w:numPr>
        <w:adjustRightInd w:val="0"/>
        <w:snapToGrid w:val="0"/>
        <w:spacing w:line="360" w:lineRule="auto"/>
        <w:ind w:firstLine="640" w:firstLineChars="200"/>
        <w:textAlignment w:val="baseline"/>
        <w:rPr>
          <w:rFonts w:eastAsia="仿宋_GB2312"/>
          <w:sz w:val="32"/>
          <w:szCs w:val="32"/>
        </w:rPr>
      </w:pPr>
      <w:r>
        <w:rPr>
          <w:rFonts w:hint="eastAsia" w:eastAsia="黑体"/>
          <w:sz w:val="32"/>
          <w:szCs w:val="32"/>
        </w:rPr>
        <w:t>第七条　</w:t>
      </w:r>
      <w:r>
        <w:rPr>
          <w:rFonts w:eastAsia="仿宋_GB2312"/>
          <w:sz w:val="32"/>
          <w:szCs w:val="32"/>
        </w:rPr>
        <w:t>本规划根据</w:t>
      </w:r>
      <w:r>
        <w:rPr>
          <w:rFonts w:hint="eastAsia" w:eastAsia="仿宋_GB2312"/>
          <w:sz w:val="32"/>
          <w:szCs w:val="32"/>
        </w:rPr>
        <w:t>辖区行政规划</w:t>
      </w:r>
      <w:r>
        <w:rPr>
          <w:rFonts w:eastAsia="仿宋_GB2312"/>
          <w:sz w:val="32"/>
          <w:szCs w:val="32"/>
        </w:rPr>
        <w:t>、人口数量、经济发展水平、居民消费能力、消费</w:t>
      </w:r>
      <w:r>
        <w:rPr>
          <w:rFonts w:hint="eastAsia" w:eastAsia="仿宋_GB2312"/>
          <w:sz w:val="32"/>
          <w:szCs w:val="32"/>
        </w:rPr>
        <w:t>者</w:t>
      </w:r>
      <w:r>
        <w:rPr>
          <w:rFonts w:eastAsia="仿宋_GB2312"/>
          <w:sz w:val="32"/>
          <w:szCs w:val="32"/>
        </w:rPr>
        <w:t>购买习惯等因素，合理确定区域零售点规划数，并划定最小单元网格。单元网格零售点规划数是指最小单元网格内可设置零售点的数量。总量规划数是指</w:t>
      </w:r>
      <w:r>
        <w:rPr>
          <w:rFonts w:hint="eastAsia" w:eastAsia="仿宋_GB2312"/>
          <w:sz w:val="32"/>
          <w:szCs w:val="32"/>
        </w:rPr>
        <w:t>东川区</w:t>
      </w:r>
      <w:r>
        <w:rPr>
          <w:rFonts w:eastAsia="仿宋_GB2312"/>
          <w:sz w:val="32"/>
          <w:szCs w:val="32"/>
        </w:rPr>
        <w:t>辖区范围内所有单元网格零售点规划数之和。</w:t>
      </w:r>
    </w:p>
    <w:p w14:paraId="154E5D8D">
      <w:pPr>
        <w:adjustRightInd w:val="0"/>
        <w:snapToGrid w:val="0"/>
        <w:spacing w:line="360" w:lineRule="auto"/>
        <w:ind w:firstLine="640" w:firstLineChars="200"/>
        <w:textAlignment w:val="baseline"/>
        <w:rPr>
          <w:rFonts w:eastAsia="仿宋_GB2312"/>
          <w:sz w:val="32"/>
          <w:szCs w:val="32"/>
        </w:rPr>
      </w:pPr>
      <w:r>
        <w:rPr>
          <w:rFonts w:eastAsia="仿宋_GB2312"/>
          <w:sz w:val="32"/>
          <w:szCs w:val="32"/>
        </w:rPr>
        <w:t>除本规划规定的特殊区域外，单元网格内零售点数量达到规划数时，该单元网格不予新设零售点。</w:t>
      </w:r>
    </w:p>
    <w:p w14:paraId="089EE966">
      <w:pPr>
        <w:numPr>
          <w:ilvl w:val="2"/>
          <w:numId w:val="0"/>
        </w:numPr>
        <w:adjustRightInd w:val="0"/>
        <w:snapToGrid w:val="0"/>
        <w:spacing w:line="360" w:lineRule="auto"/>
        <w:ind w:firstLine="640" w:firstLineChars="200"/>
        <w:rPr>
          <w:rFonts w:eastAsia="仿宋_GB2312"/>
          <w:spacing w:val="10"/>
          <w:sz w:val="32"/>
          <w:szCs w:val="32"/>
        </w:rPr>
      </w:pPr>
      <w:r>
        <w:rPr>
          <w:rFonts w:hint="eastAsia" w:eastAsia="黑体"/>
          <w:sz w:val="32"/>
          <w:szCs w:val="32"/>
        </w:rPr>
        <w:t>第八条　</w:t>
      </w:r>
      <w:r>
        <w:rPr>
          <w:rFonts w:eastAsia="仿宋_GB2312"/>
          <w:spacing w:val="10"/>
          <w:sz w:val="32"/>
          <w:szCs w:val="32"/>
        </w:rPr>
        <w:t>本规划根据零售市场状态、</w:t>
      </w:r>
      <w:r>
        <w:rPr>
          <w:rFonts w:eastAsia="仿宋_GB2312"/>
          <w:sz w:val="32"/>
          <w:szCs w:val="32"/>
        </w:rPr>
        <w:t>交通状况、人口热度、消费</w:t>
      </w:r>
      <w:r>
        <w:rPr>
          <w:rFonts w:hint="eastAsia" w:eastAsia="仿宋_GB2312"/>
          <w:sz w:val="32"/>
          <w:szCs w:val="32"/>
        </w:rPr>
        <w:t>者</w:t>
      </w:r>
      <w:r>
        <w:rPr>
          <w:rFonts w:eastAsia="仿宋_GB2312"/>
          <w:sz w:val="32"/>
          <w:szCs w:val="32"/>
        </w:rPr>
        <w:t>购买习惯等</w:t>
      </w:r>
      <w:r>
        <w:rPr>
          <w:rFonts w:eastAsia="仿宋_GB2312"/>
          <w:spacing w:val="10"/>
          <w:sz w:val="32"/>
          <w:szCs w:val="32"/>
        </w:rPr>
        <w:t>因素，合理确定零售点间距。</w:t>
      </w:r>
      <w:r>
        <w:rPr>
          <w:rFonts w:hint="eastAsia" w:eastAsia="仿宋_GB2312"/>
          <w:spacing w:val="10"/>
          <w:sz w:val="32"/>
          <w:szCs w:val="32"/>
        </w:rPr>
        <w:t>辖区内新设置卷烟零售点，城区应不低于80米，农</w:t>
      </w:r>
      <w:r>
        <w:rPr>
          <w:rFonts w:hint="eastAsia" w:eastAsia="仿宋_GB2312"/>
          <w:spacing w:val="10"/>
          <w:sz w:val="32"/>
          <w:szCs w:val="32"/>
          <w:lang w:val="en-US" w:eastAsia="zh-CN"/>
        </w:rPr>
        <w:t>村</w:t>
      </w:r>
      <w:r>
        <w:rPr>
          <w:rFonts w:hint="eastAsia" w:eastAsia="仿宋_GB2312"/>
          <w:spacing w:val="10"/>
          <w:sz w:val="32"/>
          <w:szCs w:val="32"/>
        </w:rPr>
        <w:t>区域应不低于50米标准执行。</w:t>
      </w:r>
      <w:r>
        <w:rPr>
          <w:rFonts w:eastAsia="仿宋_GB2312"/>
          <w:spacing w:val="10"/>
          <w:sz w:val="32"/>
          <w:szCs w:val="32"/>
        </w:rPr>
        <w:t>测量规则及标准详见《云南省</w:t>
      </w:r>
      <w:r>
        <w:rPr>
          <w:rFonts w:hint="eastAsia" w:eastAsia="仿宋_GB2312"/>
          <w:spacing w:val="10"/>
          <w:sz w:val="32"/>
          <w:szCs w:val="32"/>
        </w:rPr>
        <w:t>昆明市东川区</w:t>
      </w:r>
      <w:r>
        <w:rPr>
          <w:rFonts w:eastAsia="仿宋_GB2312"/>
          <w:spacing w:val="10"/>
          <w:sz w:val="32"/>
          <w:szCs w:val="32"/>
        </w:rPr>
        <w:t>烟草制品零售点间距测量规则及标准》（附件</w:t>
      </w:r>
      <w:r>
        <w:rPr>
          <w:rFonts w:hint="eastAsia" w:eastAsia="仿宋_GB2312"/>
          <w:spacing w:val="10"/>
          <w:sz w:val="32"/>
          <w:szCs w:val="32"/>
        </w:rPr>
        <w:t>1</w:t>
      </w:r>
      <w:r>
        <w:rPr>
          <w:rFonts w:eastAsia="仿宋_GB2312"/>
          <w:spacing w:val="10"/>
          <w:sz w:val="32"/>
          <w:szCs w:val="32"/>
        </w:rPr>
        <w:t>）</w:t>
      </w:r>
      <w:r>
        <w:rPr>
          <w:rFonts w:hint="eastAsia" w:eastAsia="仿宋_GB2312"/>
          <w:spacing w:val="10"/>
          <w:sz w:val="32"/>
          <w:szCs w:val="32"/>
        </w:rPr>
        <w:t>。</w:t>
      </w:r>
    </w:p>
    <w:p w14:paraId="2BC0A067">
      <w:pPr>
        <w:numPr>
          <w:ilvl w:val="2"/>
          <w:numId w:val="0"/>
        </w:numPr>
        <w:adjustRightInd w:val="0"/>
        <w:snapToGrid w:val="0"/>
        <w:spacing w:line="360" w:lineRule="auto"/>
        <w:ind w:firstLine="640" w:firstLineChars="200"/>
        <w:textAlignment w:val="baseline"/>
        <w:rPr>
          <w:rFonts w:eastAsia="仿宋_GB2312"/>
          <w:sz w:val="32"/>
          <w:szCs w:val="32"/>
        </w:rPr>
      </w:pPr>
      <w:r>
        <w:rPr>
          <w:rFonts w:hint="eastAsia" w:eastAsia="黑体"/>
          <w:sz w:val="32"/>
          <w:szCs w:val="32"/>
        </w:rPr>
        <w:t>第九条　</w:t>
      </w:r>
      <w:r>
        <w:rPr>
          <w:rFonts w:eastAsia="仿宋_GB2312"/>
          <w:sz w:val="32"/>
          <w:szCs w:val="32"/>
        </w:rPr>
        <w:t>本</w:t>
      </w:r>
      <w:r>
        <w:rPr>
          <w:rFonts w:hint="eastAsia" w:eastAsia="仿宋_GB2312"/>
          <w:sz w:val="32"/>
          <w:szCs w:val="32"/>
        </w:rPr>
        <w:t>区</w:t>
      </w:r>
      <w:r>
        <w:rPr>
          <w:rFonts w:eastAsia="仿宋_GB2312"/>
          <w:sz w:val="32"/>
          <w:szCs w:val="32"/>
        </w:rPr>
        <w:t>零售点合理布局规划数</w:t>
      </w:r>
      <w:r>
        <w:rPr>
          <w:rFonts w:hint="eastAsia" w:eastAsia="仿宋_GB2312"/>
          <w:sz w:val="32"/>
          <w:szCs w:val="32"/>
        </w:rPr>
        <w:t>、特殊区域零售点规划数</w:t>
      </w:r>
      <w:r>
        <w:rPr>
          <w:rFonts w:eastAsia="仿宋_GB2312"/>
          <w:sz w:val="32"/>
          <w:szCs w:val="32"/>
        </w:rPr>
        <w:t>及规划区域、区域网格归属</w:t>
      </w:r>
      <w:r>
        <w:rPr>
          <w:rFonts w:ascii="仿宋_GB2312" w:hAnsi="仿宋_GB2312" w:eastAsia="仿宋_GB2312" w:cs="仿宋_GB2312"/>
          <w:spacing w:val="5"/>
          <w:sz w:val="31"/>
          <w:szCs w:val="31"/>
        </w:rPr>
        <w:t>及最小单元网格零售点距离标准</w:t>
      </w:r>
      <w:r>
        <w:rPr>
          <w:rFonts w:eastAsia="仿宋_GB2312"/>
          <w:sz w:val="32"/>
          <w:szCs w:val="32"/>
        </w:rPr>
        <w:t>等详见《云南省</w:t>
      </w:r>
      <w:r>
        <w:rPr>
          <w:rFonts w:hint="eastAsia" w:eastAsia="仿宋_GB2312"/>
          <w:sz w:val="32"/>
          <w:szCs w:val="32"/>
        </w:rPr>
        <w:t>昆明市东川区</w:t>
      </w:r>
      <w:r>
        <w:rPr>
          <w:rFonts w:eastAsia="仿宋_GB2312"/>
          <w:sz w:val="32"/>
          <w:szCs w:val="32"/>
        </w:rPr>
        <w:t>烟草专卖局烟草制品零售点合理布局公示表》（附件</w:t>
      </w:r>
      <w:r>
        <w:rPr>
          <w:rFonts w:hint="eastAsia" w:eastAsia="仿宋_GB2312"/>
          <w:sz w:val="32"/>
          <w:szCs w:val="32"/>
        </w:rPr>
        <w:t>2</w:t>
      </w:r>
      <w:r>
        <w:rPr>
          <w:rFonts w:eastAsia="仿宋_GB2312"/>
          <w:sz w:val="32"/>
          <w:szCs w:val="32"/>
        </w:rPr>
        <w:t>）</w:t>
      </w:r>
      <w:r>
        <w:rPr>
          <w:rFonts w:hint="eastAsia" w:eastAsia="仿宋_GB2312"/>
          <w:sz w:val="32"/>
          <w:szCs w:val="32"/>
        </w:rPr>
        <w:t>、</w:t>
      </w:r>
      <w:r>
        <w:rPr>
          <w:rFonts w:eastAsia="仿宋_GB2312"/>
          <w:sz w:val="32"/>
          <w:szCs w:val="32"/>
        </w:rPr>
        <w:t>《云南省</w:t>
      </w:r>
      <w:r>
        <w:rPr>
          <w:rFonts w:hint="eastAsia" w:eastAsia="仿宋_GB2312"/>
          <w:sz w:val="32"/>
          <w:szCs w:val="32"/>
        </w:rPr>
        <w:t>昆明市东川区</w:t>
      </w:r>
      <w:r>
        <w:rPr>
          <w:rFonts w:eastAsia="仿宋_GB2312"/>
          <w:sz w:val="32"/>
          <w:szCs w:val="32"/>
        </w:rPr>
        <w:t>烟草专卖局雪茄烟专营店零售点合理布局公示表》（附件</w:t>
      </w:r>
      <w:r>
        <w:rPr>
          <w:rFonts w:hint="eastAsia" w:eastAsia="仿宋_GB2312"/>
          <w:sz w:val="32"/>
          <w:szCs w:val="32"/>
        </w:rPr>
        <w:t>3</w:t>
      </w:r>
      <w:r>
        <w:rPr>
          <w:rFonts w:eastAsia="仿宋_GB2312"/>
          <w:sz w:val="32"/>
          <w:szCs w:val="32"/>
        </w:rPr>
        <w:t>）。</w:t>
      </w:r>
    </w:p>
    <w:p w14:paraId="6E5D861E">
      <w:pPr>
        <w:numPr>
          <w:ilvl w:val="2"/>
          <w:numId w:val="0"/>
        </w:numPr>
        <w:adjustRightInd w:val="0"/>
        <w:snapToGrid w:val="0"/>
        <w:spacing w:line="360" w:lineRule="auto"/>
        <w:ind w:firstLine="680" w:firstLineChars="200"/>
        <w:textAlignment w:val="baseline"/>
        <w:rPr>
          <w:rFonts w:eastAsia="仿宋_GB2312"/>
          <w:sz w:val="32"/>
          <w:szCs w:val="32"/>
        </w:rPr>
      </w:pPr>
      <w:r>
        <w:rPr>
          <w:rFonts w:hint="eastAsia" w:eastAsia="黑体"/>
          <w:spacing w:val="10"/>
          <w:sz w:val="32"/>
          <w:szCs w:val="32"/>
        </w:rPr>
        <w:t>第十条</w:t>
      </w:r>
      <w:r>
        <w:rPr>
          <w:rFonts w:ascii="宋体" w:hAnsi="宋体" w:cs="宋体"/>
          <w:kern w:val="0"/>
          <w:sz w:val="24"/>
          <w:lang w:bidi="ar"/>
        </w:rPr>
        <w:t>　</w:t>
      </w:r>
      <w:r>
        <w:rPr>
          <w:rFonts w:eastAsia="仿宋_GB2312"/>
          <w:sz w:val="32"/>
          <w:szCs w:val="32"/>
        </w:rPr>
        <w:t>辖区内</w:t>
      </w:r>
      <w:r>
        <w:rPr>
          <w:rFonts w:hint="eastAsia" w:eastAsia="仿宋_GB2312"/>
          <w:sz w:val="32"/>
          <w:szCs w:val="32"/>
        </w:rPr>
        <w:t>机场、</w:t>
      </w:r>
      <w:r>
        <w:rPr>
          <w:rFonts w:eastAsia="仿宋_GB2312"/>
          <w:sz w:val="32"/>
          <w:szCs w:val="32"/>
        </w:rPr>
        <w:t>火车站、汽车站、码头</w:t>
      </w:r>
      <w:r>
        <w:rPr>
          <w:rFonts w:hint="eastAsia" w:eastAsia="仿宋_GB2312"/>
          <w:sz w:val="32"/>
          <w:szCs w:val="32"/>
        </w:rPr>
        <w:t>、</w:t>
      </w:r>
      <w:r>
        <w:rPr>
          <w:rFonts w:eastAsia="仿宋_GB2312"/>
          <w:sz w:val="32"/>
          <w:szCs w:val="32"/>
        </w:rPr>
        <w:t>A级景区等相对封闭的内部等候区，</w:t>
      </w:r>
      <w:r>
        <w:rPr>
          <w:rFonts w:hint="eastAsia" w:eastAsia="仿宋_GB2312"/>
          <w:sz w:val="32"/>
          <w:szCs w:val="32"/>
        </w:rPr>
        <w:t>不足1000平米的可设置2个零售点，面积每增加1000平米可增设1个零售点，不受距离和相应最小单元网格规划数限制。</w:t>
      </w:r>
    </w:p>
    <w:p w14:paraId="2A6B05BE">
      <w:pPr>
        <w:numPr>
          <w:ilvl w:val="2"/>
          <w:numId w:val="0"/>
        </w:numPr>
        <w:adjustRightInd w:val="0"/>
        <w:snapToGrid w:val="0"/>
        <w:spacing w:line="360" w:lineRule="auto"/>
        <w:ind w:firstLine="640" w:firstLineChars="200"/>
        <w:textAlignment w:val="baseline"/>
        <w:rPr>
          <w:rFonts w:eastAsia="仿宋_GB2312"/>
          <w:sz w:val="32"/>
          <w:szCs w:val="32"/>
        </w:rPr>
      </w:pPr>
      <w:r>
        <w:rPr>
          <w:rFonts w:hint="eastAsia" w:eastAsia="仿宋_GB2312"/>
          <w:sz w:val="32"/>
          <w:szCs w:val="32"/>
        </w:rPr>
        <w:t>辖区内新开发的商住小区每</w:t>
      </w:r>
      <w:r>
        <w:rPr>
          <w:rFonts w:hint="eastAsia" w:eastAsia="仿宋_GB2312"/>
          <w:sz w:val="32"/>
          <w:szCs w:val="32"/>
          <w:lang w:val="en-US" w:eastAsia="zh-CN"/>
        </w:rPr>
        <w:t>2</w:t>
      </w:r>
      <w:r>
        <w:rPr>
          <w:rFonts w:hint="eastAsia" w:eastAsia="仿宋_GB2312"/>
          <w:sz w:val="32"/>
          <w:szCs w:val="32"/>
        </w:rPr>
        <w:t>00户规划1个零售点，每增加300户增设1个零售点；不足</w:t>
      </w:r>
      <w:r>
        <w:rPr>
          <w:rFonts w:hint="eastAsia" w:eastAsia="仿宋_GB2312"/>
          <w:sz w:val="32"/>
          <w:szCs w:val="32"/>
          <w:lang w:val="en-US" w:eastAsia="zh-CN"/>
        </w:rPr>
        <w:t>2</w:t>
      </w:r>
      <w:r>
        <w:rPr>
          <w:rFonts w:hint="eastAsia" w:eastAsia="仿宋_GB2312"/>
          <w:sz w:val="32"/>
          <w:szCs w:val="32"/>
        </w:rPr>
        <w:t>00户的可设置1个零售点，不受距离和相应最小单元网格规划数限制。</w:t>
      </w:r>
    </w:p>
    <w:p w14:paraId="69571A73">
      <w:pPr>
        <w:numPr>
          <w:ilvl w:val="2"/>
          <w:numId w:val="0"/>
        </w:numPr>
        <w:adjustRightInd w:val="0"/>
        <w:snapToGrid w:val="0"/>
        <w:spacing w:line="360" w:lineRule="auto"/>
        <w:ind w:firstLine="640" w:firstLineChars="200"/>
        <w:textAlignment w:val="baseline"/>
        <w:rPr>
          <w:rFonts w:eastAsia="仿宋_GB2312"/>
          <w:sz w:val="32"/>
          <w:szCs w:val="32"/>
        </w:rPr>
      </w:pPr>
      <w:r>
        <w:rPr>
          <w:rFonts w:hint="eastAsia" w:eastAsia="仿宋_GB2312"/>
          <w:sz w:val="32"/>
          <w:szCs w:val="32"/>
        </w:rPr>
        <w:t>工业园区内经营规模较大的企业（用工人数在150人及以上）以及不在工业园区内规模较大的企业（用工人数在150人及以上），其内部生活区域可设置1个零售点，不受距离和相应最小单元网格规划数限制。</w:t>
      </w:r>
    </w:p>
    <w:p w14:paraId="4141BC41">
      <w:pPr>
        <w:numPr>
          <w:ilvl w:val="2"/>
          <w:numId w:val="0"/>
        </w:numPr>
        <w:adjustRightInd w:val="0"/>
        <w:snapToGrid w:val="0"/>
        <w:spacing w:line="360" w:lineRule="auto"/>
        <w:ind w:firstLine="640" w:firstLineChars="200"/>
        <w:textAlignment w:val="baseline"/>
        <w:rPr>
          <w:rFonts w:eastAsia="仿宋_GB2312"/>
          <w:sz w:val="32"/>
          <w:szCs w:val="32"/>
        </w:rPr>
      </w:pPr>
      <w:r>
        <w:rPr>
          <w:rFonts w:hint="eastAsia" w:eastAsia="仿宋_GB2312"/>
          <w:sz w:val="32"/>
          <w:szCs w:val="32"/>
        </w:rPr>
        <w:t>城区和乡镇交通比较便利、人员十分密集、市场主体经济交易活动非常活跃集中的重点区域地区不受距离限制，但最小单元网格规划数限制，具体区域详见《云南省昆明市东川区烟草专卖局烟草制品零售点合理布局公示表》（附件2）。</w:t>
      </w:r>
      <w:r>
        <w:rPr>
          <w:rFonts w:ascii="宋体" w:hAnsi="宋体" w:cs="宋体"/>
          <w:kern w:val="0"/>
          <w:sz w:val="24"/>
          <w:highlight w:val="yellow"/>
          <w:lang w:bidi="ar"/>
        </w:rPr>
        <w:br w:type="textWrapping"/>
      </w:r>
      <w:r>
        <w:rPr>
          <w:rFonts w:hint="eastAsia" w:ascii="宋体" w:hAnsi="宋体" w:cs="宋体"/>
          <w:kern w:val="0"/>
          <w:sz w:val="24"/>
          <w:lang w:bidi="ar"/>
        </w:rPr>
        <w:t xml:space="preserve">     </w:t>
      </w:r>
      <w:r>
        <w:rPr>
          <w:rFonts w:hint="eastAsia" w:eastAsia="黑体"/>
          <w:spacing w:val="10"/>
          <w:sz w:val="32"/>
          <w:szCs w:val="32"/>
        </w:rPr>
        <w:t>第十一条</w:t>
      </w:r>
      <w:r>
        <w:rPr>
          <w:rFonts w:ascii="宋体" w:hAnsi="宋体" w:cs="宋体"/>
          <w:kern w:val="0"/>
          <w:sz w:val="24"/>
          <w:lang w:bidi="ar"/>
        </w:rPr>
        <w:t>　</w:t>
      </w:r>
      <w:r>
        <w:rPr>
          <w:rFonts w:eastAsia="仿宋_GB2312"/>
          <w:sz w:val="32"/>
          <w:szCs w:val="32"/>
        </w:rPr>
        <w:t>部队、监狱、看守所、戒毒所等封闭式特殊区域内部，或辖区内加油站</w:t>
      </w:r>
      <w:r>
        <w:rPr>
          <w:rFonts w:hint="eastAsia" w:eastAsia="仿宋_GB2312"/>
          <w:sz w:val="32"/>
          <w:szCs w:val="32"/>
        </w:rPr>
        <w:t>、单侧高速</w:t>
      </w:r>
      <w:r>
        <w:rPr>
          <w:rFonts w:eastAsia="仿宋_GB2312"/>
          <w:sz w:val="32"/>
          <w:szCs w:val="32"/>
        </w:rPr>
        <w:t>服务区内，或单体经营面积在300平方米以上的商场、超市、便利店、烟酒店，可单独设置1个零售点,</w:t>
      </w:r>
      <w:r>
        <w:rPr>
          <w:rFonts w:hint="eastAsia" w:eastAsia="仿宋_GB2312"/>
          <w:sz w:val="32"/>
          <w:szCs w:val="32"/>
        </w:rPr>
        <w:t>不受距离和相应最小单元网格规划数限制。</w:t>
      </w:r>
    </w:p>
    <w:p w14:paraId="7F4411AA">
      <w:pPr>
        <w:numPr>
          <w:ilvl w:val="2"/>
          <w:numId w:val="0"/>
        </w:numPr>
        <w:adjustRightInd w:val="0"/>
        <w:snapToGrid w:val="0"/>
        <w:spacing w:line="360" w:lineRule="auto"/>
        <w:ind w:firstLine="680" w:firstLineChars="200"/>
        <w:textAlignment w:val="baseline"/>
        <w:rPr>
          <w:rFonts w:eastAsia="仿宋_GB2312"/>
          <w:spacing w:val="10"/>
          <w:sz w:val="32"/>
          <w:szCs w:val="32"/>
        </w:rPr>
      </w:pPr>
      <w:r>
        <w:rPr>
          <w:rFonts w:hint="eastAsia" w:eastAsia="黑体"/>
          <w:spacing w:val="10"/>
          <w:sz w:val="32"/>
          <w:szCs w:val="32"/>
        </w:rPr>
        <w:t>第十二条　</w:t>
      </w:r>
      <w:r>
        <w:rPr>
          <w:rFonts w:eastAsia="仿宋_GB2312"/>
          <w:spacing w:val="10"/>
          <w:sz w:val="32"/>
          <w:szCs w:val="32"/>
        </w:rPr>
        <w:t>具有下列情形之一的，不予设置零售点</w:t>
      </w:r>
      <w:r>
        <w:rPr>
          <w:rFonts w:hint="eastAsia" w:eastAsia="仿宋_GB2312"/>
          <w:spacing w:val="10"/>
          <w:sz w:val="32"/>
          <w:szCs w:val="32"/>
        </w:rPr>
        <w:t>：</w:t>
      </w:r>
    </w:p>
    <w:p w14:paraId="3C9A6BE5">
      <w:pPr>
        <w:adjustRightInd w:val="0"/>
        <w:snapToGrid w:val="0"/>
        <w:spacing w:line="360" w:lineRule="auto"/>
        <w:ind w:firstLine="680" w:firstLineChars="200"/>
        <w:textAlignment w:val="baseline"/>
        <w:rPr>
          <w:rFonts w:eastAsia="仿宋_GB2312"/>
          <w:sz w:val="32"/>
          <w:szCs w:val="32"/>
        </w:rPr>
      </w:pPr>
      <w:r>
        <w:rPr>
          <w:rFonts w:eastAsia="仿宋_GB2312"/>
          <w:spacing w:val="10"/>
          <w:sz w:val="32"/>
          <w:szCs w:val="32"/>
        </w:rPr>
        <w:t>（一）</w:t>
      </w:r>
      <w:r>
        <w:rPr>
          <w:rFonts w:eastAsia="仿宋_GB2312"/>
          <w:sz w:val="32"/>
          <w:szCs w:val="32"/>
        </w:rPr>
        <w:t>中小学、幼儿园学生正常出入的校门口</w:t>
      </w:r>
      <w:r>
        <w:rPr>
          <w:rFonts w:hint="eastAsia" w:eastAsia="仿宋_GB2312"/>
          <w:sz w:val="32"/>
          <w:szCs w:val="32"/>
        </w:rPr>
        <w:t>及所有进出通道口100</w:t>
      </w:r>
      <w:r>
        <w:rPr>
          <w:rFonts w:eastAsia="仿宋_GB2312"/>
          <w:sz w:val="32"/>
          <w:szCs w:val="32"/>
        </w:rPr>
        <w:t>米以内</w:t>
      </w:r>
      <w:r>
        <w:rPr>
          <w:rFonts w:hint="eastAsia" w:eastAsia="仿宋_GB2312"/>
          <w:sz w:val="32"/>
          <w:szCs w:val="32"/>
        </w:rPr>
        <w:t>；</w:t>
      </w:r>
    </w:p>
    <w:p w14:paraId="0C2E9181">
      <w:pPr>
        <w:adjustRightInd w:val="0"/>
        <w:snapToGrid w:val="0"/>
        <w:spacing w:line="360" w:lineRule="auto"/>
        <w:ind w:left="17" w:right="2" w:firstLine="680" w:firstLineChars="200"/>
        <w:rPr>
          <w:rFonts w:eastAsia="仿宋_GB2312"/>
          <w:spacing w:val="10"/>
          <w:sz w:val="32"/>
          <w:szCs w:val="32"/>
        </w:rPr>
      </w:pPr>
      <w:r>
        <w:rPr>
          <w:rFonts w:eastAsia="仿宋_GB2312"/>
          <w:spacing w:val="10"/>
          <w:sz w:val="32"/>
          <w:szCs w:val="32"/>
        </w:rPr>
        <w:t>（二）无固定经营场所的：包括但不限于流动的摊、点、车、棚、简易板房、活动板房（彩钢房）、临时占道建筑等</w:t>
      </w:r>
      <w:r>
        <w:rPr>
          <w:rFonts w:hint="eastAsia" w:eastAsia="仿宋_GB2312"/>
          <w:spacing w:val="10"/>
          <w:sz w:val="32"/>
          <w:szCs w:val="32"/>
        </w:rPr>
        <w:t>。</w:t>
      </w:r>
    </w:p>
    <w:p w14:paraId="22DEF3FE">
      <w:pPr>
        <w:adjustRightInd w:val="0"/>
        <w:snapToGrid w:val="0"/>
        <w:spacing w:line="360" w:lineRule="auto"/>
        <w:ind w:firstLine="680" w:firstLineChars="200"/>
        <w:rPr>
          <w:rFonts w:eastAsia="仿宋_GB2312"/>
          <w:spacing w:val="10"/>
          <w:sz w:val="32"/>
          <w:szCs w:val="32"/>
        </w:rPr>
      </w:pPr>
      <w:r>
        <w:rPr>
          <w:rFonts w:eastAsia="仿宋_GB2312"/>
          <w:spacing w:val="10"/>
          <w:sz w:val="32"/>
          <w:szCs w:val="32"/>
        </w:rPr>
        <w:t>（三）经营场所与住所不相独立的：包括但不限于经营场所为住所的客厅、餐厅、卧室、阳台、地下室、车库、储藏室等；居民楼内公用道、楼梯间等</w:t>
      </w:r>
      <w:r>
        <w:rPr>
          <w:rFonts w:hint="eastAsia" w:eastAsia="仿宋_GB2312"/>
          <w:spacing w:val="10"/>
          <w:sz w:val="32"/>
          <w:szCs w:val="32"/>
        </w:rPr>
        <w:t>。</w:t>
      </w:r>
    </w:p>
    <w:p w14:paraId="003FF3DF">
      <w:pPr>
        <w:pStyle w:val="4"/>
        <w:adjustRightInd w:val="0"/>
        <w:snapToGrid w:val="0"/>
        <w:spacing w:after="0" w:line="360" w:lineRule="auto"/>
        <w:ind w:firstLine="680" w:firstLineChars="200"/>
        <w:rPr>
          <w:rFonts w:eastAsia="仿宋_GB2312"/>
          <w:sz w:val="32"/>
          <w:szCs w:val="32"/>
        </w:rPr>
      </w:pPr>
      <w:r>
        <w:rPr>
          <w:rFonts w:eastAsia="仿宋_GB2312"/>
          <w:spacing w:val="10"/>
          <w:sz w:val="32"/>
          <w:szCs w:val="32"/>
        </w:rPr>
        <w:t>（四）经营业态</w:t>
      </w:r>
      <w:r>
        <w:rPr>
          <w:rFonts w:eastAsia="仿宋_GB2312"/>
          <w:sz w:val="32"/>
          <w:szCs w:val="32"/>
        </w:rPr>
        <w:t>存在容易诱导未成年人关注、购买、吸食</w:t>
      </w:r>
      <w:r>
        <w:rPr>
          <w:rFonts w:hint="eastAsia" w:eastAsia="仿宋_GB2312"/>
          <w:sz w:val="32"/>
          <w:szCs w:val="32"/>
        </w:rPr>
        <w:t>烟草制品或其他不利于未成年人保护</w:t>
      </w:r>
      <w:r>
        <w:rPr>
          <w:rFonts w:eastAsia="仿宋_GB2312"/>
          <w:sz w:val="32"/>
          <w:szCs w:val="32"/>
        </w:rPr>
        <w:t>的</w:t>
      </w:r>
      <w:r>
        <w:rPr>
          <w:rFonts w:hint="eastAsia" w:ascii="仿宋_GB2312" w:eastAsia="仿宋_GB2312"/>
          <w:sz w:val="32"/>
          <w:szCs w:val="32"/>
        </w:rPr>
        <w:t>文化体育、母婴用品、音像制品、传真打印、各类培训咨询机构。</w:t>
      </w:r>
    </w:p>
    <w:p w14:paraId="14631EAE">
      <w:pPr>
        <w:adjustRightInd w:val="0"/>
        <w:snapToGrid w:val="0"/>
        <w:spacing w:line="360" w:lineRule="auto"/>
        <w:ind w:firstLine="680" w:firstLineChars="200"/>
        <w:rPr>
          <w:rFonts w:eastAsia="仿宋_GB2312"/>
          <w:spacing w:val="10"/>
          <w:sz w:val="32"/>
          <w:szCs w:val="32"/>
        </w:rPr>
      </w:pPr>
      <w:r>
        <w:rPr>
          <w:rFonts w:hint="eastAsia" w:eastAsia="仿宋_GB2312"/>
          <w:spacing w:val="10"/>
          <w:sz w:val="32"/>
          <w:szCs w:val="32"/>
        </w:rPr>
        <w:t>（五）</w:t>
      </w:r>
      <w:r>
        <w:rPr>
          <w:rFonts w:eastAsia="仿宋_GB2312"/>
          <w:spacing w:val="10"/>
          <w:sz w:val="32"/>
          <w:szCs w:val="32"/>
        </w:rPr>
        <w:t>专业性较强且与烟草制品零售业务没有直接或间接互补营销关系的</w:t>
      </w:r>
      <w:r>
        <w:rPr>
          <w:rFonts w:hint="eastAsia" w:ascii="仿宋_GB2312" w:eastAsia="仿宋_GB2312"/>
          <w:sz w:val="32"/>
          <w:szCs w:val="32"/>
        </w:rPr>
        <w:t>家电家具、五金机械、通信器材、金融证券、仪器仪表、金银珠宝、寄递配送、洗涤护理、服装制售、中介劳服、寄卖典当、汽车租赁、照相馆、床上用品等。</w:t>
      </w:r>
    </w:p>
    <w:p w14:paraId="51D7494F">
      <w:pPr>
        <w:pStyle w:val="4"/>
        <w:adjustRightInd w:val="0"/>
        <w:snapToGrid w:val="0"/>
        <w:spacing w:after="0" w:line="360" w:lineRule="auto"/>
        <w:ind w:firstLine="680" w:firstLineChars="200"/>
        <w:rPr>
          <w:rFonts w:eastAsia="仿宋_GB2312"/>
          <w:spacing w:val="10"/>
          <w:sz w:val="32"/>
          <w:szCs w:val="32"/>
        </w:rPr>
      </w:pPr>
      <w:r>
        <w:rPr>
          <w:rFonts w:eastAsia="仿宋_GB2312"/>
          <w:spacing w:val="10"/>
          <w:sz w:val="32"/>
          <w:szCs w:val="32"/>
        </w:rPr>
        <w:t>（</w:t>
      </w:r>
      <w:r>
        <w:rPr>
          <w:rFonts w:hint="eastAsia" w:eastAsia="仿宋_GB2312"/>
          <w:spacing w:val="10"/>
          <w:sz w:val="32"/>
          <w:szCs w:val="32"/>
        </w:rPr>
        <w:t>六</w:t>
      </w:r>
      <w:r>
        <w:rPr>
          <w:rFonts w:eastAsia="仿宋_GB2312"/>
          <w:spacing w:val="10"/>
          <w:sz w:val="32"/>
          <w:szCs w:val="32"/>
        </w:rPr>
        <w:t>）经营场所基于安全因素不适宜经营</w:t>
      </w:r>
      <w:r>
        <w:rPr>
          <w:rFonts w:hint="eastAsia" w:eastAsia="仿宋_GB2312"/>
          <w:spacing w:val="10"/>
          <w:sz w:val="32"/>
          <w:szCs w:val="32"/>
        </w:rPr>
        <w:t>烟草制品的烟花爆竹、化工产品、</w:t>
      </w:r>
      <w:r>
        <w:rPr>
          <w:rFonts w:hint="eastAsia" w:ascii="仿宋_GB2312" w:eastAsia="仿宋_GB2312"/>
          <w:sz w:val="32"/>
          <w:szCs w:val="32"/>
        </w:rPr>
        <w:t>五金建材、建筑装潢、美容美发、按摩推拿、药妆医械、农畜养殖、农药化肥、机耕农具、修理修配、汽车美容等经营场所。</w:t>
      </w:r>
    </w:p>
    <w:p w14:paraId="0D122048">
      <w:pPr>
        <w:pStyle w:val="4"/>
        <w:adjustRightInd w:val="0"/>
        <w:snapToGrid w:val="0"/>
        <w:spacing w:after="0" w:line="360" w:lineRule="auto"/>
        <w:ind w:firstLine="680" w:firstLineChars="200"/>
        <w:rPr>
          <w:rFonts w:eastAsia="仿宋_GB2312"/>
          <w:spacing w:val="10"/>
          <w:sz w:val="32"/>
          <w:szCs w:val="32"/>
        </w:rPr>
      </w:pPr>
      <w:r>
        <w:rPr>
          <w:rFonts w:hint="eastAsia" w:eastAsia="仿宋_GB2312"/>
          <w:spacing w:val="10"/>
          <w:sz w:val="32"/>
          <w:szCs w:val="32"/>
        </w:rPr>
        <w:t>（七）</w:t>
      </w:r>
      <w:r>
        <w:rPr>
          <w:rFonts w:eastAsia="仿宋_GB2312"/>
          <w:spacing w:val="10"/>
          <w:sz w:val="32"/>
          <w:szCs w:val="32"/>
        </w:rPr>
        <w:t>法律</w:t>
      </w:r>
      <w:r>
        <w:rPr>
          <w:rFonts w:hint="eastAsia" w:eastAsia="仿宋_GB2312"/>
          <w:spacing w:val="10"/>
          <w:sz w:val="32"/>
          <w:szCs w:val="32"/>
        </w:rPr>
        <w:t>、</w:t>
      </w:r>
      <w:r>
        <w:rPr>
          <w:rFonts w:eastAsia="仿宋_GB2312"/>
          <w:spacing w:val="10"/>
          <w:sz w:val="32"/>
          <w:szCs w:val="32"/>
        </w:rPr>
        <w:t>法规、规章、规范性文件</w:t>
      </w:r>
      <w:r>
        <w:rPr>
          <w:rFonts w:hint="eastAsia" w:eastAsia="仿宋_GB2312"/>
          <w:spacing w:val="10"/>
          <w:sz w:val="32"/>
          <w:szCs w:val="32"/>
        </w:rPr>
        <w:t>等</w:t>
      </w:r>
      <w:r>
        <w:rPr>
          <w:rFonts w:eastAsia="仿宋_GB2312"/>
          <w:spacing w:val="10"/>
          <w:sz w:val="32"/>
          <w:szCs w:val="32"/>
        </w:rPr>
        <w:t>规定的其他不予许可的情形。</w:t>
      </w:r>
      <w:r>
        <w:rPr>
          <w:rFonts w:hint="eastAsia" w:eastAsia="仿宋_GB2312"/>
          <w:spacing w:val="10"/>
          <w:sz w:val="32"/>
          <w:szCs w:val="32"/>
        </w:rPr>
        <w:t>详见</w:t>
      </w:r>
      <w:r>
        <w:rPr>
          <w:rFonts w:eastAsia="仿宋_GB2312"/>
          <w:spacing w:val="10"/>
          <w:sz w:val="32"/>
          <w:szCs w:val="32"/>
        </w:rPr>
        <w:t>《云南省</w:t>
      </w:r>
      <w:r>
        <w:rPr>
          <w:rFonts w:hint="eastAsia" w:eastAsia="仿宋_GB2312"/>
          <w:spacing w:val="10"/>
          <w:sz w:val="32"/>
          <w:szCs w:val="32"/>
        </w:rPr>
        <w:t>昆明市东川区烟草制品零售点不予发放烟草专卖零售许可证的情形</w:t>
      </w:r>
      <w:r>
        <w:rPr>
          <w:rFonts w:eastAsia="仿宋_GB2312"/>
          <w:spacing w:val="10"/>
          <w:sz w:val="32"/>
          <w:szCs w:val="32"/>
        </w:rPr>
        <w:t>》（附件</w:t>
      </w:r>
      <w:r>
        <w:rPr>
          <w:rFonts w:hint="eastAsia" w:eastAsia="仿宋_GB2312"/>
          <w:spacing w:val="10"/>
          <w:sz w:val="32"/>
          <w:szCs w:val="32"/>
        </w:rPr>
        <w:t>4</w:t>
      </w:r>
      <w:r>
        <w:rPr>
          <w:rFonts w:eastAsia="仿宋_GB2312"/>
          <w:spacing w:val="10"/>
          <w:sz w:val="32"/>
          <w:szCs w:val="32"/>
        </w:rPr>
        <w:t>）</w:t>
      </w:r>
      <w:r>
        <w:rPr>
          <w:rFonts w:hint="eastAsia" w:eastAsia="仿宋_GB2312"/>
          <w:spacing w:val="10"/>
          <w:sz w:val="32"/>
          <w:szCs w:val="32"/>
        </w:rPr>
        <w:t>。</w:t>
      </w:r>
    </w:p>
    <w:p w14:paraId="3E054633">
      <w:pPr>
        <w:pStyle w:val="4"/>
        <w:adjustRightInd w:val="0"/>
        <w:snapToGrid w:val="0"/>
        <w:spacing w:after="0" w:line="360" w:lineRule="auto"/>
        <w:ind w:firstLine="680" w:firstLineChars="200"/>
        <w:jc w:val="center"/>
        <w:rPr>
          <w:rFonts w:ascii="黑体" w:hAnsi="黑体" w:eastAsia="黑体"/>
          <w:spacing w:val="10"/>
          <w:sz w:val="32"/>
          <w:szCs w:val="32"/>
        </w:rPr>
      </w:pPr>
      <w:r>
        <w:rPr>
          <w:rFonts w:hint="eastAsia" w:ascii="黑体" w:hAnsi="黑体" w:eastAsia="黑体"/>
          <w:spacing w:val="10"/>
          <w:sz w:val="32"/>
          <w:szCs w:val="32"/>
        </w:rPr>
        <w:t>第三章 雪茄烟专营零售点布局标准</w:t>
      </w:r>
    </w:p>
    <w:p w14:paraId="6775C53A">
      <w:pPr>
        <w:numPr>
          <w:ilvl w:val="2"/>
          <w:numId w:val="0"/>
        </w:numPr>
        <w:adjustRightInd w:val="0"/>
        <w:snapToGrid w:val="0"/>
        <w:spacing w:before="113" w:line="360" w:lineRule="auto"/>
        <w:ind w:firstLine="640" w:firstLineChars="200"/>
        <w:textAlignment w:val="baseline"/>
        <w:rPr>
          <w:rFonts w:eastAsia="仿宋_GB2312"/>
          <w:sz w:val="32"/>
          <w:szCs w:val="32"/>
        </w:rPr>
      </w:pPr>
      <w:r>
        <w:rPr>
          <w:rFonts w:hint="eastAsia" w:eastAsia="黑体"/>
          <w:sz w:val="32"/>
          <w:szCs w:val="32"/>
        </w:rPr>
        <w:t>第十三条　</w:t>
      </w:r>
      <w:r>
        <w:rPr>
          <w:rFonts w:eastAsia="仿宋_GB2312"/>
          <w:sz w:val="32"/>
          <w:szCs w:val="32"/>
        </w:rPr>
        <w:t>经营范围仅为雪茄烟销售的雪茄烟专营店零售点</w:t>
      </w:r>
      <w:r>
        <w:rPr>
          <w:rFonts w:hint="eastAsia" w:eastAsia="仿宋_GB2312"/>
          <w:sz w:val="32"/>
          <w:szCs w:val="32"/>
        </w:rPr>
        <w:t>。</w:t>
      </w:r>
      <w:r>
        <w:rPr>
          <w:rFonts w:ascii="仿宋_GB2312" w:hAnsi="仿宋_GB2312" w:eastAsia="仿宋_GB2312" w:cs="仿宋_GB2312"/>
          <w:spacing w:val="11"/>
          <w:sz w:val="31"/>
          <w:szCs w:val="31"/>
        </w:rPr>
        <w:t>雪茄烟专营店零售点实行</w:t>
      </w:r>
      <w:r>
        <w:rPr>
          <w:rFonts w:ascii="仿宋_GB2312" w:hAnsi="仿宋_GB2312" w:eastAsia="仿宋_GB2312" w:cs="仿宋_GB2312"/>
          <w:spacing w:val="-97"/>
          <w:sz w:val="31"/>
          <w:szCs w:val="31"/>
        </w:rPr>
        <w:t xml:space="preserve"> </w:t>
      </w:r>
      <w:r>
        <w:rPr>
          <w:rFonts w:ascii="仿宋_GB2312" w:hAnsi="仿宋_GB2312" w:eastAsia="仿宋_GB2312" w:cs="仿宋_GB2312"/>
          <w:spacing w:val="11"/>
          <w:sz w:val="31"/>
          <w:szCs w:val="31"/>
        </w:rPr>
        <w:t>“</w:t>
      </w:r>
      <w:r>
        <w:rPr>
          <w:rFonts w:ascii="仿宋_GB2312" w:hAnsi="仿宋_GB2312" w:eastAsia="仿宋_GB2312" w:cs="仿宋_GB2312"/>
          <w:spacing w:val="-115"/>
          <w:sz w:val="31"/>
          <w:szCs w:val="31"/>
        </w:rPr>
        <w:t xml:space="preserve"> </w:t>
      </w:r>
      <w:r>
        <w:rPr>
          <w:rFonts w:ascii="仿宋_GB2312" w:hAnsi="仿宋_GB2312" w:eastAsia="仿宋_GB2312" w:cs="仿宋_GB2312"/>
          <w:spacing w:val="11"/>
          <w:sz w:val="31"/>
          <w:szCs w:val="31"/>
        </w:rPr>
        <w:t>一址</w:t>
      </w:r>
      <w:r>
        <w:rPr>
          <w:rFonts w:ascii="仿宋_GB2312" w:hAnsi="仿宋_GB2312" w:eastAsia="仿宋_GB2312" w:cs="仿宋_GB2312"/>
          <w:spacing w:val="10"/>
          <w:sz w:val="31"/>
          <w:szCs w:val="31"/>
        </w:rPr>
        <w:t>一证”管</w:t>
      </w:r>
      <w:r>
        <w:rPr>
          <w:rFonts w:ascii="仿宋_GB2312" w:hAnsi="仿宋_GB2312" w:eastAsia="仿宋_GB2312" w:cs="仿宋_GB2312"/>
          <w:spacing w:val="5"/>
          <w:sz w:val="31"/>
          <w:szCs w:val="31"/>
        </w:rPr>
        <w:t>理，采取区域总量控制的方式进行布局，</w:t>
      </w:r>
      <w:r>
        <w:rPr>
          <w:rFonts w:eastAsia="仿宋_GB2312"/>
          <w:sz w:val="32"/>
          <w:szCs w:val="32"/>
        </w:rPr>
        <w:t>规划数不超过</w:t>
      </w:r>
      <w:r>
        <w:rPr>
          <w:rFonts w:hint="eastAsia" w:eastAsia="仿宋_GB2312"/>
          <w:sz w:val="32"/>
          <w:szCs w:val="32"/>
        </w:rPr>
        <w:t>本</w:t>
      </w:r>
      <w:r>
        <w:rPr>
          <w:rFonts w:eastAsia="仿宋_GB2312"/>
          <w:sz w:val="32"/>
          <w:szCs w:val="32"/>
        </w:rPr>
        <w:t>区上年度</w:t>
      </w:r>
      <w:r>
        <w:rPr>
          <w:rFonts w:hint="eastAsia" w:eastAsia="仿宋_GB2312"/>
          <w:sz w:val="32"/>
          <w:szCs w:val="32"/>
        </w:rPr>
        <w:t>末</w:t>
      </w:r>
      <w:r>
        <w:rPr>
          <w:rFonts w:eastAsia="仿宋_GB2312"/>
          <w:sz w:val="32"/>
          <w:szCs w:val="32"/>
        </w:rPr>
        <w:t>烟草制品零售点总数的</w:t>
      </w:r>
      <w:r>
        <w:rPr>
          <w:rFonts w:hint="eastAsia" w:eastAsia="仿宋_GB2312"/>
          <w:sz w:val="32"/>
          <w:szCs w:val="32"/>
        </w:rPr>
        <w:t>2%</w:t>
      </w:r>
      <w:r>
        <w:rPr>
          <w:rFonts w:eastAsia="仿宋_GB2312"/>
          <w:sz w:val="32"/>
          <w:szCs w:val="32"/>
        </w:rPr>
        <w:t>。详见《云南省</w:t>
      </w:r>
      <w:r>
        <w:rPr>
          <w:rFonts w:hint="eastAsia" w:eastAsia="仿宋_GB2312"/>
          <w:sz w:val="32"/>
          <w:szCs w:val="32"/>
        </w:rPr>
        <w:t>昆明市东川区</w:t>
      </w:r>
      <w:r>
        <w:rPr>
          <w:rFonts w:eastAsia="仿宋_GB2312"/>
          <w:sz w:val="32"/>
          <w:szCs w:val="32"/>
        </w:rPr>
        <w:t>烟草专卖局雪茄烟专营店零售点合理布局公示表</w:t>
      </w:r>
      <w:r>
        <w:rPr>
          <w:rFonts w:hint="eastAsia" w:eastAsia="仿宋_GB2312"/>
          <w:sz w:val="32"/>
          <w:szCs w:val="32"/>
        </w:rPr>
        <w:t>》（附件3）。</w:t>
      </w:r>
    </w:p>
    <w:p w14:paraId="6E02EC91">
      <w:pPr>
        <w:numPr>
          <w:ilvl w:val="2"/>
          <w:numId w:val="0"/>
        </w:numPr>
        <w:adjustRightInd w:val="0"/>
        <w:snapToGrid w:val="0"/>
        <w:spacing w:before="113" w:line="360" w:lineRule="auto"/>
        <w:ind w:firstLine="640" w:firstLineChars="200"/>
        <w:textAlignment w:val="baseline"/>
        <w:rPr>
          <w:rFonts w:eastAsia="仿宋_GB2312"/>
          <w:sz w:val="32"/>
          <w:szCs w:val="32"/>
        </w:rPr>
      </w:pPr>
      <w:r>
        <w:rPr>
          <w:rFonts w:hint="eastAsia" w:eastAsia="黑体"/>
          <w:sz w:val="32"/>
          <w:szCs w:val="32"/>
        </w:rPr>
        <w:t>第十四条　</w:t>
      </w:r>
      <w:r>
        <w:rPr>
          <w:rFonts w:eastAsia="仿宋_GB2312"/>
          <w:sz w:val="32"/>
          <w:szCs w:val="32"/>
        </w:rPr>
        <w:t>新设雪茄烟专营零售点应同时满足以下条件：</w:t>
      </w:r>
    </w:p>
    <w:p w14:paraId="5B2BA68D">
      <w:pPr>
        <w:adjustRightInd w:val="0"/>
        <w:snapToGrid w:val="0"/>
        <w:spacing w:before="113" w:line="360" w:lineRule="auto"/>
        <w:ind w:firstLine="640" w:firstLineChars="200"/>
        <w:textAlignment w:val="baseline"/>
        <w:rPr>
          <w:rFonts w:eastAsia="仿宋_GB2312"/>
          <w:sz w:val="32"/>
          <w:szCs w:val="32"/>
        </w:rPr>
      </w:pPr>
      <w:r>
        <w:rPr>
          <w:rFonts w:hint="eastAsia" w:eastAsia="仿宋_GB2312"/>
          <w:sz w:val="32"/>
          <w:szCs w:val="32"/>
        </w:rPr>
        <w:t>（一）</w:t>
      </w:r>
      <w:r>
        <w:rPr>
          <w:rFonts w:eastAsia="仿宋_GB2312"/>
          <w:sz w:val="32"/>
          <w:szCs w:val="32"/>
        </w:rPr>
        <w:t>符合</w:t>
      </w:r>
      <w:r>
        <w:rPr>
          <w:rFonts w:hint="eastAsia" w:eastAsia="仿宋_GB2312"/>
          <w:sz w:val="32"/>
          <w:szCs w:val="32"/>
        </w:rPr>
        <w:t>本规划</w:t>
      </w:r>
      <w:r>
        <w:rPr>
          <w:rFonts w:eastAsia="仿宋_GB2312"/>
          <w:sz w:val="32"/>
          <w:szCs w:val="32"/>
        </w:rPr>
        <w:t>第十</w:t>
      </w:r>
      <w:r>
        <w:rPr>
          <w:rFonts w:hint="eastAsia" w:eastAsia="仿宋_GB2312"/>
          <w:sz w:val="32"/>
          <w:szCs w:val="32"/>
        </w:rPr>
        <w:t>三</w:t>
      </w:r>
      <w:r>
        <w:rPr>
          <w:rFonts w:eastAsia="仿宋_GB2312"/>
          <w:sz w:val="32"/>
          <w:szCs w:val="32"/>
        </w:rPr>
        <w:t>条中的雪茄烟专营店零售点规划数限制</w:t>
      </w:r>
      <w:r>
        <w:rPr>
          <w:rFonts w:ascii="仿宋_GB2312" w:hAnsi="仿宋_GB2312" w:eastAsia="仿宋_GB2312" w:cs="仿宋_GB2312"/>
          <w:spacing w:val="5"/>
          <w:sz w:val="31"/>
          <w:szCs w:val="31"/>
        </w:rPr>
        <w:t>及符合本规划《云南省昆明市</w:t>
      </w:r>
      <w:r>
        <w:rPr>
          <w:rFonts w:hint="eastAsia" w:ascii="仿宋_GB2312" w:hAnsi="仿宋_GB2312" w:eastAsia="仿宋_GB2312" w:cs="仿宋_GB2312"/>
          <w:spacing w:val="5"/>
          <w:sz w:val="31"/>
          <w:szCs w:val="31"/>
        </w:rPr>
        <w:t>东川</w:t>
      </w:r>
      <w:r>
        <w:rPr>
          <w:rFonts w:ascii="仿宋_GB2312" w:hAnsi="仿宋_GB2312" w:eastAsia="仿宋_GB2312" w:cs="仿宋_GB2312"/>
          <w:spacing w:val="5"/>
          <w:sz w:val="31"/>
          <w:szCs w:val="31"/>
        </w:rPr>
        <w:t>区烟草制品零售点不予发</w:t>
      </w:r>
      <w:r>
        <w:rPr>
          <w:rFonts w:ascii="仿宋_GB2312" w:hAnsi="仿宋_GB2312" w:eastAsia="仿宋_GB2312" w:cs="仿宋_GB2312"/>
          <w:spacing w:val="7"/>
          <w:sz w:val="31"/>
          <w:szCs w:val="31"/>
        </w:rPr>
        <w:t>放烟草专卖零售许可证的情形》</w:t>
      </w:r>
      <w:r>
        <w:rPr>
          <w:rFonts w:ascii="仿宋_GB2312" w:hAnsi="仿宋_GB2312" w:eastAsia="仿宋_GB2312" w:cs="仿宋_GB2312"/>
          <w:spacing w:val="-121"/>
          <w:sz w:val="31"/>
          <w:szCs w:val="31"/>
        </w:rPr>
        <w:t xml:space="preserve"> </w:t>
      </w:r>
      <w:r>
        <w:rPr>
          <w:rFonts w:ascii="仿宋_GB2312" w:hAnsi="仿宋_GB2312" w:eastAsia="仿宋_GB2312" w:cs="仿宋_GB2312"/>
          <w:spacing w:val="7"/>
          <w:sz w:val="31"/>
          <w:szCs w:val="31"/>
        </w:rPr>
        <w:t>（附件4）要求</w:t>
      </w:r>
      <w:r>
        <w:rPr>
          <w:rFonts w:eastAsia="仿宋_GB2312"/>
          <w:sz w:val="32"/>
          <w:szCs w:val="32"/>
        </w:rPr>
        <w:t>。</w:t>
      </w:r>
    </w:p>
    <w:p w14:paraId="4AEC8EF0">
      <w:pPr>
        <w:adjustRightInd w:val="0"/>
        <w:snapToGrid w:val="0"/>
        <w:spacing w:before="113" w:line="360" w:lineRule="auto"/>
        <w:ind w:firstLine="640" w:firstLineChars="200"/>
        <w:textAlignment w:val="baseline"/>
        <w:rPr>
          <w:rFonts w:eastAsia="仿宋_GB2312"/>
          <w:sz w:val="32"/>
          <w:szCs w:val="32"/>
        </w:rPr>
      </w:pPr>
      <w:r>
        <w:rPr>
          <w:rFonts w:hint="eastAsia" w:eastAsia="仿宋_GB2312"/>
          <w:sz w:val="32"/>
          <w:szCs w:val="32"/>
        </w:rPr>
        <w:t>（二）雪茄烟专营零售点设置不做店间距离限制，也不作为其它烟草制品零售点、电子烟零售点设置过程中店间距离测量的参照基准。</w:t>
      </w:r>
    </w:p>
    <w:p w14:paraId="6E8808D0">
      <w:pPr>
        <w:adjustRightInd w:val="0"/>
        <w:snapToGrid w:val="0"/>
        <w:spacing w:before="113" w:line="360" w:lineRule="auto"/>
        <w:ind w:firstLine="640" w:firstLineChars="200"/>
        <w:textAlignment w:val="baseline"/>
        <w:rPr>
          <w:rFonts w:eastAsia="仿宋_GB2312"/>
          <w:sz w:val="32"/>
          <w:szCs w:val="32"/>
        </w:rPr>
      </w:pPr>
      <w:r>
        <w:rPr>
          <w:rFonts w:hint="eastAsia" w:eastAsia="仿宋_GB2312"/>
          <w:sz w:val="32"/>
          <w:szCs w:val="32"/>
        </w:rPr>
        <w:t>（三）取得雪茄烟专营零售资格的被许可主体，如需变更其烟草专卖零售许可证经营范围的，应符合相应其他许可事项烟草制品零售点合理化布局的规定。</w:t>
      </w:r>
    </w:p>
    <w:p w14:paraId="00F136E8">
      <w:pPr>
        <w:pStyle w:val="8"/>
        <w:snapToGrid w:val="0"/>
        <w:spacing w:before="312" w:beforeLines="100" w:after="312" w:afterLines="100" w:line="360" w:lineRule="auto"/>
        <w:textAlignment w:val="baseline"/>
        <w:rPr>
          <w:rFonts w:ascii="Times New Roman" w:hAnsi="Times New Roman" w:eastAsia="黑体"/>
          <w:sz w:val="32"/>
          <w:szCs w:val="32"/>
        </w:rPr>
      </w:pPr>
      <w:r>
        <w:rPr>
          <w:rFonts w:hint="eastAsia" w:ascii="Times New Roman" w:hAnsi="Times New Roman" w:eastAsia="黑体"/>
          <w:sz w:val="32"/>
          <w:szCs w:val="32"/>
        </w:rPr>
        <w:t xml:space="preserve">第四章  </w:t>
      </w:r>
      <w:r>
        <w:rPr>
          <w:rFonts w:ascii="Times New Roman" w:hAnsi="Times New Roman" w:eastAsia="黑体"/>
          <w:sz w:val="32"/>
          <w:szCs w:val="32"/>
        </w:rPr>
        <w:t>附</w:t>
      </w:r>
      <w:r>
        <w:rPr>
          <w:rFonts w:hint="eastAsia" w:ascii="Times New Roman" w:hAnsi="Times New Roman" w:eastAsia="黑体"/>
          <w:sz w:val="32"/>
          <w:szCs w:val="32"/>
        </w:rPr>
        <w:t xml:space="preserve"> </w:t>
      </w:r>
      <w:r>
        <w:rPr>
          <w:rFonts w:ascii="Times New Roman" w:hAnsi="Times New Roman" w:eastAsia="黑体"/>
          <w:sz w:val="32"/>
          <w:szCs w:val="32"/>
        </w:rPr>
        <w:t>则</w:t>
      </w:r>
    </w:p>
    <w:p w14:paraId="66C327A2">
      <w:pPr>
        <w:numPr>
          <w:ilvl w:val="2"/>
          <w:numId w:val="0"/>
        </w:numPr>
        <w:snapToGrid w:val="0"/>
        <w:spacing w:line="360" w:lineRule="auto"/>
        <w:ind w:firstLine="680" w:firstLineChars="200"/>
        <w:rPr>
          <w:rFonts w:eastAsia="仿宋_GB2312"/>
          <w:spacing w:val="10"/>
          <w:sz w:val="32"/>
          <w:szCs w:val="32"/>
        </w:rPr>
      </w:pPr>
      <w:r>
        <w:rPr>
          <w:rFonts w:hint="eastAsia" w:eastAsia="黑体"/>
          <w:spacing w:val="10"/>
          <w:sz w:val="32"/>
          <w:szCs w:val="32"/>
        </w:rPr>
        <w:t>第十五条　</w:t>
      </w:r>
      <w:r>
        <w:rPr>
          <w:rFonts w:eastAsia="仿宋_GB2312"/>
          <w:spacing w:val="10"/>
          <w:sz w:val="32"/>
          <w:szCs w:val="32"/>
        </w:rPr>
        <w:t>本规划实施后，如遇相关法律</w:t>
      </w:r>
      <w:r>
        <w:rPr>
          <w:rFonts w:hint="eastAsia" w:eastAsia="仿宋_GB2312"/>
          <w:spacing w:val="10"/>
          <w:sz w:val="32"/>
          <w:szCs w:val="32"/>
        </w:rPr>
        <w:t>、</w:t>
      </w:r>
      <w:r>
        <w:rPr>
          <w:rFonts w:eastAsia="仿宋_GB2312"/>
          <w:spacing w:val="10"/>
          <w:sz w:val="32"/>
          <w:szCs w:val="32"/>
        </w:rPr>
        <w:t>法规、规章及规范性文件调整的，根据最新规定进行调整，及时报当地本级人民政府法制部门备案后公布实施。</w:t>
      </w:r>
    </w:p>
    <w:p w14:paraId="3EFE36AD">
      <w:pPr>
        <w:widowControl/>
        <w:ind w:firstLine="640" w:firstLineChars="200"/>
        <w:jc w:val="left"/>
        <w:rPr>
          <w:rFonts w:eastAsia="仿宋_GB2312"/>
          <w:sz w:val="32"/>
          <w:szCs w:val="32"/>
        </w:rPr>
      </w:pPr>
      <w:r>
        <w:rPr>
          <w:rFonts w:hint="eastAsia" w:eastAsia="黑体"/>
          <w:sz w:val="32"/>
          <w:szCs w:val="32"/>
        </w:rPr>
        <w:t xml:space="preserve">第十六条  </w:t>
      </w:r>
      <w:r>
        <w:rPr>
          <w:rFonts w:ascii="仿宋_GB2312" w:hAnsi="宋体" w:eastAsia="仿宋_GB2312" w:cs="仿宋_GB2312"/>
          <w:color w:val="000000"/>
          <w:kern w:val="0"/>
          <w:sz w:val="31"/>
          <w:szCs w:val="31"/>
          <w:lang w:bidi="ar"/>
        </w:rPr>
        <w:t>本规划结合实际，</w:t>
      </w:r>
      <w:r>
        <w:rPr>
          <w:rFonts w:hint="eastAsia" w:ascii="仿宋_GB2312" w:hAnsi="宋体" w:eastAsia="仿宋_GB2312" w:cs="仿宋_GB2312"/>
          <w:color w:val="000000"/>
          <w:kern w:val="0"/>
          <w:sz w:val="31"/>
          <w:szCs w:val="31"/>
          <w:lang w:bidi="ar"/>
        </w:rPr>
        <w:t>对辖区内实行数量限制的零售点布局</w:t>
      </w:r>
      <w:r>
        <w:rPr>
          <w:rFonts w:hint="eastAsia" w:eastAsia="仿宋_GB2312"/>
          <w:sz w:val="32"/>
          <w:szCs w:val="32"/>
        </w:rPr>
        <w:t>实行集中摇号制度，详见《</w:t>
      </w:r>
      <w:r>
        <w:rPr>
          <w:rFonts w:eastAsia="仿宋_GB2312"/>
          <w:sz w:val="32"/>
          <w:szCs w:val="32"/>
        </w:rPr>
        <w:t>云南省</w:t>
      </w:r>
      <w:r>
        <w:rPr>
          <w:rFonts w:hint="eastAsia" w:eastAsia="仿宋_GB2312"/>
          <w:sz w:val="32"/>
          <w:szCs w:val="32"/>
        </w:rPr>
        <w:t>昆明市东川区</w:t>
      </w:r>
      <w:r>
        <w:rPr>
          <w:rFonts w:eastAsia="仿宋_GB2312"/>
          <w:sz w:val="32"/>
          <w:szCs w:val="32"/>
        </w:rPr>
        <w:t>烟草制品零售点</w:t>
      </w:r>
      <w:r>
        <w:rPr>
          <w:rFonts w:hint="eastAsia" w:eastAsia="仿宋_GB2312"/>
          <w:sz w:val="32"/>
          <w:szCs w:val="32"/>
        </w:rPr>
        <w:t>集中摇号制度》（附件5）。</w:t>
      </w:r>
    </w:p>
    <w:p w14:paraId="69BB9AEE">
      <w:pPr>
        <w:widowControl/>
        <w:ind w:firstLine="620" w:firstLineChars="200"/>
        <w:jc w:val="left"/>
      </w:pPr>
      <w:r>
        <w:rPr>
          <w:rFonts w:ascii="黑体" w:hAnsi="宋体" w:eastAsia="黑体" w:cs="黑体"/>
          <w:color w:val="000000"/>
          <w:kern w:val="0"/>
          <w:sz w:val="31"/>
          <w:szCs w:val="31"/>
          <w:lang w:bidi="ar"/>
        </w:rPr>
        <w:t xml:space="preserve">第十七条 </w:t>
      </w:r>
      <w:r>
        <w:rPr>
          <w:rFonts w:ascii="仿宋_GB2312" w:hAnsi="宋体" w:eastAsia="仿宋_GB2312" w:cs="仿宋_GB2312"/>
          <w:color w:val="000000"/>
          <w:kern w:val="0"/>
          <w:sz w:val="31"/>
          <w:szCs w:val="31"/>
          <w:lang w:bidi="ar"/>
        </w:rPr>
        <w:t>符合本规划第十条</w:t>
      </w:r>
      <w:r>
        <w:rPr>
          <w:rFonts w:hint="eastAsia" w:ascii="仿宋_GB2312" w:hAnsi="宋体" w:eastAsia="仿宋_GB2312" w:cs="仿宋_GB2312"/>
          <w:color w:val="000000"/>
          <w:kern w:val="0"/>
          <w:sz w:val="31"/>
          <w:szCs w:val="31"/>
          <w:lang w:bidi="ar"/>
        </w:rPr>
        <w:t>、第十一条</w:t>
      </w:r>
      <w:r>
        <w:rPr>
          <w:rFonts w:ascii="仿宋_GB2312" w:hAnsi="宋体" w:eastAsia="仿宋_GB2312" w:cs="仿宋_GB2312"/>
          <w:color w:val="000000"/>
          <w:kern w:val="0"/>
          <w:sz w:val="31"/>
          <w:szCs w:val="31"/>
          <w:lang w:bidi="ar"/>
        </w:rPr>
        <w:t>规定的特殊区域零售点及本规</w:t>
      </w:r>
      <w:r>
        <w:rPr>
          <w:rFonts w:hint="eastAsia" w:ascii="仿宋_GB2312" w:hAnsi="宋体" w:eastAsia="仿宋_GB2312" w:cs="仿宋_GB2312"/>
          <w:color w:val="000000"/>
          <w:kern w:val="0"/>
          <w:sz w:val="31"/>
          <w:szCs w:val="31"/>
          <w:lang w:bidi="ar"/>
        </w:rPr>
        <w:t>划第十三条规定的雪茄烟专营店零售点，在公示的范围内，按照申请人提交新办申请资料的时间顺序依次受理审核；当所公示的特殊区域零售点、雪茄烟专营店零售点容量（规划数）达到最大值时，按照第十六条规定执行。</w:t>
      </w:r>
    </w:p>
    <w:p w14:paraId="3B9593AB">
      <w:pPr>
        <w:snapToGrid w:val="0"/>
        <w:spacing w:line="360" w:lineRule="auto"/>
        <w:ind w:firstLine="640" w:firstLineChars="200"/>
        <w:textAlignment w:val="baseline"/>
        <w:rPr>
          <w:rFonts w:eastAsia="仿宋_GB2312"/>
          <w:sz w:val="32"/>
          <w:szCs w:val="32"/>
        </w:rPr>
      </w:pPr>
      <w:r>
        <w:rPr>
          <w:rFonts w:hint="eastAsia" w:eastAsia="黑体"/>
          <w:sz w:val="32"/>
          <w:szCs w:val="32"/>
        </w:rPr>
        <w:t xml:space="preserve">第十八条  </w:t>
      </w:r>
      <w:r>
        <w:rPr>
          <w:rFonts w:eastAsia="仿宋_GB2312"/>
          <w:spacing w:val="10"/>
          <w:sz w:val="32"/>
          <w:szCs w:val="32"/>
        </w:rPr>
        <w:t>本</w:t>
      </w:r>
      <w:r>
        <w:rPr>
          <w:rFonts w:hint="eastAsia" w:eastAsia="仿宋_GB2312"/>
          <w:spacing w:val="10"/>
          <w:sz w:val="32"/>
          <w:szCs w:val="32"/>
        </w:rPr>
        <w:t>区</w:t>
      </w:r>
      <w:r>
        <w:rPr>
          <w:rFonts w:eastAsia="仿宋_GB2312"/>
          <w:sz w:val="32"/>
          <w:szCs w:val="32"/>
        </w:rPr>
        <w:t>零售点合理布局实行定期评价、动态管理。每季度根据本地经济发展、城乡建设、市场形势等变化情况进行调整并公示后实施</w:t>
      </w:r>
      <w:r>
        <w:rPr>
          <w:rFonts w:hint="eastAsia" w:eastAsia="仿宋_GB2312"/>
          <w:sz w:val="32"/>
          <w:szCs w:val="32"/>
        </w:rPr>
        <w:t>，</w:t>
      </w:r>
      <w:r>
        <w:rPr>
          <w:rFonts w:eastAsia="仿宋_GB2312"/>
          <w:sz w:val="32"/>
          <w:szCs w:val="32"/>
        </w:rPr>
        <w:t>动态调整规则</w:t>
      </w:r>
      <w:r>
        <w:rPr>
          <w:rFonts w:hint="eastAsia" w:eastAsia="仿宋_GB2312"/>
          <w:sz w:val="32"/>
          <w:szCs w:val="32"/>
        </w:rPr>
        <w:t>详见《</w:t>
      </w:r>
      <w:r>
        <w:rPr>
          <w:rFonts w:eastAsia="仿宋_GB2312"/>
          <w:sz w:val="32"/>
          <w:szCs w:val="32"/>
        </w:rPr>
        <w:t>云南省</w:t>
      </w:r>
      <w:r>
        <w:rPr>
          <w:rFonts w:hint="eastAsia" w:eastAsia="仿宋_GB2312"/>
          <w:sz w:val="32"/>
          <w:szCs w:val="32"/>
        </w:rPr>
        <w:t>昆明市东川区</w:t>
      </w:r>
      <w:r>
        <w:rPr>
          <w:rFonts w:eastAsia="仿宋_GB2312"/>
          <w:sz w:val="32"/>
          <w:szCs w:val="32"/>
        </w:rPr>
        <w:t>烟草制品零售点合理布局规划数动态调整管理制度</w:t>
      </w:r>
      <w:r>
        <w:rPr>
          <w:rFonts w:hint="eastAsia" w:eastAsia="仿宋_GB2312"/>
          <w:sz w:val="32"/>
          <w:szCs w:val="32"/>
        </w:rPr>
        <w:t>》（附件6）</w:t>
      </w:r>
      <w:r>
        <w:rPr>
          <w:rFonts w:eastAsia="仿宋_GB2312"/>
          <w:sz w:val="32"/>
          <w:szCs w:val="32"/>
        </w:rPr>
        <w:t>。</w:t>
      </w:r>
    </w:p>
    <w:p w14:paraId="0E33DEC1">
      <w:pPr>
        <w:numPr>
          <w:ilvl w:val="2"/>
          <w:numId w:val="0"/>
        </w:numPr>
        <w:snapToGrid w:val="0"/>
        <w:spacing w:line="360" w:lineRule="auto"/>
        <w:ind w:firstLine="397"/>
        <w:rPr>
          <w:rFonts w:eastAsia="仿宋_GB2312"/>
          <w:sz w:val="32"/>
          <w:szCs w:val="32"/>
        </w:rPr>
      </w:pPr>
      <w:r>
        <w:rPr>
          <w:rFonts w:hint="eastAsia" w:eastAsia="黑体"/>
          <w:sz w:val="32"/>
          <w:szCs w:val="32"/>
        </w:rPr>
        <w:t xml:space="preserve">　第十九条  </w:t>
      </w:r>
      <w:r>
        <w:rPr>
          <w:rFonts w:hint="eastAsia" w:eastAsia="仿宋_GB2312"/>
          <w:sz w:val="32"/>
          <w:szCs w:val="32"/>
        </w:rPr>
        <w:t>满足以下条件之一且具有完全民事行为能力的特殊群体，持有合法有效证明材料且申请办理零售许可证的，可以结合实际放宽办证条件。</w:t>
      </w:r>
    </w:p>
    <w:p w14:paraId="2A04082B">
      <w:pPr>
        <w:numPr>
          <w:ilvl w:val="2"/>
          <w:numId w:val="0"/>
        </w:numPr>
        <w:snapToGrid w:val="0"/>
        <w:spacing w:line="360" w:lineRule="auto"/>
        <w:ind w:firstLine="397"/>
        <w:rPr>
          <w:rFonts w:eastAsia="仿宋_GB2312"/>
          <w:sz w:val="32"/>
          <w:szCs w:val="32"/>
        </w:rPr>
      </w:pPr>
      <w:r>
        <w:rPr>
          <w:rFonts w:hint="eastAsia" w:eastAsia="仿宋_GB2312"/>
          <w:sz w:val="32"/>
          <w:szCs w:val="32"/>
        </w:rPr>
        <w:t>(一)烈士家属、因公牺牲军人家属、见义勇为牺牲人员家属。(本条中的家属包括:父母、子女、配偶。)</w:t>
      </w:r>
    </w:p>
    <w:p w14:paraId="57ACAF36">
      <w:pPr>
        <w:numPr>
          <w:ilvl w:val="2"/>
          <w:numId w:val="0"/>
        </w:numPr>
        <w:snapToGrid w:val="0"/>
        <w:spacing w:line="360" w:lineRule="auto"/>
        <w:ind w:firstLine="397"/>
        <w:rPr>
          <w:rFonts w:eastAsia="仿宋_GB2312"/>
          <w:sz w:val="32"/>
          <w:szCs w:val="32"/>
        </w:rPr>
      </w:pPr>
      <w:r>
        <w:rPr>
          <w:rFonts w:hint="eastAsia" w:eastAsia="仿宋_GB2312"/>
          <w:sz w:val="32"/>
          <w:szCs w:val="32"/>
        </w:rPr>
        <w:t>(二)符合以下条件之一，且具有从事烟草专卖零售经营业务相应能力的残疾人本人:</w:t>
      </w:r>
    </w:p>
    <w:p w14:paraId="1C930CE5">
      <w:pPr>
        <w:numPr>
          <w:ilvl w:val="2"/>
          <w:numId w:val="0"/>
        </w:numPr>
        <w:snapToGrid w:val="0"/>
        <w:spacing w:line="360" w:lineRule="auto"/>
        <w:ind w:firstLine="397"/>
        <w:rPr>
          <w:rFonts w:eastAsia="仿宋_GB2312"/>
          <w:sz w:val="32"/>
          <w:szCs w:val="32"/>
        </w:rPr>
      </w:pPr>
      <w:r>
        <w:rPr>
          <w:rFonts w:hint="eastAsia" w:eastAsia="仿宋_GB2312"/>
          <w:sz w:val="32"/>
          <w:szCs w:val="32"/>
        </w:rPr>
        <w:t>1.视力残疾:一级盲、二级盲;</w:t>
      </w:r>
    </w:p>
    <w:p w14:paraId="1D03CF1B">
      <w:pPr>
        <w:numPr>
          <w:ilvl w:val="2"/>
          <w:numId w:val="0"/>
        </w:numPr>
        <w:snapToGrid w:val="0"/>
        <w:spacing w:line="360" w:lineRule="auto"/>
        <w:ind w:firstLine="397"/>
        <w:rPr>
          <w:rFonts w:eastAsia="仿宋_GB2312"/>
          <w:sz w:val="32"/>
          <w:szCs w:val="32"/>
        </w:rPr>
      </w:pPr>
      <w:r>
        <w:rPr>
          <w:rFonts w:hint="eastAsia" w:eastAsia="仿宋_GB2312"/>
          <w:sz w:val="32"/>
          <w:szCs w:val="32"/>
        </w:rPr>
        <w:t>2.听力残疾:一级、二级;</w:t>
      </w:r>
    </w:p>
    <w:p w14:paraId="501F87ED">
      <w:pPr>
        <w:numPr>
          <w:ilvl w:val="2"/>
          <w:numId w:val="0"/>
        </w:numPr>
        <w:snapToGrid w:val="0"/>
        <w:spacing w:line="360" w:lineRule="auto"/>
        <w:ind w:firstLine="397"/>
        <w:rPr>
          <w:rFonts w:eastAsia="仿宋_GB2312"/>
          <w:sz w:val="32"/>
          <w:szCs w:val="32"/>
        </w:rPr>
      </w:pPr>
      <w:r>
        <w:rPr>
          <w:rFonts w:hint="eastAsia" w:eastAsia="仿宋_GB2312"/>
          <w:sz w:val="32"/>
          <w:szCs w:val="32"/>
        </w:rPr>
        <w:t>3.言语残疾:一级、二级;</w:t>
      </w:r>
    </w:p>
    <w:p w14:paraId="34C10DCF">
      <w:pPr>
        <w:numPr>
          <w:ilvl w:val="2"/>
          <w:numId w:val="0"/>
        </w:numPr>
        <w:snapToGrid w:val="0"/>
        <w:spacing w:line="360" w:lineRule="auto"/>
        <w:ind w:firstLine="397"/>
        <w:rPr>
          <w:rFonts w:eastAsia="仿宋_GB2312"/>
          <w:sz w:val="32"/>
          <w:szCs w:val="32"/>
        </w:rPr>
      </w:pPr>
      <w:r>
        <w:rPr>
          <w:rFonts w:hint="eastAsia" w:eastAsia="仿宋_GB2312"/>
          <w:sz w:val="32"/>
          <w:szCs w:val="32"/>
        </w:rPr>
        <w:t>4.肢体残疾:重度(一级)、中度(二级)。</w:t>
      </w:r>
    </w:p>
    <w:p w14:paraId="63FC0C8D">
      <w:pPr>
        <w:numPr>
          <w:ilvl w:val="2"/>
          <w:numId w:val="0"/>
        </w:numPr>
        <w:snapToGrid w:val="0"/>
        <w:spacing w:line="360" w:lineRule="auto"/>
        <w:ind w:firstLine="397"/>
        <w:rPr>
          <w:rFonts w:eastAsia="仿宋_GB2312"/>
          <w:sz w:val="32"/>
          <w:szCs w:val="32"/>
        </w:rPr>
      </w:pPr>
      <w:r>
        <w:rPr>
          <w:rFonts w:hint="eastAsia" w:eastAsia="仿宋_GB2312"/>
          <w:sz w:val="32"/>
          <w:szCs w:val="32"/>
        </w:rPr>
        <w:t>(三)国家明文给予政策扶持，确实具有需要扶持照顾的其他特殊情况的优抚对象，经区局集体研究并向市局报备后，再行放宽办证条件。</w:t>
      </w:r>
    </w:p>
    <w:p w14:paraId="286643B7">
      <w:pPr>
        <w:numPr>
          <w:ilvl w:val="2"/>
          <w:numId w:val="0"/>
        </w:numPr>
        <w:snapToGrid w:val="0"/>
        <w:spacing w:line="360" w:lineRule="auto"/>
        <w:ind w:firstLine="640" w:firstLineChars="200"/>
        <w:rPr>
          <w:rFonts w:eastAsia="仿宋_GB2312"/>
          <w:sz w:val="32"/>
          <w:szCs w:val="32"/>
        </w:rPr>
      </w:pPr>
      <w:r>
        <w:rPr>
          <w:rFonts w:hint="eastAsia" w:eastAsia="仿宋_GB2312"/>
          <w:sz w:val="32"/>
          <w:szCs w:val="32"/>
        </w:rPr>
        <w:t>以上特殊群体申请办理零售许可证,受所在单元网格规划数限制，零售点间距可放宽至本单元网格间距标准的80%执行。</w:t>
      </w:r>
    </w:p>
    <w:p w14:paraId="16730B67">
      <w:pPr>
        <w:numPr>
          <w:ilvl w:val="2"/>
          <w:numId w:val="0"/>
        </w:numPr>
        <w:snapToGrid w:val="0"/>
        <w:spacing w:line="360" w:lineRule="auto"/>
        <w:ind w:firstLine="640" w:firstLineChars="200"/>
        <w:rPr>
          <w:rFonts w:eastAsia="仿宋_GB2312"/>
          <w:sz w:val="32"/>
          <w:szCs w:val="32"/>
        </w:rPr>
      </w:pPr>
      <w:r>
        <w:rPr>
          <w:rFonts w:hint="eastAsia" w:eastAsia="仿宋_GB2312"/>
          <w:sz w:val="32"/>
          <w:szCs w:val="32"/>
        </w:rPr>
        <w:t>同一特殊群体申请人在云南省内仅适用一次放宽政策</w:t>
      </w:r>
    </w:p>
    <w:p w14:paraId="5A9DE363">
      <w:pPr>
        <w:numPr>
          <w:ilvl w:val="2"/>
          <w:numId w:val="0"/>
        </w:numPr>
        <w:snapToGrid w:val="0"/>
        <w:spacing w:line="360" w:lineRule="auto"/>
        <w:ind w:firstLine="680" w:firstLineChars="200"/>
        <w:rPr>
          <w:rFonts w:eastAsia="仿宋_GB2312"/>
          <w:sz w:val="32"/>
          <w:szCs w:val="32"/>
        </w:rPr>
      </w:pPr>
      <w:r>
        <w:rPr>
          <w:rFonts w:hint="eastAsia" w:eastAsia="黑体"/>
          <w:spacing w:val="10"/>
          <w:sz w:val="32"/>
          <w:szCs w:val="32"/>
        </w:rPr>
        <w:t xml:space="preserve">第二十条  </w:t>
      </w:r>
      <w:r>
        <w:rPr>
          <w:rFonts w:eastAsia="仿宋_GB2312"/>
          <w:sz w:val="32"/>
          <w:szCs w:val="32"/>
        </w:rPr>
        <w:t>本规划中所称</w:t>
      </w:r>
      <w:r>
        <w:rPr>
          <w:rFonts w:hint="eastAsia" w:eastAsia="仿宋_GB2312"/>
          <w:sz w:val="32"/>
          <w:szCs w:val="32"/>
        </w:rPr>
        <w:t>“</w:t>
      </w:r>
      <w:r>
        <w:rPr>
          <w:rFonts w:eastAsia="仿宋_GB2312"/>
          <w:sz w:val="32"/>
          <w:szCs w:val="32"/>
        </w:rPr>
        <w:t>中小学校</w:t>
      </w:r>
      <w:r>
        <w:rPr>
          <w:rFonts w:hint="eastAsia" w:eastAsia="仿宋_GB2312"/>
          <w:sz w:val="32"/>
          <w:szCs w:val="32"/>
        </w:rPr>
        <w:t>”</w:t>
      </w:r>
      <w:r>
        <w:rPr>
          <w:rFonts w:eastAsia="仿宋_GB2312"/>
          <w:sz w:val="32"/>
          <w:szCs w:val="32"/>
        </w:rPr>
        <w:t>是指普通中小学校、特殊教育学校、中等职业学校、专门学校等。</w:t>
      </w:r>
      <w:r>
        <w:rPr>
          <w:rFonts w:hint="eastAsia" w:eastAsia="仿宋_GB2312"/>
          <w:sz w:val="32"/>
          <w:szCs w:val="32"/>
        </w:rPr>
        <w:t>“</w:t>
      </w:r>
      <w:r>
        <w:rPr>
          <w:rFonts w:eastAsia="仿宋_GB2312"/>
          <w:sz w:val="32"/>
          <w:szCs w:val="32"/>
        </w:rPr>
        <w:t>幼儿园</w:t>
      </w:r>
      <w:r>
        <w:rPr>
          <w:rFonts w:hint="eastAsia" w:eastAsia="仿宋_GB2312"/>
          <w:sz w:val="32"/>
          <w:szCs w:val="32"/>
        </w:rPr>
        <w:t>”</w:t>
      </w:r>
      <w:r>
        <w:rPr>
          <w:rFonts w:eastAsia="仿宋_GB2312"/>
          <w:sz w:val="32"/>
          <w:szCs w:val="32"/>
        </w:rPr>
        <w:t>是指经教育行政主管部门依法批准的公办和民办全日制、寄宿制、半日制幼儿园及小学附设的学前班、幼儿班</w:t>
      </w:r>
      <w:r>
        <w:rPr>
          <w:rFonts w:hint="eastAsia" w:eastAsia="仿宋_GB2312"/>
          <w:sz w:val="32"/>
          <w:szCs w:val="32"/>
        </w:rPr>
        <w:t>等</w:t>
      </w:r>
      <w:r>
        <w:rPr>
          <w:rFonts w:eastAsia="仿宋_GB2312"/>
          <w:sz w:val="32"/>
          <w:szCs w:val="32"/>
        </w:rPr>
        <w:t>。各类培训教育机构、托管班、早教班等除外。</w:t>
      </w:r>
    </w:p>
    <w:p w14:paraId="09853FE9">
      <w:pPr>
        <w:numPr>
          <w:ilvl w:val="2"/>
          <w:numId w:val="0"/>
        </w:numPr>
        <w:snapToGrid w:val="0"/>
        <w:spacing w:line="360" w:lineRule="auto"/>
        <w:ind w:firstLine="680" w:firstLineChars="200"/>
        <w:rPr>
          <w:rFonts w:eastAsia="仿宋_GB2312"/>
          <w:spacing w:val="10"/>
          <w:sz w:val="32"/>
          <w:szCs w:val="32"/>
        </w:rPr>
      </w:pPr>
      <w:r>
        <w:rPr>
          <w:rFonts w:hint="eastAsia" w:eastAsia="黑体"/>
          <w:spacing w:val="10"/>
          <w:sz w:val="32"/>
          <w:szCs w:val="32"/>
        </w:rPr>
        <w:t xml:space="preserve">第二十一条  </w:t>
      </w:r>
      <w:r>
        <w:rPr>
          <w:rFonts w:eastAsia="仿宋_GB2312"/>
          <w:spacing w:val="10"/>
          <w:sz w:val="32"/>
          <w:szCs w:val="32"/>
        </w:rPr>
        <w:t>本规划中</w:t>
      </w:r>
      <w:r>
        <w:rPr>
          <w:rFonts w:hint="eastAsia" w:eastAsia="仿宋_GB2312"/>
          <w:spacing w:val="10"/>
          <w:sz w:val="32"/>
          <w:szCs w:val="32"/>
        </w:rPr>
        <w:t>“</w:t>
      </w:r>
      <w:r>
        <w:rPr>
          <w:rFonts w:eastAsia="仿宋_GB2312"/>
          <w:spacing w:val="10"/>
          <w:sz w:val="32"/>
          <w:szCs w:val="32"/>
        </w:rPr>
        <w:t>以上</w:t>
      </w:r>
      <w:r>
        <w:rPr>
          <w:rFonts w:hint="eastAsia" w:eastAsia="仿宋_GB2312"/>
          <w:spacing w:val="10"/>
          <w:sz w:val="32"/>
          <w:szCs w:val="32"/>
        </w:rPr>
        <w:t>”、“</w:t>
      </w:r>
      <w:r>
        <w:rPr>
          <w:rFonts w:eastAsia="仿宋_GB2312"/>
          <w:spacing w:val="10"/>
          <w:sz w:val="32"/>
          <w:szCs w:val="32"/>
        </w:rPr>
        <w:t>不低于</w:t>
      </w:r>
      <w:r>
        <w:rPr>
          <w:rFonts w:hint="eastAsia" w:eastAsia="仿宋_GB2312"/>
          <w:spacing w:val="10"/>
          <w:sz w:val="32"/>
          <w:szCs w:val="32"/>
        </w:rPr>
        <w:t>”、“</w:t>
      </w:r>
      <w:r>
        <w:rPr>
          <w:rFonts w:eastAsia="仿宋_GB2312"/>
          <w:spacing w:val="10"/>
          <w:sz w:val="32"/>
          <w:szCs w:val="32"/>
        </w:rPr>
        <w:t>不超过</w:t>
      </w:r>
      <w:r>
        <w:rPr>
          <w:rFonts w:hint="eastAsia" w:eastAsia="仿宋_GB2312"/>
          <w:spacing w:val="10"/>
          <w:sz w:val="32"/>
          <w:szCs w:val="32"/>
        </w:rPr>
        <w:t>”、“</w:t>
      </w:r>
      <w:r>
        <w:rPr>
          <w:rFonts w:eastAsia="仿宋_GB2312"/>
          <w:spacing w:val="10"/>
          <w:sz w:val="32"/>
          <w:szCs w:val="32"/>
        </w:rPr>
        <w:t>以内</w:t>
      </w:r>
      <w:r>
        <w:rPr>
          <w:rFonts w:hint="eastAsia" w:eastAsia="仿宋_GB2312"/>
          <w:spacing w:val="10"/>
          <w:sz w:val="32"/>
          <w:szCs w:val="32"/>
        </w:rPr>
        <w:t>”</w:t>
      </w:r>
      <w:r>
        <w:rPr>
          <w:rFonts w:eastAsia="仿宋_GB2312"/>
          <w:spacing w:val="10"/>
          <w:sz w:val="32"/>
          <w:szCs w:val="32"/>
        </w:rPr>
        <w:t>等，如无特殊说明均包括本数。</w:t>
      </w:r>
    </w:p>
    <w:p w14:paraId="56E60210">
      <w:pPr>
        <w:numPr>
          <w:ilvl w:val="2"/>
          <w:numId w:val="0"/>
        </w:numPr>
        <w:snapToGrid w:val="0"/>
        <w:spacing w:line="360" w:lineRule="auto"/>
        <w:ind w:firstLine="680" w:firstLineChars="200"/>
        <w:rPr>
          <w:rFonts w:eastAsia="仿宋_GB2312"/>
          <w:spacing w:val="10"/>
          <w:sz w:val="32"/>
          <w:szCs w:val="32"/>
        </w:rPr>
      </w:pPr>
      <w:r>
        <w:rPr>
          <w:rFonts w:hint="eastAsia" w:eastAsia="黑体"/>
          <w:spacing w:val="10"/>
          <w:sz w:val="32"/>
          <w:szCs w:val="32"/>
        </w:rPr>
        <w:t>第二十二条　</w:t>
      </w:r>
      <w:r>
        <w:rPr>
          <w:rFonts w:eastAsia="仿宋_GB2312"/>
          <w:spacing w:val="10"/>
          <w:sz w:val="32"/>
          <w:szCs w:val="32"/>
        </w:rPr>
        <w:t>本规划中按照年、月、日计算期间的，开始的当日不计入，自下一日开始计算</w:t>
      </w:r>
      <w:r>
        <w:rPr>
          <w:rFonts w:hint="eastAsia" w:eastAsia="仿宋_GB2312"/>
          <w:spacing w:val="10"/>
          <w:sz w:val="32"/>
          <w:szCs w:val="32"/>
        </w:rPr>
        <w:t>，</w:t>
      </w:r>
      <w:r>
        <w:rPr>
          <w:rFonts w:eastAsia="仿宋_GB2312"/>
          <w:spacing w:val="10"/>
          <w:sz w:val="32"/>
          <w:szCs w:val="32"/>
        </w:rPr>
        <w:t>均以工作日计算，不含法定节假日。</w:t>
      </w:r>
    </w:p>
    <w:p w14:paraId="2DF39791">
      <w:pPr>
        <w:numPr>
          <w:ilvl w:val="2"/>
          <w:numId w:val="0"/>
        </w:numPr>
        <w:snapToGrid w:val="0"/>
        <w:spacing w:line="360" w:lineRule="auto"/>
        <w:ind w:firstLine="640" w:firstLineChars="200"/>
        <w:textAlignment w:val="baseline"/>
        <w:rPr>
          <w:rFonts w:eastAsia="仿宋_GB2312"/>
          <w:spacing w:val="10"/>
          <w:sz w:val="32"/>
          <w:szCs w:val="32"/>
        </w:rPr>
      </w:pPr>
      <w:r>
        <w:rPr>
          <w:rFonts w:hint="eastAsia" w:eastAsia="黑体"/>
          <w:sz w:val="32"/>
          <w:szCs w:val="32"/>
        </w:rPr>
        <w:t xml:space="preserve">第二十三条  </w:t>
      </w:r>
      <w:r>
        <w:rPr>
          <w:rFonts w:eastAsia="仿宋_GB2312"/>
          <w:spacing w:val="10"/>
          <w:sz w:val="32"/>
          <w:szCs w:val="32"/>
        </w:rPr>
        <w:t>本规划由云南省</w:t>
      </w:r>
      <w:r>
        <w:rPr>
          <w:rFonts w:hint="eastAsia" w:eastAsia="仿宋_GB2312"/>
          <w:spacing w:val="10"/>
          <w:sz w:val="32"/>
          <w:szCs w:val="32"/>
        </w:rPr>
        <w:t>昆明市东川区</w:t>
      </w:r>
      <w:r>
        <w:rPr>
          <w:rFonts w:eastAsia="仿宋_GB2312"/>
          <w:spacing w:val="10"/>
          <w:sz w:val="32"/>
          <w:szCs w:val="32"/>
        </w:rPr>
        <w:t>烟草专卖局负责解释。</w:t>
      </w:r>
    </w:p>
    <w:p w14:paraId="2955CA52">
      <w:pPr>
        <w:widowControl/>
        <w:ind w:firstLine="640" w:firstLineChars="200"/>
        <w:jc w:val="left"/>
        <w:rPr>
          <w:rFonts w:eastAsia="仿宋_GB2312"/>
          <w:spacing w:val="10"/>
          <w:sz w:val="32"/>
          <w:szCs w:val="32"/>
        </w:rPr>
      </w:pPr>
      <w:r>
        <w:rPr>
          <w:rFonts w:hint="eastAsia" w:eastAsia="黑体"/>
          <w:sz w:val="32"/>
          <w:szCs w:val="32"/>
        </w:rPr>
        <w:t>第二十四条　</w:t>
      </w:r>
      <w:r>
        <w:rPr>
          <w:rFonts w:eastAsia="仿宋_GB2312"/>
          <w:spacing w:val="10"/>
          <w:sz w:val="32"/>
          <w:szCs w:val="32"/>
        </w:rPr>
        <w:t>本规划于公布之日起三十日后施行。202</w:t>
      </w:r>
      <w:r>
        <w:rPr>
          <w:rFonts w:hint="eastAsia" w:eastAsia="仿宋_GB2312"/>
          <w:spacing w:val="10"/>
          <w:sz w:val="32"/>
          <w:szCs w:val="32"/>
        </w:rPr>
        <w:t>3</w:t>
      </w:r>
      <w:r>
        <w:rPr>
          <w:rFonts w:eastAsia="仿宋_GB2312"/>
          <w:spacing w:val="10"/>
          <w:sz w:val="32"/>
          <w:szCs w:val="32"/>
        </w:rPr>
        <w:t>年</w:t>
      </w:r>
      <w:r>
        <w:rPr>
          <w:rFonts w:hint="eastAsia" w:eastAsia="仿宋_GB2312"/>
          <w:spacing w:val="10"/>
          <w:sz w:val="32"/>
          <w:szCs w:val="32"/>
        </w:rPr>
        <w:t>12</w:t>
      </w:r>
      <w:r>
        <w:rPr>
          <w:rFonts w:eastAsia="仿宋_GB2312"/>
          <w:spacing w:val="10"/>
          <w:sz w:val="32"/>
          <w:szCs w:val="32"/>
        </w:rPr>
        <w:t>月</w:t>
      </w:r>
      <w:r>
        <w:rPr>
          <w:rFonts w:hint="eastAsia" w:eastAsia="仿宋_GB2312"/>
          <w:spacing w:val="10"/>
          <w:sz w:val="32"/>
          <w:szCs w:val="32"/>
        </w:rPr>
        <w:t>28</w:t>
      </w:r>
      <w:r>
        <w:rPr>
          <w:rFonts w:eastAsia="仿宋_GB2312"/>
          <w:spacing w:val="10"/>
          <w:sz w:val="32"/>
          <w:szCs w:val="32"/>
        </w:rPr>
        <w:t>日起实施的《云南省昆明市东川区烟草专卖局关于印发</w:t>
      </w:r>
      <w:r>
        <w:rPr>
          <w:rFonts w:hint="eastAsia" w:eastAsia="仿宋_GB2312"/>
          <w:spacing w:val="10"/>
          <w:sz w:val="32"/>
          <w:szCs w:val="32"/>
        </w:rPr>
        <w:t>烟草制品零售点合理布局规定的通知</w:t>
      </w:r>
      <w:r>
        <w:rPr>
          <w:rFonts w:eastAsia="仿宋_GB2312"/>
          <w:spacing w:val="10"/>
          <w:sz w:val="32"/>
          <w:szCs w:val="32"/>
        </w:rPr>
        <w:t>》（</w:t>
      </w:r>
      <w:r>
        <w:rPr>
          <w:rFonts w:hint="eastAsia" w:eastAsia="仿宋_GB2312"/>
          <w:spacing w:val="10"/>
          <w:sz w:val="32"/>
          <w:szCs w:val="32"/>
        </w:rPr>
        <w:t>东</w:t>
      </w:r>
      <w:r>
        <w:rPr>
          <w:rFonts w:eastAsia="仿宋_GB2312"/>
          <w:spacing w:val="10"/>
          <w:sz w:val="32"/>
          <w:szCs w:val="32"/>
        </w:rPr>
        <w:t>烟</w:t>
      </w:r>
      <w:r>
        <w:rPr>
          <w:rFonts w:hint="eastAsia" w:eastAsia="仿宋_GB2312"/>
          <w:spacing w:val="10"/>
          <w:sz w:val="32"/>
          <w:szCs w:val="32"/>
        </w:rPr>
        <w:t>局</w:t>
      </w:r>
      <w:r>
        <w:rPr>
          <w:rFonts w:eastAsia="仿宋_GB2312"/>
          <w:spacing w:val="10"/>
          <w:sz w:val="32"/>
          <w:szCs w:val="32"/>
        </w:rPr>
        <w:t>〔202</w:t>
      </w:r>
      <w:r>
        <w:rPr>
          <w:rFonts w:hint="eastAsia" w:eastAsia="仿宋_GB2312"/>
          <w:spacing w:val="10"/>
          <w:sz w:val="32"/>
          <w:szCs w:val="32"/>
        </w:rPr>
        <w:t>3</w:t>
      </w:r>
      <w:r>
        <w:rPr>
          <w:rFonts w:eastAsia="仿宋_GB2312"/>
          <w:spacing w:val="10"/>
          <w:sz w:val="32"/>
          <w:szCs w:val="32"/>
        </w:rPr>
        <w:t>〕</w:t>
      </w:r>
      <w:r>
        <w:rPr>
          <w:rFonts w:hint="eastAsia" w:eastAsia="仿宋_GB2312"/>
          <w:spacing w:val="10"/>
          <w:sz w:val="32"/>
          <w:szCs w:val="32"/>
        </w:rPr>
        <w:t>13</w:t>
      </w:r>
      <w:r>
        <w:rPr>
          <w:rFonts w:eastAsia="仿宋_GB2312"/>
          <w:spacing w:val="10"/>
          <w:sz w:val="32"/>
          <w:szCs w:val="32"/>
        </w:rPr>
        <w:t>号）同时废止。</w:t>
      </w:r>
    </w:p>
    <w:p w14:paraId="7F61F5B0">
      <w:pPr>
        <w:pStyle w:val="2"/>
      </w:pPr>
    </w:p>
    <w:p w14:paraId="74742D1A">
      <w:pPr>
        <w:snapToGrid w:val="0"/>
        <w:spacing w:line="360" w:lineRule="auto"/>
        <w:ind w:firstLine="640" w:firstLineChars="200"/>
        <w:textAlignment w:val="baseline"/>
        <w:rPr>
          <w:rFonts w:eastAsia="仿宋_GB2312"/>
          <w:sz w:val="32"/>
          <w:szCs w:val="32"/>
        </w:rPr>
      </w:pPr>
    </w:p>
    <w:p w14:paraId="7E0BF49A">
      <w:pPr>
        <w:pStyle w:val="2"/>
      </w:pPr>
    </w:p>
    <w:p w14:paraId="46326BC2">
      <w:pPr>
        <w:snapToGrid w:val="0"/>
        <w:spacing w:line="360" w:lineRule="auto"/>
        <w:ind w:firstLine="640" w:firstLineChars="200"/>
        <w:textAlignment w:val="baseline"/>
        <w:rPr>
          <w:rFonts w:eastAsia="仿宋_GB2312"/>
          <w:sz w:val="32"/>
          <w:szCs w:val="32"/>
        </w:rPr>
      </w:pPr>
    </w:p>
    <w:p w14:paraId="30A7E4D1">
      <w:pPr>
        <w:snapToGrid w:val="0"/>
        <w:spacing w:line="360" w:lineRule="auto"/>
        <w:ind w:firstLine="640" w:firstLineChars="200"/>
        <w:textAlignment w:val="baseline"/>
        <w:rPr>
          <w:rFonts w:eastAsia="仿宋_GB2312"/>
          <w:sz w:val="32"/>
          <w:szCs w:val="32"/>
        </w:rPr>
      </w:pPr>
      <w:r>
        <w:rPr>
          <w:rFonts w:eastAsia="仿宋_GB2312"/>
          <w:sz w:val="32"/>
          <w:szCs w:val="32"/>
        </w:rPr>
        <w:t>附件1：云南省</w:t>
      </w:r>
      <w:r>
        <w:rPr>
          <w:rFonts w:hint="eastAsia" w:eastAsia="仿宋_GB2312"/>
          <w:sz w:val="32"/>
          <w:szCs w:val="32"/>
        </w:rPr>
        <w:t>昆明市东川区</w:t>
      </w:r>
      <w:r>
        <w:rPr>
          <w:rFonts w:eastAsia="仿宋_GB2312"/>
          <w:sz w:val="32"/>
          <w:szCs w:val="32"/>
        </w:rPr>
        <w:t>烟草制品零售点间距测量规则及标准</w:t>
      </w:r>
    </w:p>
    <w:p w14:paraId="53023E33">
      <w:pPr>
        <w:snapToGrid w:val="0"/>
        <w:spacing w:line="360" w:lineRule="auto"/>
        <w:ind w:firstLine="640" w:firstLineChars="200"/>
        <w:textAlignment w:val="baseline"/>
        <w:rPr>
          <w:rFonts w:eastAsia="仿宋_GB2312"/>
          <w:sz w:val="32"/>
          <w:szCs w:val="32"/>
        </w:rPr>
      </w:pPr>
      <w:r>
        <w:rPr>
          <w:rFonts w:eastAsia="仿宋_GB2312"/>
          <w:sz w:val="32"/>
          <w:szCs w:val="32"/>
        </w:rPr>
        <w:t>附件2：云南省</w:t>
      </w:r>
      <w:r>
        <w:rPr>
          <w:rFonts w:hint="eastAsia" w:eastAsia="仿宋_GB2312"/>
          <w:sz w:val="32"/>
          <w:szCs w:val="32"/>
        </w:rPr>
        <w:t>昆明市东川区</w:t>
      </w:r>
      <w:r>
        <w:rPr>
          <w:rFonts w:eastAsia="仿宋_GB2312"/>
          <w:sz w:val="32"/>
          <w:szCs w:val="32"/>
        </w:rPr>
        <w:t>烟草专卖局烟草制品零售点合理布局公示表</w:t>
      </w:r>
    </w:p>
    <w:p w14:paraId="09E39777">
      <w:pPr>
        <w:snapToGrid w:val="0"/>
        <w:spacing w:line="360" w:lineRule="auto"/>
        <w:ind w:firstLine="640" w:firstLineChars="200"/>
        <w:textAlignment w:val="baseline"/>
        <w:rPr>
          <w:rFonts w:eastAsia="仿宋_GB2312"/>
          <w:sz w:val="32"/>
          <w:szCs w:val="32"/>
        </w:rPr>
      </w:pPr>
      <w:r>
        <w:rPr>
          <w:rFonts w:eastAsia="仿宋_GB2312"/>
          <w:sz w:val="32"/>
          <w:szCs w:val="32"/>
        </w:rPr>
        <w:t>附件3：云南省</w:t>
      </w:r>
      <w:r>
        <w:rPr>
          <w:rFonts w:hint="eastAsia" w:eastAsia="仿宋_GB2312"/>
          <w:sz w:val="32"/>
          <w:szCs w:val="32"/>
        </w:rPr>
        <w:t>昆明市东川区</w:t>
      </w:r>
      <w:r>
        <w:rPr>
          <w:rFonts w:eastAsia="仿宋_GB2312"/>
          <w:sz w:val="32"/>
          <w:szCs w:val="32"/>
        </w:rPr>
        <w:t>烟草专卖局雪茄烟专营店零售点合理布局公示表</w:t>
      </w:r>
    </w:p>
    <w:p w14:paraId="42E7E2B2">
      <w:pPr>
        <w:snapToGrid w:val="0"/>
        <w:spacing w:line="360" w:lineRule="auto"/>
        <w:ind w:firstLine="640" w:firstLineChars="200"/>
        <w:textAlignment w:val="baseline"/>
        <w:rPr>
          <w:rFonts w:eastAsia="仿宋_GB2312"/>
          <w:sz w:val="32"/>
          <w:szCs w:val="32"/>
        </w:rPr>
      </w:pPr>
      <w:r>
        <w:rPr>
          <w:rFonts w:eastAsia="仿宋_GB2312"/>
          <w:sz w:val="32"/>
          <w:szCs w:val="32"/>
        </w:rPr>
        <w:t>附件</w:t>
      </w:r>
      <w:r>
        <w:rPr>
          <w:rFonts w:hint="eastAsia" w:eastAsia="仿宋_GB2312"/>
          <w:sz w:val="32"/>
          <w:szCs w:val="32"/>
        </w:rPr>
        <w:t>4</w:t>
      </w:r>
      <w:r>
        <w:rPr>
          <w:rFonts w:eastAsia="仿宋_GB2312"/>
          <w:sz w:val="32"/>
          <w:szCs w:val="32"/>
        </w:rPr>
        <w:t>：云南省</w:t>
      </w:r>
      <w:r>
        <w:rPr>
          <w:rFonts w:hint="eastAsia" w:eastAsia="仿宋_GB2312"/>
          <w:sz w:val="32"/>
          <w:szCs w:val="32"/>
        </w:rPr>
        <w:t>昆明市东川区烟草制品零售点不予发放烟草专卖零售许可证的情形</w:t>
      </w:r>
    </w:p>
    <w:p w14:paraId="18F640DF">
      <w:pPr>
        <w:snapToGrid w:val="0"/>
        <w:spacing w:line="360" w:lineRule="auto"/>
        <w:ind w:firstLine="640" w:firstLineChars="200"/>
        <w:textAlignment w:val="baseline"/>
        <w:rPr>
          <w:rFonts w:eastAsia="仿宋_GB2312"/>
          <w:sz w:val="32"/>
          <w:szCs w:val="32"/>
        </w:rPr>
      </w:pPr>
      <w:r>
        <w:rPr>
          <w:rFonts w:eastAsia="仿宋_GB2312"/>
          <w:sz w:val="32"/>
          <w:szCs w:val="32"/>
        </w:rPr>
        <w:t>附件</w:t>
      </w:r>
      <w:r>
        <w:rPr>
          <w:rFonts w:hint="eastAsia" w:eastAsia="仿宋_GB2312"/>
          <w:sz w:val="32"/>
          <w:szCs w:val="32"/>
        </w:rPr>
        <w:t>5</w:t>
      </w:r>
      <w:r>
        <w:rPr>
          <w:rFonts w:eastAsia="仿宋_GB2312"/>
          <w:sz w:val="32"/>
          <w:szCs w:val="32"/>
        </w:rPr>
        <w:t>：云南省</w:t>
      </w:r>
      <w:r>
        <w:rPr>
          <w:rFonts w:hint="eastAsia" w:eastAsia="仿宋_GB2312"/>
          <w:sz w:val="32"/>
          <w:szCs w:val="32"/>
        </w:rPr>
        <w:t>昆明市东川区</w:t>
      </w:r>
      <w:r>
        <w:rPr>
          <w:rFonts w:eastAsia="仿宋_GB2312"/>
          <w:sz w:val="32"/>
          <w:szCs w:val="32"/>
        </w:rPr>
        <w:t>烟草制品零售点</w:t>
      </w:r>
      <w:r>
        <w:rPr>
          <w:rFonts w:hint="eastAsia" w:eastAsia="仿宋_GB2312"/>
          <w:sz w:val="32"/>
          <w:szCs w:val="32"/>
        </w:rPr>
        <w:t>集中摇号制度</w:t>
      </w:r>
    </w:p>
    <w:p w14:paraId="1CAEA996">
      <w:pPr>
        <w:snapToGrid w:val="0"/>
        <w:spacing w:line="360" w:lineRule="auto"/>
        <w:ind w:firstLine="640" w:firstLineChars="200"/>
        <w:textAlignment w:val="baseline"/>
        <w:rPr>
          <w:rFonts w:eastAsia="仿宋_GB2312"/>
          <w:sz w:val="32"/>
          <w:szCs w:val="32"/>
        </w:rPr>
        <w:sectPr>
          <w:footerReference r:id="rId3" w:type="default"/>
          <w:pgSz w:w="11906" w:h="16838"/>
          <w:pgMar w:top="1440" w:right="1800" w:bottom="1440" w:left="1800" w:header="851" w:footer="992" w:gutter="0"/>
          <w:pgNumType w:fmt="numberInDash"/>
          <w:cols w:space="0" w:num="1"/>
          <w:docGrid w:type="lines" w:linePitch="312" w:charSpace="0"/>
        </w:sectPr>
      </w:pPr>
      <w:r>
        <w:rPr>
          <w:rFonts w:hint="eastAsia" w:eastAsia="仿宋_GB2312"/>
          <w:sz w:val="32"/>
          <w:szCs w:val="32"/>
        </w:rPr>
        <w:t>附件6：</w:t>
      </w:r>
      <w:r>
        <w:rPr>
          <w:rFonts w:eastAsia="仿宋_GB2312"/>
          <w:sz w:val="32"/>
          <w:szCs w:val="32"/>
        </w:rPr>
        <w:t>云南省</w:t>
      </w:r>
      <w:r>
        <w:rPr>
          <w:rFonts w:hint="eastAsia" w:eastAsia="仿宋_GB2312"/>
          <w:sz w:val="32"/>
          <w:szCs w:val="32"/>
        </w:rPr>
        <w:t>昆明市东川区</w:t>
      </w:r>
      <w:r>
        <w:rPr>
          <w:rFonts w:eastAsia="仿宋_GB2312"/>
          <w:sz w:val="32"/>
          <w:szCs w:val="32"/>
        </w:rPr>
        <w:t>烟草制品零售点合理布局规划数动态调整管理制度</w:t>
      </w:r>
    </w:p>
    <w:p w14:paraId="5F7E5854">
      <w:pPr>
        <w:spacing w:before="104" w:line="224" w:lineRule="auto"/>
        <w:outlineLvl w:val="0"/>
        <w:rPr>
          <w:rFonts w:ascii="黑体" w:hAnsi="黑体" w:eastAsia="黑体" w:cs="黑体"/>
          <w:spacing w:val="8"/>
          <w:sz w:val="32"/>
          <w:szCs w:val="32"/>
        </w:rPr>
      </w:pPr>
      <w:r>
        <w:rPr>
          <w:rFonts w:hint="eastAsia" w:ascii="黑体" w:hAnsi="黑体" w:eastAsia="黑体" w:cs="黑体"/>
          <w:spacing w:val="8"/>
          <w:sz w:val="32"/>
          <w:szCs w:val="32"/>
        </w:rPr>
        <w:t>附件1</w:t>
      </w:r>
    </w:p>
    <w:p w14:paraId="60090BE1">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云南省昆明市东川区烟草制品零售点</w:t>
      </w:r>
    </w:p>
    <w:p w14:paraId="7904A322">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间距测量规则及标准</w:t>
      </w:r>
    </w:p>
    <w:p w14:paraId="2B9603B5"/>
    <w:p w14:paraId="006D0551">
      <w:pPr>
        <w:widowControl/>
        <w:tabs>
          <w:tab w:val="left" w:pos="2723"/>
        </w:tabs>
        <w:spacing w:before="86" w:line="360"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根据东川区辖区实际情况，现明确《云南省昆明市东川区烟草制品零售点合理布局规划》第八条中有关的“零售点间距”测量规则及标准如下：</w:t>
      </w:r>
    </w:p>
    <w:p w14:paraId="037F1E3B">
      <w:pPr>
        <w:widowControl/>
        <w:spacing w:before="86" w:line="360" w:lineRule="auto"/>
        <w:ind w:firstLine="640" w:firstLineChars="200"/>
        <w:jc w:val="left"/>
        <w:rPr>
          <w:rFonts w:ascii="黑体" w:hAnsi="黑体" w:eastAsia="黑体" w:cs="黑体"/>
          <w:sz w:val="32"/>
          <w:szCs w:val="32"/>
        </w:rPr>
      </w:pPr>
      <w:r>
        <w:rPr>
          <w:rFonts w:hint="eastAsia" w:ascii="黑体" w:hAnsi="黑体" w:eastAsia="黑体" w:cs="黑体"/>
          <w:sz w:val="32"/>
          <w:szCs w:val="32"/>
        </w:rPr>
        <w:t>一、测量规则</w:t>
      </w:r>
    </w:p>
    <w:p w14:paraId="2EFB08F6">
      <w:pPr>
        <w:pStyle w:val="16"/>
        <w:numPr>
          <w:ilvl w:val="0"/>
          <w:numId w:val="1"/>
        </w:numPr>
        <w:ind w:firstLineChars="0"/>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现场核查零售点间距的测量以“可安全步行最短距离”为总体原则，其他未穷尽列举的情形均参照本原则测量。</w:t>
      </w:r>
    </w:p>
    <w:p w14:paraId="4903A98C">
      <w:pPr>
        <w:widowControl/>
        <w:numPr>
          <w:ilvl w:val="0"/>
          <w:numId w:val="1"/>
        </w:numPr>
        <w:spacing w:before="86"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应当使用符合国家距离测量标准的测量工具。</w:t>
      </w:r>
    </w:p>
    <w:p w14:paraId="43C1FADC">
      <w:pPr>
        <w:widowControl/>
        <w:numPr>
          <w:ilvl w:val="0"/>
          <w:numId w:val="1"/>
        </w:numPr>
        <w:spacing w:before="86"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pacing w:val="10"/>
          <w:sz w:val="32"/>
          <w:szCs w:val="32"/>
        </w:rPr>
        <w:t>零售点间距</w:t>
      </w:r>
      <w:r>
        <w:rPr>
          <w:rFonts w:hint="eastAsia" w:ascii="仿宋_GB2312" w:hAnsi="仿宋_GB2312" w:eastAsia="仿宋_GB2312" w:cs="仿宋_GB2312"/>
          <w:sz w:val="32"/>
          <w:szCs w:val="32"/>
        </w:rPr>
        <w:t>”是指申请点与参照零售点（周边已设最近的零售点）之间按“门边到门边”原则进行测量。测量数据精确到小数点后一位，如“30.0米”或“100.0米”。</w:t>
      </w:r>
    </w:p>
    <w:p w14:paraId="2FBE5EA7">
      <w:pPr>
        <w:widowControl/>
        <w:numPr>
          <w:ilvl w:val="0"/>
          <w:numId w:val="1"/>
        </w:numPr>
        <w:spacing w:before="86"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40B2F390">
      <w:pPr>
        <w:widowControl/>
        <w:numPr>
          <w:ilvl w:val="0"/>
          <w:numId w:val="1"/>
        </w:numPr>
        <w:spacing w:before="86"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测量</w:t>
      </w:r>
      <w:r>
        <w:rPr>
          <w:rFonts w:hint="eastAsia" w:ascii="仿宋_GB2312" w:hAnsi="仿宋_GB2312" w:eastAsia="仿宋_GB2312" w:cs="仿宋_GB2312"/>
          <w:sz w:val="32"/>
          <w:szCs w:val="32"/>
          <w:lang w:bidi="ug-CN"/>
        </w:rPr>
        <w:t>间距距离时，应使用具备准确刻度的</w:t>
      </w:r>
      <w:r>
        <w:rPr>
          <w:rFonts w:hint="eastAsia" w:ascii="仿宋_GB2312" w:hAnsi="仿宋_GB2312" w:eastAsia="仿宋_GB2312" w:cs="仿宋_GB2312"/>
          <w:kern w:val="0"/>
          <w:sz w:val="32"/>
          <w:szCs w:val="32"/>
          <w:lang w:bidi="ug-CN"/>
        </w:rPr>
        <w:t>测量工具。测量结果介于零售点间距距离的标准值正</w:t>
      </w:r>
      <w:r>
        <w:rPr>
          <w:rFonts w:hint="eastAsia" w:ascii="仿宋_GB2312" w:hAnsi="仿宋_GB2312" w:eastAsia="仿宋_GB2312" w:cs="仿宋_GB2312"/>
          <w:sz w:val="32"/>
          <w:szCs w:val="32"/>
        </w:rPr>
        <w:t>负百分之二范围以内的情况下，如果申请人、代理人或利害关系人对该结果有异议，可以申请重新实地测量一次，以最后一次测量结果为准。测量时，申请人或代理人、利害关系人和烟草核查人员须同时全程在场。</w:t>
      </w:r>
    </w:p>
    <w:p w14:paraId="1902092E">
      <w:pPr>
        <w:widowControl/>
        <w:numPr>
          <w:ilvl w:val="0"/>
          <w:numId w:val="1"/>
        </w:numPr>
        <w:spacing w:before="86"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政府有关部门在街道或道路中设置的行人隔离带（栏）、绿化带等视为障碍物，测量时应当按道路交通规则绕行。</w:t>
      </w:r>
    </w:p>
    <w:p w14:paraId="033D3857">
      <w:pPr>
        <w:widowControl/>
        <w:numPr>
          <w:ilvl w:val="0"/>
          <w:numId w:val="1"/>
        </w:numPr>
        <w:spacing w:before="86"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不视为障碍物的情形：在通行道路上临时设置的安全设施；临时放置的建筑材料、物品、车辆等；擅自设立、建造的建筑物、构筑物或其他物体等；以及因施工影响通行的围挡设施。</w:t>
      </w:r>
    </w:p>
    <w:p w14:paraId="0E4B2F9A">
      <w:pPr>
        <w:widowControl/>
        <w:spacing w:before="86" w:line="360"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14:paraId="61DC8013">
      <w:pPr>
        <w:pStyle w:val="4"/>
        <w:numPr>
          <w:ilvl w:val="0"/>
          <w:numId w:val="2"/>
        </w:numPr>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14:paraId="20258908">
      <w:pPr>
        <w:pStyle w:val="4"/>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0" distR="0">
            <wp:extent cx="3968750" cy="1746250"/>
            <wp:effectExtent l="0" t="0" r="12700" b="6350"/>
            <wp:docPr id="20" name="图片 20"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312121048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968750" cy="1746250"/>
                    </a:xfrm>
                    <a:prstGeom prst="rect">
                      <a:avLst/>
                    </a:prstGeom>
                    <a:noFill/>
                    <a:ln>
                      <a:noFill/>
                    </a:ln>
                  </pic:spPr>
                </pic:pic>
              </a:graphicData>
            </a:graphic>
          </wp:inline>
        </w:drawing>
      </w:r>
    </w:p>
    <w:p w14:paraId="726FA387">
      <w:pPr>
        <w:pStyle w:val="4"/>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14:paraId="2F18B994">
      <w:pPr>
        <w:pStyle w:val="4"/>
        <w:numPr>
          <w:ilvl w:val="0"/>
          <w:numId w:val="2"/>
        </w:numPr>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14:paraId="2B312BD2">
      <w:pPr>
        <w:pStyle w:val="4"/>
        <w:spacing w:after="0" w:line="360" w:lineRule="auto"/>
        <w:ind w:right="2"/>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0" distR="0">
            <wp:extent cx="5778500" cy="2082800"/>
            <wp:effectExtent l="0" t="0" r="12700" b="12700"/>
            <wp:docPr id="19" name="图片 19"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5a3e317d608213e56999ba429828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78500" cy="2082800"/>
                    </a:xfrm>
                    <a:prstGeom prst="rect">
                      <a:avLst/>
                    </a:prstGeom>
                    <a:noFill/>
                    <a:ln>
                      <a:noFill/>
                    </a:ln>
                  </pic:spPr>
                </pic:pic>
              </a:graphicData>
            </a:graphic>
          </wp:inline>
        </w:drawing>
      </w:r>
    </w:p>
    <w:p w14:paraId="33ECD629">
      <w:pPr>
        <w:pStyle w:val="4"/>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14:paraId="166E9CFB">
      <w:pPr>
        <w:pStyle w:val="4"/>
        <w:numPr>
          <w:ilvl w:val="0"/>
          <w:numId w:val="2"/>
        </w:numPr>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14:paraId="41B682DB">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（1）申请点与参照零售点对称的，间距=a（如图3.1）</w:t>
      </w:r>
    </w:p>
    <w:p w14:paraId="783ED4D3">
      <w:pPr>
        <w:pStyle w:val="4"/>
        <w:spacing w:after="0" w:line="360" w:lineRule="auto"/>
        <w:ind w:right="3"/>
        <w:rPr>
          <w:rFonts w:ascii="仿宋_GB2312" w:hAnsi="仿宋_GB2312" w:eastAsia="仿宋_GB2312" w:cs="仿宋_GB2312"/>
          <w:sz w:val="32"/>
          <w:szCs w:val="32"/>
        </w:rPr>
      </w:pPr>
    </w:p>
    <w:p w14:paraId="3A6FA4D1">
      <w:pPr>
        <w:pStyle w:val="4"/>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933950" cy="2444750"/>
            <wp:effectExtent l="0" t="0" r="0" b="12700"/>
            <wp:docPr id="18" name="图片 18"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3bdaea5065e1670b868335705003e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933950" cy="2444750"/>
                    </a:xfrm>
                    <a:prstGeom prst="rect">
                      <a:avLst/>
                    </a:prstGeom>
                    <a:noFill/>
                    <a:ln>
                      <a:noFill/>
                    </a:ln>
                  </pic:spPr>
                </pic:pic>
              </a:graphicData>
            </a:graphic>
          </wp:inline>
        </w:drawing>
      </w:r>
    </w:p>
    <w:p w14:paraId="7D49E686">
      <w:pPr>
        <w:pStyle w:val="4"/>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14:paraId="612EFC22">
      <w:pPr>
        <w:pStyle w:val="4"/>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pacing w:val="10"/>
          <w:sz w:val="32"/>
          <w:szCs w:val="32"/>
        </w:rPr>
        <w:t>申请点与参照零售点不对称的，间距=b（如图3.2）</w:t>
      </w:r>
    </w:p>
    <w:p w14:paraId="593B840E">
      <w:pPr>
        <w:pStyle w:val="4"/>
        <w:spacing w:after="0" w:line="360" w:lineRule="auto"/>
        <w:ind w:right="2"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0" distR="0">
            <wp:extent cx="5016500" cy="2635250"/>
            <wp:effectExtent l="0" t="0" r="12700" b="12700"/>
            <wp:docPr id="17" name="图片 17"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ae0954c900ff944af7dff9ce5117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016500" cy="2635250"/>
                    </a:xfrm>
                    <a:prstGeom prst="rect">
                      <a:avLst/>
                    </a:prstGeom>
                    <a:noFill/>
                    <a:ln>
                      <a:noFill/>
                    </a:ln>
                  </pic:spPr>
                </pic:pic>
              </a:graphicData>
            </a:graphic>
          </wp:inline>
        </w:drawing>
      </w:r>
    </w:p>
    <w:p w14:paraId="1DB885C8">
      <w:pPr>
        <w:pStyle w:val="4"/>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14:paraId="2CBC53AB">
      <w:pPr>
        <w:pStyle w:val="4"/>
        <w:numPr>
          <w:ilvl w:val="0"/>
          <w:numId w:val="2"/>
        </w:numPr>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14:paraId="56EB966A">
      <w:pPr>
        <w:pStyle w:val="4"/>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0" distR="0">
            <wp:extent cx="5194300" cy="2533650"/>
            <wp:effectExtent l="0" t="0" r="6350" b="0"/>
            <wp:docPr id="16" name="图片 16"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3bb69265f29e745628043b5bcf20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94300" cy="2533650"/>
                    </a:xfrm>
                    <a:prstGeom prst="rect">
                      <a:avLst/>
                    </a:prstGeom>
                    <a:noFill/>
                    <a:ln>
                      <a:noFill/>
                    </a:ln>
                  </pic:spPr>
                </pic:pic>
              </a:graphicData>
            </a:graphic>
          </wp:inline>
        </w:drawing>
      </w:r>
    </w:p>
    <w:p w14:paraId="36D4B7F0">
      <w:pPr>
        <w:pStyle w:val="4"/>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14:paraId="4699AF2A">
      <w:pPr>
        <w:pStyle w:val="4"/>
        <w:numPr>
          <w:ilvl w:val="0"/>
          <w:numId w:val="2"/>
        </w:numPr>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14:paraId="71B05FA8">
      <w:pPr>
        <w:pStyle w:val="4"/>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0" distR="0">
            <wp:extent cx="4876800" cy="2406650"/>
            <wp:effectExtent l="0" t="0" r="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a:clrChange>
                        <a:clrFrom>
                          <a:srgbClr val="FEFFFA"/>
                        </a:clrFrom>
                        <a:clrTo>
                          <a:srgbClr val="FEFFFA">
                            <a:alpha val="0"/>
                          </a:srgbClr>
                        </a:clrTo>
                      </a:clrChange>
                      <a:extLst>
                        <a:ext uri="{28A0092B-C50C-407E-A947-70E740481C1C}">
                          <a14:useLocalDpi xmlns:a14="http://schemas.microsoft.com/office/drawing/2010/main" val="0"/>
                        </a:ext>
                      </a:extLst>
                    </a:blip>
                    <a:srcRect/>
                    <a:stretch>
                      <a:fillRect/>
                    </a:stretch>
                  </pic:blipFill>
                  <pic:spPr>
                    <a:xfrm>
                      <a:off x="0" y="0"/>
                      <a:ext cx="4876800" cy="2406650"/>
                    </a:xfrm>
                    <a:prstGeom prst="rect">
                      <a:avLst/>
                    </a:prstGeom>
                    <a:noFill/>
                    <a:ln>
                      <a:noFill/>
                    </a:ln>
                  </pic:spPr>
                </pic:pic>
              </a:graphicData>
            </a:graphic>
          </wp:inline>
        </w:drawing>
      </w:r>
    </w:p>
    <w:p w14:paraId="604F6398">
      <w:pPr>
        <w:pStyle w:val="4"/>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14:paraId="11F1741B">
      <w:pPr>
        <w:pStyle w:val="4"/>
        <w:numPr>
          <w:ilvl w:val="0"/>
          <w:numId w:val="2"/>
        </w:numPr>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14:paraId="20ACDF08">
      <w:pPr>
        <w:pStyle w:val="4"/>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768850" cy="2711450"/>
            <wp:effectExtent l="0" t="0" r="12700" b="12700"/>
            <wp:docPr id="14" name="图片 14"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4103bb42dbf83929f4d95fca555fcf"/>
                    <pic:cNvPicPr>
                      <a:picLocks noChangeAspect="1" noChangeArrowheads="1"/>
                    </pic:cNvPicPr>
                  </pic:nvPicPr>
                  <pic:blipFill>
                    <a:blip r:embed="rId14">
                      <a:extLst>
                        <a:ext uri="{28A0092B-C50C-407E-A947-70E740481C1C}">
                          <a14:useLocalDpi xmlns:a14="http://schemas.microsoft.com/office/drawing/2010/main" val="0"/>
                        </a:ext>
                      </a:extLst>
                    </a:blip>
                    <a:srcRect t="17596"/>
                    <a:stretch>
                      <a:fillRect/>
                    </a:stretch>
                  </pic:blipFill>
                  <pic:spPr>
                    <a:xfrm>
                      <a:off x="0" y="0"/>
                      <a:ext cx="4768850" cy="2711450"/>
                    </a:xfrm>
                    <a:prstGeom prst="rect">
                      <a:avLst/>
                    </a:prstGeom>
                    <a:noFill/>
                    <a:ln>
                      <a:noFill/>
                    </a:ln>
                  </pic:spPr>
                </pic:pic>
              </a:graphicData>
            </a:graphic>
          </wp:inline>
        </w:drawing>
      </w:r>
    </w:p>
    <w:p w14:paraId="0B59C6D2">
      <w:pPr>
        <w:pStyle w:val="4"/>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14:paraId="69931158">
      <w:pPr>
        <w:pStyle w:val="4"/>
        <w:numPr>
          <w:ilvl w:val="0"/>
          <w:numId w:val="2"/>
        </w:numPr>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十字路口</w:t>
      </w:r>
    </w:p>
    <w:p w14:paraId="14BC16D6">
      <w:pPr>
        <w:pStyle w:val="4"/>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14:paraId="76798505">
      <w:pPr>
        <w:pStyle w:val="4"/>
        <w:spacing w:after="0" w:line="360" w:lineRule="auto"/>
        <w:ind w:left="420" w:leftChars="200"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067050" cy="2743200"/>
            <wp:effectExtent l="0" t="0" r="0" b="0"/>
            <wp:docPr id="13" name="图片 13"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312121049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067050" cy="2743200"/>
                    </a:xfrm>
                    <a:prstGeom prst="rect">
                      <a:avLst/>
                    </a:prstGeom>
                    <a:noFill/>
                    <a:ln>
                      <a:noFill/>
                    </a:ln>
                  </pic:spPr>
                </pic:pic>
              </a:graphicData>
            </a:graphic>
          </wp:inline>
        </w:drawing>
      </w:r>
    </w:p>
    <w:p w14:paraId="179E83F9">
      <w:pPr>
        <w:pStyle w:val="4"/>
        <w:spacing w:after="0" w:line="360" w:lineRule="auto"/>
        <w:ind w:left="420" w:leftChars="200"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14:paraId="72B4BA5A">
      <w:pPr>
        <w:pStyle w:val="4"/>
        <w:spacing w:after="0" w:line="360" w:lineRule="auto"/>
        <w:ind w:right="64"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（2）十字路口对角（有交通信号灯、人行横道或过街设施）</w:t>
      </w:r>
    </w:p>
    <w:p w14:paraId="26719993">
      <w:pPr>
        <w:pStyle w:val="4"/>
        <w:spacing w:after="0" w:line="360" w:lineRule="auto"/>
        <w:ind w:right="64"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78C5DAD0">
      <w:pPr>
        <w:pStyle w:val="4"/>
        <w:spacing w:after="0" w:line="360" w:lineRule="auto"/>
        <w:ind w:left="420" w:leftChars="200"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562350" cy="3175000"/>
            <wp:effectExtent l="0" t="0" r="0" b="6350"/>
            <wp:docPr id="12" name="图片 12"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3dd04eb18af5a2a848cca0133a5d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562350" cy="3175000"/>
                    </a:xfrm>
                    <a:prstGeom prst="rect">
                      <a:avLst/>
                    </a:prstGeom>
                    <a:noFill/>
                    <a:ln>
                      <a:noFill/>
                    </a:ln>
                  </pic:spPr>
                </pic:pic>
              </a:graphicData>
            </a:graphic>
          </wp:inline>
        </w:drawing>
      </w:r>
    </w:p>
    <w:p w14:paraId="41409E78">
      <w:pPr>
        <w:pStyle w:val="4"/>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14:paraId="56D2F3DA">
      <w:pPr>
        <w:pStyle w:val="4"/>
        <w:spacing w:after="0" w:line="360" w:lineRule="auto"/>
        <w:ind w:right="64"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（3）十字路口对角（无交通信号灯、人行横道或过街设施）</w:t>
      </w:r>
    </w:p>
    <w:p w14:paraId="07C2AFE6">
      <w:pPr>
        <w:pStyle w:val="4"/>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14:paraId="42A63504">
      <w:pPr>
        <w:pStyle w:val="4"/>
        <w:spacing w:after="0" w:line="360" w:lineRule="auto"/>
        <w:ind w:left="420" w:leftChars="200" w:right="64"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0" distR="0">
            <wp:extent cx="2705100" cy="2476500"/>
            <wp:effectExtent l="0" t="0" r="0" b="0"/>
            <wp:docPr id="11" name="图片 1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0184291e613f2b487271c531d8edb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705100" cy="2476500"/>
                    </a:xfrm>
                    <a:prstGeom prst="rect">
                      <a:avLst/>
                    </a:prstGeom>
                    <a:noFill/>
                    <a:ln>
                      <a:noFill/>
                    </a:ln>
                  </pic:spPr>
                </pic:pic>
              </a:graphicData>
            </a:graphic>
          </wp:inline>
        </w:drawing>
      </w:r>
    </w:p>
    <w:p w14:paraId="7C5C2CA9">
      <w:pPr>
        <w:pStyle w:val="4"/>
        <w:spacing w:after="0" w:line="360" w:lineRule="auto"/>
        <w:ind w:left="420" w:leftChars="200" w:right="64" w:firstLine="64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14:paraId="0B090F17">
      <w:pPr>
        <w:pStyle w:val="4"/>
        <w:numPr>
          <w:ilvl w:val="0"/>
          <w:numId w:val="2"/>
        </w:numPr>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中小学校、幼儿园的测量起始点为上述学校学生正常出入的校门口。有多个进出通道口的，选择距离零售点最短的进出通道口的门边，作为测量起始点。</w:t>
      </w:r>
    </w:p>
    <w:p w14:paraId="62E7A84E">
      <w:pPr>
        <w:pStyle w:val="4"/>
        <w:spacing w:after="0" w:line="360"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14:paraId="3C3CFE1F">
      <w:pPr>
        <w:spacing w:line="360" w:lineRule="auto"/>
        <w:ind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0" distR="0">
            <wp:extent cx="3473450" cy="2622550"/>
            <wp:effectExtent l="0" t="0" r="12700" b="6350"/>
            <wp:docPr id="10" name="图片 10"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56d27789946a0c2406ddfd75b14e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473450" cy="2622550"/>
                    </a:xfrm>
                    <a:prstGeom prst="rect">
                      <a:avLst/>
                    </a:prstGeom>
                    <a:noFill/>
                    <a:ln>
                      <a:noFill/>
                    </a:ln>
                  </pic:spPr>
                </pic:pic>
              </a:graphicData>
            </a:graphic>
          </wp:inline>
        </w:drawing>
      </w:r>
    </w:p>
    <w:p w14:paraId="214E3018">
      <w:pPr>
        <w:spacing w:line="360" w:lineRule="auto"/>
        <w:ind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14:paraId="4A75F8A6">
      <w:pPr>
        <w:pStyle w:val="4"/>
        <w:numPr>
          <w:ilvl w:val="0"/>
          <w:numId w:val="2"/>
        </w:numPr>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之间有道路隔离情形的：</w:t>
      </w:r>
    </w:p>
    <w:p w14:paraId="0D9CFC40">
      <w:pPr>
        <w:pStyle w:val="4"/>
        <w:numPr>
          <w:ilvl w:val="0"/>
          <w:numId w:val="3"/>
        </w:numPr>
        <w:spacing w:after="0" w:line="360"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14:paraId="7774FF26">
      <w:pPr>
        <w:pStyle w:val="4"/>
        <w:spacing w:after="0" w:line="360" w:lineRule="auto"/>
        <w:ind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0" distR="0">
            <wp:extent cx="4908550" cy="3130550"/>
            <wp:effectExtent l="0" t="0" r="0" b="0"/>
            <wp:docPr id="9" name="图片 9"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ba54ecd243e5522fac748aa3cc0758"/>
                    <pic:cNvPicPr>
                      <a:picLocks noChangeAspect="1" noChangeArrowheads="1"/>
                    </pic:cNvPicPr>
                  </pic:nvPicPr>
                  <pic:blipFill>
                    <a:blip r:embed="rId19">
                      <a:clrChange>
                        <a:clrFrom>
                          <a:srgbClr val="FBFCF7"/>
                        </a:clrFrom>
                        <a:clrTo>
                          <a:srgbClr val="FBFCF7">
                            <a:alpha val="0"/>
                          </a:srgbClr>
                        </a:clrTo>
                      </a:clrChange>
                      <a:extLst>
                        <a:ext uri="{28A0092B-C50C-407E-A947-70E740481C1C}">
                          <a14:useLocalDpi xmlns:a14="http://schemas.microsoft.com/office/drawing/2010/main" val="0"/>
                        </a:ext>
                      </a:extLst>
                    </a:blip>
                    <a:srcRect/>
                    <a:stretch>
                      <a:fillRect/>
                    </a:stretch>
                  </pic:blipFill>
                  <pic:spPr>
                    <a:xfrm>
                      <a:off x="0" y="0"/>
                      <a:ext cx="4908550" cy="3130550"/>
                    </a:xfrm>
                    <a:prstGeom prst="rect">
                      <a:avLst/>
                    </a:prstGeom>
                    <a:noFill/>
                    <a:ln>
                      <a:noFill/>
                    </a:ln>
                  </pic:spPr>
                </pic:pic>
              </a:graphicData>
            </a:graphic>
          </wp:inline>
        </w:drawing>
      </w:r>
    </w:p>
    <w:p w14:paraId="2BB8DA4C">
      <w:pPr>
        <w:spacing w:line="360" w:lineRule="auto"/>
        <w:ind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14:paraId="6CAFFE16">
      <w:pPr>
        <w:pStyle w:val="4"/>
        <w:numPr>
          <w:ilvl w:val="0"/>
          <w:numId w:val="3"/>
        </w:numPr>
        <w:spacing w:after="0" w:line="360"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14:paraId="17E32C2C">
      <w:pPr>
        <w:pStyle w:val="4"/>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0" distR="0">
            <wp:extent cx="4222750" cy="2444750"/>
            <wp:effectExtent l="0" t="0" r="6350" b="12700"/>
            <wp:docPr id="8" name="图片 8"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278b0802036915e85f53d70bcbf8a1"/>
                    <pic:cNvPicPr>
                      <a:picLocks noChangeAspect="1" noChangeArrowheads="1"/>
                    </pic:cNvPicPr>
                  </pic:nvPicPr>
                  <pic:blipFill>
                    <a:blip r:embed="rId20">
                      <a:extLst>
                        <a:ext uri="{28A0092B-C50C-407E-A947-70E740481C1C}">
                          <a14:useLocalDpi xmlns:a14="http://schemas.microsoft.com/office/drawing/2010/main" val="0"/>
                        </a:ext>
                      </a:extLst>
                    </a:blip>
                    <a:srcRect t="11409"/>
                    <a:stretch>
                      <a:fillRect/>
                    </a:stretch>
                  </pic:blipFill>
                  <pic:spPr>
                    <a:xfrm>
                      <a:off x="0" y="0"/>
                      <a:ext cx="4222750" cy="2444750"/>
                    </a:xfrm>
                    <a:prstGeom prst="rect">
                      <a:avLst/>
                    </a:prstGeom>
                    <a:noFill/>
                    <a:ln>
                      <a:noFill/>
                    </a:ln>
                  </pic:spPr>
                </pic:pic>
              </a:graphicData>
            </a:graphic>
          </wp:inline>
        </w:drawing>
      </w:r>
      <w:bookmarkStart w:id="0" w:name="attache_title"/>
      <w:bookmarkEnd w:id="0"/>
      <w:bookmarkStart w:id="1" w:name="Fuzhu"/>
      <w:bookmarkEnd w:id="1"/>
    </w:p>
    <w:p w14:paraId="7DB2D8D4">
      <w:pPr>
        <w:spacing w:line="360" w:lineRule="auto"/>
        <w:ind w:right="-512" w:rightChars="-24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14:paraId="4FD19905">
      <w:pPr>
        <w:pStyle w:val="4"/>
        <w:numPr>
          <w:ilvl w:val="0"/>
          <w:numId w:val="2"/>
        </w:numPr>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14:paraId="66D10175">
      <w:pPr>
        <w:spacing w:line="360" w:lineRule="auto"/>
        <w:ind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0" distR="0">
            <wp:extent cx="3854450" cy="2247900"/>
            <wp:effectExtent l="0" t="0" r="12700" b="0"/>
            <wp:docPr id="7" name="图片 7"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f67498772cdcce961f622af2fa86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854450" cy="2247900"/>
                    </a:xfrm>
                    <a:prstGeom prst="rect">
                      <a:avLst/>
                    </a:prstGeom>
                    <a:noFill/>
                    <a:ln>
                      <a:noFill/>
                    </a:ln>
                  </pic:spPr>
                </pic:pic>
              </a:graphicData>
            </a:graphic>
          </wp:inline>
        </w:drawing>
      </w:r>
    </w:p>
    <w:p w14:paraId="40BFAD65">
      <w:pPr>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14:paraId="12CD74A3">
      <w:pPr>
        <w:pStyle w:val="4"/>
        <w:numPr>
          <w:ilvl w:val="0"/>
          <w:numId w:val="2"/>
        </w:numPr>
        <w:spacing w:after="0" w:line="360" w:lineRule="auto"/>
        <w:ind w:right="2"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14:paraId="41826B74">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162550" cy="2216150"/>
            <wp:effectExtent l="0" t="0" r="0" b="12700"/>
            <wp:docPr id="6" name="图片 6"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08fff5a5926b05bdda889babaaeb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162550" cy="2216150"/>
                    </a:xfrm>
                    <a:prstGeom prst="rect">
                      <a:avLst/>
                    </a:prstGeom>
                    <a:noFill/>
                    <a:ln>
                      <a:noFill/>
                    </a:ln>
                  </pic:spPr>
                </pic:pic>
              </a:graphicData>
            </a:graphic>
          </wp:inline>
        </w:drawing>
      </w:r>
    </w:p>
    <w:p w14:paraId="5886B4E9">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14:paraId="3BF6C23A">
      <w:pPr>
        <w:pStyle w:val="4"/>
        <w:numPr>
          <w:ilvl w:val="0"/>
          <w:numId w:val="2"/>
        </w:numPr>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申请点或零售点多门情况</w:t>
      </w:r>
    </w:p>
    <w:p w14:paraId="2BA8192C">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14:paraId="403667A2">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（1）道路同侧情况</w:t>
      </w:r>
    </w:p>
    <w:p w14:paraId="2844F0BD">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14:paraId="0AAAFCD0">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337050" cy="2216150"/>
            <wp:effectExtent l="0" t="0" r="6350" b="12700"/>
            <wp:docPr id="5" name="图片 5"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861e0d0513f560d18e101d62e6c6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rot="10800000" flipH="1" flipV="1">
                      <a:off x="0" y="0"/>
                      <a:ext cx="4337050" cy="2216150"/>
                    </a:xfrm>
                    <a:prstGeom prst="rect">
                      <a:avLst/>
                    </a:prstGeom>
                    <a:noFill/>
                    <a:ln>
                      <a:noFill/>
                    </a:ln>
                  </pic:spPr>
                </pic:pic>
              </a:graphicData>
            </a:graphic>
          </wp:inline>
        </w:drawing>
      </w:r>
    </w:p>
    <w:p w14:paraId="2683D90A">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14:paraId="621C317A">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（2）十字路口情况</w:t>
      </w:r>
    </w:p>
    <w:p w14:paraId="7EBD1683">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A.申请点与参照零售点在十字路口中轴线同一半侧的道路对侧的，取申请点至零售点最近一侧的门边，测量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14:paraId="733C5FE1">
      <w:pPr>
        <w:spacing w:line="360" w:lineRule="auto"/>
        <w:ind w:firstLine="640" w:firstLineChars="200"/>
        <w:jc w:val="center"/>
        <w:rPr>
          <w:rFonts w:ascii="仿宋_GB2312" w:hAnsi="仿宋_GB2312" w:eastAsia="仿宋_GB2312" w:cs="仿宋_GB2312"/>
          <w:sz w:val="32"/>
          <w:szCs w:val="32"/>
        </w:rPr>
      </w:pPr>
    </w:p>
    <w:p w14:paraId="6A89EAB1">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660650" cy="2444750"/>
            <wp:effectExtent l="0" t="0" r="635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660650" cy="2444750"/>
                    </a:xfrm>
                    <a:prstGeom prst="rect">
                      <a:avLst/>
                    </a:prstGeom>
                    <a:noFill/>
                    <a:ln>
                      <a:noFill/>
                    </a:ln>
                  </pic:spPr>
                </pic:pic>
              </a:graphicData>
            </a:graphic>
          </wp:inline>
        </w:drawing>
      </w:r>
    </w:p>
    <w:p w14:paraId="41F33BE4">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14:paraId="2102C743">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B.申请点与参照零售点位于十字路口对角位置的，且路口中间设有交通信号灯、人行横道或过街设施的，应按照交通规则，通过人行横道或过街设施，按申请点最近一侧门边至零售点最近一侧门边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2DE5AC85">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130550" cy="2520950"/>
            <wp:effectExtent l="0" t="0" r="12700" b="12700"/>
            <wp:docPr id="3" name="图片 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91a379882017bdd4fda0c6acf0b3c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0550" cy="2520950"/>
                    </a:xfrm>
                    <a:prstGeom prst="rect">
                      <a:avLst/>
                    </a:prstGeom>
                    <a:noFill/>
                    <a:ln>
                      <a:noFill/>
                    </a:ln>
                  </pic:spPr>
                </pic:pic>
              </a:graphicData>
            </a:graphic>
          </wp:inline>
        </w:drawing>
      </w:r>
    </w:p>
    <w:p w14:paraId="2EC6E50B">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14:paraId="503E7244">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C.申请点与参照零售点位于十字路口对角位置，且路口中间未设有交通信号灯、人行横道或过街设施的，按申请点至零售点最近一侧的门边，测量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449F488A">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333750" cy="2743200"/>
            <wp:effectExtent l="0" t="0" r="0" b="0"/>
            <wp:docPr id="2" name="图片 2"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255d481f7a56990fb4032b60a151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333750" cy="2743200"/>
                    </a:xfrm>
                    <a:prstGeom prst="rect">
                      <a:avLst/>
                    </a:prstGeom>
                    <a:noFill/>
                    <a:ln>
                      <a:noFill/>
                    </a:ln>
                  </pic:spPr>
                </pic:pic>
              </a:graphicData>
            </a:graphic>
          </wp:inline>
        </w:drawing>
      </w:r>
    </w:p>
    <w:p w14:paraId="6E55A8A8">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14:paraId="5A73004D">
      <w:pPr>
        <w:pStyle w:val="4"/>
        <w:numPr>
          <w:ilvl w:val="0"/>
          <w:numId w:val="2"/>
        </w:numPr>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封闭式小区内部、广场等区域零售点的间距测量方法均以原设计道路、人行通道正常安全步行的最短距离进行测量。</w:t>
      </w:r>
    </w:p>
    <w:p w14:paraId="6C08E7F7">
      <w:pPr>
        <w:pStyle w:val="4"/>
        <w:numPr>
          <w:ilvl w:val="0"/>
          <w:numId w:val="2"/>
        </w:numPr>
        <w:spacing w:after="0" w:line="360" w:lineRule="auto"/>
        <w:ind w:right="2" w:firstLine="680" w:firstLineChars="200"/>
        <w:jc w:val="left"/>
        <w:rPr>
          <w:rFonts w:ascii="仿宋_GB2312" w:hAnsi="仿宋_GB2312" w:eastAsia="仿宋_GB2312" w:cs="仿宋_GB2312"/>
          <w:spacing w:val="10"/>
          <w:sz w:val="32"/>
          <w:szCs w:val="32"/>
        </w:rPr>
        <w:sectPr>
          <w:footerReference r:id="rId4" w:type="default"/>
          <w:pgSz w:w="11906" w:h="16838"/>
          <w:pgMar w:top="1440" w:right="1800" w:bottom="1440" w:left="1800" w:header="851" w:footer="992" w:gutter="0"/>
          <w:pgNumType w:fmt="numberInDash"/>
          <w:cols w:space="720" w:num="1"/>
          <w:docGrid w:type="lines" w:linePitch="312" w:charSpace="0"/>
        </w:sectPr>
      </w:pPr>
      <w:r>
        <w:rPr>
          <w:rFonts w:hint="eastAsia" w:ascii="仿宋_GB2312" w:hAnsi="仿宋_GB2312" w:eastAsia="仿宋_GB2312" w:cs="仿宋_GB2312"/>
          <w:spacing w:val="10"/>
          <w:sz w:val="32"/>
          <w:szCs w:val="32"/>
        </w:rPr>
        <w:t>特殊地形测量：因地形、地貌或设计等原因导致道路、通道成不规则形态，通过前述方法无法测量的，以可安全步行最短距离进行测量。</w:t>
      </w:r>
    </w:p>
    <w:p w14:paraId="64ABFA96"/>
    <w:p w14:paraId="328E4DAE">
      <w:pPr>
        <w:spacing w:before="104" w:line="224" w:lineRule="auto"/>
        <w:rPr>
          <w:rFonts w:ascii="黑体" w:hAnsi="黑体" w:eastAsia="黑体" w:cs="黑体"/>
          <w:spacing w:val="8"/>
          <w:sz w:val="32"/>
          <w:szCs w:val="32"/>
        </w:rPr>
      </w:pPr>
      <w:r>
        <w:rPr>
          <w:rFonts w:hint="eastAsia" w:ascii="黑体" w:hAnsi="黑体" w:eastAsia="黑体" w:cs="黑体"/>
          <w:spacing w:val="8"/>
          <w:sz w:val="32"/>
          <w:szCs w:val="32"/>
        </w:rPr>
        <w:t>附件2</w:t>
      </w:r>
    </w:p>
    <w:p w14:paraId="7EE74B6B">
      <w:pPr>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云南省东川区烟草专卖局2025年三季度烟草制品零售点</w:t>
      </w:r>
    </w:p>
    <w:p w14:paraId="48B6B818">
      <w:pPr>
        <w:spacing w:line="317" w:lineRule="auto"/>
        <w:jc w:val="center"/>
        <w:rPr>
          <w:rFonts w:ascii="方正小标宋简体" w:eastAsia="方正小标宋简体"/>
          <w:color w:val="FF0000"/>
          <w:sz w:val="44"/>
          <w:szCs w:val="44"/>
        </w:rPr>
      </w:pPr>
      <w:r>
        <w:rPr>
          <w:rFonts w:hint="eastAsia" w:ascii="方正小标宋简体" w:eastAsia="方正小标宋简体"/>
          <w:sz w:val="44"/>
          <w:szCs w:val="44"/>
        </w:rPr>
        <w:t>合理布局公示表</w:t>
      </w:r>
    </w:p>
    <w:p w14:paraId="33DE728D">
      <w:pPr>
        <w:rPr>
          <w:rFonts w:ascii="方正小标宋简体" w:eastAsia="方正小标宋简体"/>
          <w:color w:val="FF0000"/>
          <w:sz w:val="32"/>
          <w:szCs w:val="32"/>
        </w:rPr>
      </w:pPr>
      <w:r>
        <w:rPr>
          <w:rFonts w:hint="eastAsia"/>
        </w:rPr>
        <w:t>单位：</w:t>
      </w:r>
      <w:r>
        <w:rPr>
          <w:rFonts w:hint="eastAsia" w:ascii="宋体" w:hAnsi="宋体" w:cs="宋体"/>
        </w:rPr>
        <w:t>云南省昆明市东川区烟草专卖局</w:t>
      </w:r>
      <w:r>
        <w:rPr>
          <w:rFonts w:hint="eastAsia"/>
        </w:rPr>
        <w:t>（盖章）                                              公示时间：</w:t>
      </w:r>
      <w:r>
        <w:t>XX年XX月XX日</w:t>
      </w:r>
      <w:r>
        <w:rPr>
          <w:rFonts w:hint="eastAsia"/>
        </w:rPr>
        <w:t>-</w:t>
      </w:r>
      <w:r>
        <w:t>XX年XX月XX日</w:t>
      </w:r>
    </w:p>
    <w:tbl>
      <w:tblPr>
        <w:tblStyle w:val="10"/>
        <w:tblpPr w:leftFromText="180" w:rightFromText="180" w:vertAnchor="text" w:horzAnchor="page" w:tblpXSpec="center" w:tblpY="44"/>
        <w:tblOverlap w:val="never"/>
        <w:tblW w:w="14941" w:type="dxa"/>
        <w:jc w:val="center"/>
        <w:tblLayout w:type="fixed"/>
        <w:tblCellMar>
          <w:top w:w="0" w:type="dxa"/>
          <w:left w:w="108" w:type="dxa"/>
          <w:bottom w:w="0" w:type="dxa"/>
          <w:right w:w="108" w:type="dxa"/>
        </w:tblCellMar>
      </w:tblPr>
      <w:tblGrid>
        <w:gridCol w:w="904"/>
        <w:gridCol w:w="1317"/>
        <w:gridCol w:w="2310"/>
        <w:gridCol w:w="1200"/>
        <w:gridCol w:w="1407"/>
        <w:gridCol w:w="1082"/>
        <w:gridCol w:w="1318"/>
        <w:gridCol w:w="2031"/>
        <w:gridCol w:w="1347"/>
        <w:gridCol w:w="2025"/>
      </w:tblGrid>
      <w:tr w14:paraId="627DAB3E">
        <w:tblPrEx>
          <w:tblCellMar>
            <w:top w:w="0" w:type="dxa"/>
            <w:left w:w="108" w:type="dxa"/>
            <w:bottom w:w="0" w:type="dxa"/>
            <w:right w:w="108" w:type="dxa"/>
          </w:tblCellMar>
        </w:tblPrEx>
        <w:trPr>
          <w:trHeight w:val="449" w:hRule="atLeast"/>
          <w:jc w:val="center"/>
        </w:trPr>
        <w:tc>
          <w:tcPr>
            <w:tcW w:w="904" w:type="dxa"/>
            <w:tcBorders>
              <w:top w:val="single" w:color="000000" w:sz="4" w:space="0"/>
              <w:left w:val="single" w:color="000000" w:sz="4" w:space="0"/>
              <w:bottom w:val="single" w:color="000000" w:sz="4" w:space="0"/>
              <w:right w:val="single" w:color="000000" w:sz="4" w:space="0"/>
            </w:tcBorders>
            <w:vAlign w:val="center"/>
          </w:tcPr>
          <w:p w14:paraId="6534C4F2">
            <w:pPr>
              <w:jc w:val="center"/>
              <w:textAlignment w:val="center"/>
              <w:rPr>
                <w:rFonts w:ascii="宋体" w:hAnsi="宋体" w:cs="宋体"/>
                <w:b/>
                <w:bCs/>
                <w:sz w:val="24"/>
              </w:rPr>
            </w:pPr>
            <w:r>
              <w:rPr>
                <w:rFonts w:hint="eastAsia" w:ascii="宋体" w:hAnsi="宋体" w:cs="宋体"/>
                <w:b/>
                <w:bCs/>
                <w:sz w:val="24"/>
                <w:lang w:bidi="ar"/>
              </w:rPr>
              <w:t>名称</w:t>
            </w:r>
          </w:p>
        </w:tc>
        <w:tc>
          <w:tcPr>
            <w:tcW w:w="3627" w:type="dxa"/>
            <w:gridSpan w:val="2"/>
            <w:tcBorders>
              <w:top w:val="single" w:color="000000" w:sz="4" w:space="0"/>
              <w:left w:val="single" w:color="000000" w:sz="4" w:space="0"/>
              <w:bottom w:val="single" w:color="000000" w:sz="4" w:space="0"/>
              <w:right w:val="single" w:color="000000" w:sz="4" w:space="0"/>
            </w:tcBorders>
            <w:noWrap/>
            <w:vAlign w:val="center"/>
          </w:tcPr>
          <w:p w14:paraId="7BF565D7">
            <w:pPr>
              <w:jc w:val="center"/>
              <w:textAlignment w:val="center"/>
              <w:rPr>
                <w:rFonts w:ascii="宋体" w:hAnsi="宋体" w:cs="宋体"/>
                <w:b/>
                <w:bCs/>
                <w:sz w:val="24"/>
              </w:rPr>
            </w:pPr>
            <w:r>
              <w:rPr>
                <w:rFonts w:hint="eastAsia" w:ascii="宋体" w:hAnsi="宋体" w:cs="宋体"/>
                <w:b/>
                <w:bCs/>
                <w:sz w:val="24"/>
                <w:lang w:bidi="ar"/>
              </w:rPr>
              <w:t>单元网格划分情况</w:t>
            </w:r>
          </w:p>
        </w:tc>
        <w:tc>
          <w:tcPr>
            <w:tcW w:w="3689" w:type="dxa"/>
            <w:gridSpan w:val="3"/>
            <w:tcBorders>
              <w:top w:val="single" w:color="000000" w:sz="4" w:space="0"/>
              <w:left w:val="single" w:color="000000" w:sz="4" w:space="0"/>
              <w:bottom w:val="single" w:color="000000" w:sz="4" w:space="0"/>
              <w:right w:val="single" w:color="000000" w:sz="4" w:space="0"/>
            </w:tcBorders>
            <w:noWrap/>
            <w:vAlign w:val="center"/>
          </w:tcPr>
          <w:p w14:paraId="5A617335">
            <w:pPr>
              <w:jc w:val="center"/>
              <w:textAlignment w:val="center"/>
              <w:rPr>
                <w:rFonts w:ascii="宋体" w:hAnsi="宋体" w:cs="宋体"/>
                <w:b/>
                <w:bCs/>
                <w:sz w:val="24"/>
              </w:rPr>
            </w:pPr>
            <w:r>
              <w:rPr>
                <w:rFonts w:hint="eastAsia" w:ascii="宋体" w:hAnsi="宋体" w:cs="宋体"/>
                <w:b/>
                <w:bCs/>
                <w:sz w:val="24"/>
                <w:lang w:bidi="ar"/>
              </w:rPr>
              <w:t>单元网格数量情况</w:t>
            </w:r>
          </w:p>
        </w:tc>
        <w:tc>
          <w:tcPr>
            <w:tcW w:w="3349" w:type="dxa"/>
            <w:gridSpan w:val="2"/>
            <w:tcBorders>
              <w:top w:val="single" w:color="000000" w:sz="4" w:space="0"/>
              <w:left w:val="single" w:color="000000" w:sz="4" w:space="0"/>
              <w:bottom w:val="single" w:color="000000" w:sz="4" w:space="0"/>
              <w:right w:val="single" w:color="000000" w:sz="4" w:space="0"/>
            </w:tcBorders>
            <w:noWrap/>
            <w:vAlign w:val="center"/>
          </w:tcPr>
          <w:p w14:paraId="2E55BB18">
            <w:pPr>
              <w:jc w:val="center"/>
              <w:textAlignment w:val="center"/>
              <w:rPr>
                <w:rFonts w:ascii="宋体" w:hAnsi="宋体" w:cs="宋体"/>
                <w:b/>
                <w:bCs/>
                <w:sz w:val="24"/>
                <w:lang w:bidi="ar"/>
              </w:rPr>
            </w:pPr>
            <w:r>
              <w:rPr>
                <w:rFonts w:hint="eastAsia" w:ascii="宋体" w:hAnsi="宋体" w:cs="宋体"/>
                <w:b/>
                <w:bCs/>
                <w:sz w:val="24"/>
                <w:lang w:bidi="ar"/>
              </w:rPr>
              <w:t>单元网格距离情况</w:t>
            </w:r>
          </w:p>
        </w:tc>
        <w:tc>
          <w:tcPr>
            <w:tcW w:w="1347" w:type="dxa"/>
            <w:tcBorders>
              <w:top w:val="single" w:color="000000" w:sz="4" w:space="0"/>
              <w:left w:val="single" w:color="000000" w:sz="4" w:space="0"/>
              <w:bottom w:val="single" w:color="000000" w:sz="4" w:space="0"/>
              <w:right w:val="single" w:color="000000" w:sz="4" w:space="0"/>
            </w:tcBorders>
            <w:noWrap/>
            <w:vAlign w:val="center"/>
          </w:tcPr>
          <w:p w14:paraId="66DC23C7">
            <w:pPr>
              <w:jc w:val="center"/>
              <w:textAlignment w:val="center"/>
              <w:rPr>
                <w:rFonts w:ascii="宋体" w:hAnsi="宋体" w:cs="宋体"/>
                <w:b/>
                <w:bCs/>
                <w:sz w:val="24"/>
              </w:rPr>
            </w:pPr>
            <w:r>
              <w:rPr>
                <w:rFonts w:hint="eastAsia" w:ascii="宋体" w:hAnsi="宋体" w:cs="宋体"/>
                <w:b/>
                <w:bCs/>
                <w:sz w:val="24"/>
                <w:lang w:bidi="ar"/>
              </w:rPr>
              <w:t>总量情况</w:t>
            </w:r>
          </w:p>
        </w:tc>
        <w:tc>
          <w:tcPr>
            <w:tcW w:w="2025" w:type="dxa"/>
            <w:vMerge w:val="restart"/>
            <w:tcBorders>
              <w:top w:val="single" w:color="000000" w:sz="4" w:space="0"/>
              <w:left w:val="single" w:color="000000" w:sz="4" w:space="0"/>
              <w:right w:val="single" w:color="000000" w:sz="4" w:space="0"/>
            </w:tcBorders>
            <w:noWrap/>
            <w:vAlign w:val="center"/>
          </w:tcPr>
          <w:p w14:paraId="29B0BB34">
            <w:pPr>
              <w:jc w:val="center"/>
              <w:textAlignment w:val="center"/>
              <w:rPr>
                <w:rFonts w:ascii="宋体" w:hAnsi="宋体" w:cs="宋体"/>
                <w:b/>
                <w:bCs/>
                <w:sz w:val="24"/>
                <w:lang w:bidi="ar"/>
              </w:rPr>
            </w:pPr>
            <w:r>
              <w:rPr>
                <w:rFonts w:hint="eastAsia" w:ascii="宋体" w:hAnsi="宋体" w:cs="宋体"/>
                <w:b/>
                <w:bCs/>
                <w:sz w:val="24"/>
                <w:lang w:bidi="ar"/>
              </w:rPr>
              <w:t>备注</w:t>
            </w:r>
          </w:p>
        </w:tc>
      </w:tr>
      <w:tr w14:paraId="05CF3689">
        <w:tblPrEx>
          <w:tblCellMar>
            <w:top w:w="0" w:type="dxa"/>
            <w:left w:w="108" w:type="dxa"/>
            <w:bottom w:w="0" w:type="dxa"/>
            <w:right w:w="108" w:type="dxa"/>
          </w:tblCellMar>
        </w:tblPrEx>
        <w:trPr>
          <w:trHeight w:val="670" w:hRule="atLeast"/>
          <w:jc w:val="center"/>
        </w:trPr>
        <w:tc>
          <w:tcPr>
            <w:tcW w:w="904" w:type="dxa"/>
            <w:vMerge w:val="restart"/>
            <w:tcBorders>
              <w:top w:val="single" w:color="000000" w:sz="4" w:space="0"/>
              <w:left w:val="single" w:color="000000" w:sz="4" w:space="0"/>
              <w:right w:val="single" w:color="000000" w:sz="4" w:space="0"/>
            </w:tcBorders>
            <w:vAlign w:val="center"/>
          </w:tcPr>
          <w:p w14:paraId="5888174F">
            <w:pPr>
              <w:jc w:val="center"/>
              <w:textAlignment w:val="center"/>
              <w:rPr>
                <w:rFonts w:ascii="宋体" w:hAnsi="宋体" w:cs="宋体"/>
                <w:sz w:val="22"/>
                <w:szCs w:val="22"/>
              </w:rPr>
            </w:pPr>
            <w:r>
              <w:rPr>
                <w:rFonts w:hint="eastAsia" w:ascii="宋体" w:hAnsi="宋体" w:cs="宋体"/>
                <w:sz w:val="22"/>
                <w:szCs w:val="22"/>
                <w:lang w:bidi="ar"/>
              </w:rPr>
              <w:t>东川区</w:t>
            </w:r>
          </w:p>
        </w:tc>
        <w:tc>
          <w:tcPr>
            <w:tcW w:w="1317" w:type="dxa"/>
            <w:tcBorders>
              <w:top w:val="single" w:color="000000" w:sz="4" w:space="0"/>
              <w:left w:val="single" w:color="000000" w:sz="4" w:space="0"/>
              <w:bottom w:val="single" w:color="000000" w:sz="4" w:space="0"/>
              <w:right w:val="single" w:color="000000" w:sz="4" w:space="0"/>
            </w:tcBorders>
            <w:vAlign w:val="center"/>
          </w:tcPr>
          <w:p w14:paraId="0DD6DE55">
            <w:pPr>
              <w:jc w:val="center"/>
              <w:textAlignment w:val="center"/>
              <w:rPr>
                <w:rFonts w:ascii="宋体" w:hAnsi="宋体" w:cs="宋体"/>
                <w:sz w:val="22"/>
                <w:szCs w:val="22"/>
              </w:rPr>
            </w:pPr>
            <w:r>
              <w:rPr>
                <w:rFonts w:hint="eastAsia" w:ascii="宋体" w:hAnsi="宋体" w:cs="宋体"/>
                <w:sz w:val="22"/>
                <w:szCs w:val="22"/>
                <w:lang w:bidi="ar"/>
              </w:rPr>
              <w:t>名称</w:t>
            </w:r>
          </w:p>
        </w:tc>
        <w:tc>
          <w:tcPr>
            <w:tcW w:w="2310" w:type="dxa"/>
            <w:tcBorders>
              <w:top w:val="single" w:color="000000" w:sz="4" w:space="0"/>
              <w:left w:val="single" w:color="000000" w:sz="4" w:space="0"/>
              <w:bottom w:val="single" w:color="000000" w:sz="4" w:space="0"/>
              <w:right w:val="single" w:color="000000" w:sz="4" w:space="0"/>
            </w:tcBorders>
            <w:vAlign w:val="center"/>
          </w:tcPr>
          <w:p w14:paraId="28AB3826">
            <w:pPr>
              <w:jc w:val="center"/>
              <w:textAlignment w:val="center"/>
              <w:rPr>
                <w:rFonts w:ascii="宋体" w:hAnsi="宋体" w:cs="宋体"/>
                <w:sz w:val="22"/>
                <w:szCs w:val="22"/>
              </w:rPr>
            </w:pPr>
            <w:r>
              <w:rPr>
                <w:rFonts w:hint="eastAsia" w:ascii="宋体" w:hAnsi="宋体" w:cs="宋体"/>
                <w:sz w:val="22"/>
                <w:szCs w:val="22"/>
                <w:lang w:bidi="ar"/>
              </w:rPr>
              <w:t>区域描述</w:t>
            </w:r>
          </w:p>
        </w:tc>
        <w:tc>
          <w:tcPr>
            <w:tcW w:w="1200" w:type="dxa"/>
            <w:tcBorders>
              <w:top w:val="single" w:color="000000" w:sz="4" w:space="0"/>
              <w:left w:val="single" w:color="000000" w:sz="4" w:space="0"/>
              <w:bottom w:val="single" w:color="000000" w:sz="4" w:space="0"/>
              <w:right w:val="single" w:color="000000" w:sz="4" w:space="0"/>
            </w:tcBorders>
            <w:vAlign w:val="center"/>
          </w:tcPr>
          <w:p w14:paraId="78CF75E1">
            <w:pPr>
              <w:jc w:val="center"/>
              <w:textAlignment w:val="center"/>
              <w:rPr>
                <w:rFonts w:ascii="宋体" w:hAnsi="宋体" w:cs="宋体"/>
                <w:sz w:val="22"/>
                <w:szCs w:val="22"/>
              </w:rPr>
            </w:pPr>
            <w:r>
              <w:rPr>
                <w:rFonts w:hint="eastAsia" w:ascii="宋体" w:hAnsi="宋体" w:cs="宋体"/>
                <w:sz w:val="22"/>
                <w:szCs w:val="22"/>
                <w:lang w:bidi="ar"/>
              </w:rPr>
              <w:t>规划数（个）</w:t>
            </w:r>
          </w:p>
        </w:tc>
        <w:tc>
          <w:tcPr>
            <w:tcW w:w="1407" w:type="dxa"/>
            <w:tcBorders>
              <w:top w:val="single" w:color="000000" w:sz="4" w:space="0"/>
              <w:left w:val="single" w:color="000000" w:sz="4" w:space="0"/>
              <w:bottom w:val="single" w:color="000000" w:sz="4" w:space="0"/>
              <w:right w:val="single" w:color="000000" w:sz="4" w:space="0"/>
            </w:tcBorders>
            <w:vAlign w:val="center"/>
          </w:tcPr>
          <w:p w14:paraId="425FDCE3">
            <w:pPr>
              <w:jc w:val="center"/>
              <w:textAlignment w:val="center"/>
              <w:rPr>
                <w:rFonts w:ascii="宋体" w:hAnsi="宋体" w:cs="宋体"/>
                <w:sz w:val="22"/>
                <w:szCs w:val="22"/>
              </w:rPr>
            </w:pPr>
            <w:r>
              <w:rPr>
                <w:rFonts w:hint="eastAsia" w:ascii="宋体" w:hAnsi="宋体" w:cs="宋体"/>
                <w:sz w:val="22"/>
                <w:szCs w:val="22"/>
                <w:lang w:bidi="ar"/>
              </w:rPr>
              <w:t>当前实际数（个）</w:t>
            </w:r>
          </w:p>
        </w:tc>
        <w:tc>
          <w:tcPr>
            <w:tcW w:w="1082" w:type="dxa"/>
            <w:tcBorders>
              <w:top w:val="single" w:color="000000" w:sz="4" w:space="0"/>
              <w:left w:val="single" w:color="000000" w:sz="4" w:space="0"/>
              <w:bottom w:val="single" w:color="000000" w:sz="4" w:space="0"/>
              <w:right w:val="single" w:color="000000" w:sz="4" w:space="0"/>
            </w:tcBorders>
            <w:vAlign w:val="center"/>
          </w:tcPr>
          <w:p w14:paraId="4BC2E312">
            <w:pPr>
              <w:jc w:val="center"/>
              <w:textAlignment w:val="center"/>
              <w:rPr>
                <w:rFonts w:ascii="宋体" w:hAnsi="宋体" w:cs="宋体"/>
                <w:sz w:val="22"/>
                <w:szCs w:val="22"/>
              </w:rPr>
            </w:pPr>
            <w:r>
              <w:rPr>
                <w:rFonts w:hint="eastAsia" w:ascii="宋体" w:hAnsi="宋体" w:cs="宋体"/>
                <w:sz w:val="22"/>
                <w:szCs w:val="22"/>
                <w:lang w:bidi="ar"/>
              </w:rPr>
              <w:t>余量（个）</w:t>
            </w:r>
          </w:p>
        </w:tc>
        <w:tc>
          <w:tcPr>
            <w:tcW w:w="1318" w:type="dxa"/>
            <w:tcBorders>
              <w:top w:val="single" w:color="000000" w:sz="4" w:space="0"/>
              <w:left w:val="single" w:color="000000" w:sz="4" w:space="0"/>
              <w:bottom w:val="single" w:color="000000" w:sz="4" w:space="0"/>
              <w:right w:val="single" w:color="000000" w:sz="4" w:space="0"/>
            </w:tcBorders>
            <w:vAlign w:val="center"/>
          </w:tcPr>
          <w:p w14:paraId="350EBFE3">
            <w:pPr>
              <w:jc w:val="center"/>
              <w:textAlignment w:val="center"/>
              <w:rPr>
                <w:rFonts w:ascii="宋体" w:hAnsi="宋体" w:cs="宋体"/>
                <w:sz w:val="22"/>
                <w:szCs w:val="22"/>
                <w:lang w:bidi="ar"/>
              </w:rPr>
            </w:pPr>
            <w:r>
              <w:rPr>
                <w:rFonts w:hint="eastAsia" w:ascii="宋体" w:hAnsi="宋体" w:cs="宋体"/>
                <w:sz w:val="22"/>
                <w:szCs w:val="22"/>
                <w:lang w:bidi="ar"/>
              </w:rPr>
              <w:t>零售点间距</w:t>
            </w:r>
          </w:p>
          <w:p w14:paraId="22E4A1EC">
            <w:pPr>
              <w:jc w:val="center"/>
              <w:textAlignment w:val="center"/>
              <w:rPr>
                <w:rFonts w:ascii="宋体" w:hAnsi="宋体" w:cs="宋体"/>
                <w:sz w:val="22"/>
                <w:szCs w:val="22"/>
              </w:rPr>
            </w:pPr>
            <w:r>
              <w:rPr>
                <w:rFonts w:hint="eastAsia" w:ascii="宋体" w:hAnsi="宋体" w:cs="宋体"/>
                <w:sz w:val="22"/>
                <w:szCs w:val="22"/>
                <w:lang w:bidi="ar"/>
              </w:rPr>
              <w:t>（米）</w:t>
            </w:r>
          </w:p>
        </w:tc>
        <w:tc>
          <w:tcPr>
            <w:tcW w:w="2031" w:type="dxa"/>
            <w:tcBorders>
              <w:top w:val="single" w:color="000000" w:sz="4" w:space="0"/>
              <w:left w:val="single" w:color="000000" w:sz="4" w:space="0"/>
              <w:bottom w:val="single" w:color="000000" w:sz="4" w:space="0"/>
              <w:right w:val="single" w:color="000000" w:sz="4" w:space="0"/>
            </w:tcBorders>
            <w:vAlign w:val="center"/>
          </w:tcPr>
          <w:p w14:paraId="67ACCAA9">
            <w:pPr>
              <w:jc w:val="center"/>
              <w:textAlignment w:val="center"/>
              <w:rPr>
                <w:rFonts w:ascii="宋体" w:hAnsi="宋体" w:cs="宋体"/>
                <w:sz w:val="22"/>
                <w:szCs w:val="22"/>
              </w:rPr>
            </w:pPr>
            <w:r>
              <w:rPr>
                <w:rFonts w:hint="eastAsia" w:ascii="宋体" w:hAnsi="宋体" w:cs="宋体"/>
                <w:sz w:val="22"/>
                <w:szCs w:val="22"/>
                <w:lang w:bidi="ar"/>
              </w:rPr>
              <w:t>其他条件描述</w:t>
            </w:r>
          </w:p>
        </w:tc>
        <w:tc>
          <w:tcPr>
            <w:tcW w:w="1347" w:type="dxa"/>
            <w:tcBorders>
              <w:top w:val="single" w:color="000000" w:sz="4" w:space="0"/>
              <w:left w:val="single" w:color="000000" w:sz="4" w:space="0"/>
              <w:bottom w:val="single" w:color="auto" w:sz="4" w:space="0"/>
              <w:right w:val="single" w:color="000000" w:sz="4" w:space="0"/>
            </w:tcBorders>
            <w:vAlign w:val="center"/>
          </w:tcPr>
          <w:p w14:paraId="12E8AFB4">
            <w:pPr>
              <w:jc w:val="center"/>
              <w:textAlignment w:val="center"/>
              <w:rPr>
                <w:rFonts w:ascii="宋体" w:hAnsi="宋体" w:cs="宋体"/>
                <w:sz w:val="22"/>
                <w:szCs w:val="22"/>
              </w:rPr>
            </w:pPr>
            <w:r>
              <w:rPr>
                <w:rFonts w:hint="eastAsia" w:ascii="宋体" w:hAnsi="宋体" w:cs="宋体"/>
                <w:sz w:val="22"/>
                <w:szCs w:val="22"/>
                <w:lang w:bidi="ar"/>
              </w:rPr>
              <w:t>东川区当期总量规划数（个）</w:t>
            </w:r>
          </w:p>
        </w:tc>
        <w:tc>
          <w:tcPr>
            <w:tcW w:w="2025" w:type="dxa"/>
            <w:vMerge w:val="continue"/>
            <w:tcBorders>
              <w:left w:val="single" w:color="000000" w:sz="4" w:space="0"/>
              <w:bottom w:val="single" w:color="auto" w:sz="4" w:space="0"/>
              <w:right w:val="single" w:color="000000" w:sz="4" w:space="0"/>
            </w:tcBorders>
            <w:vAlign w:val="center"/>
          </w:tcPr>
          <w:p w14:paraId="177ACE9B">
            <w:pPr>
              <w:jc w:val="center"/>
              <w:textAlignment w:val="center"/>
              <w:rPr>
                <w:rFonts w:ascii="宋体" w:hAnsi="宋体" w:cs="宋体"/>
                <w:sz w:val="22"/>
                <w:szCs w:val="22"/>
              </w:rPr>
            </w:pPr>
          </w:p>
        </w:tc>
      </w:tr>
      <w:tr w14:paraId="456BFF17">
        <w:tblPrEx>
          <w:tblCellMar>
            <w:top w:w="0" w:type="dxa"/>
            <w:left w:w="108" w:type="dxa"/>
            <w:bottom w:w="0" w:type="dxa"/>
            <w:right w:w="108" w:type="dxa"/>
          </w:tblCellMar>
        </w:tblPrEx>
        <w:trPr>
          <w:trHeight w:val="1857" w:hRule="atLeast"/>
          <w:jc w:val="center"/>
        </w:trPr>
        <w:tc>
          <w:tcPr>
            <w:tcW w:w="904" w:type="dxa"/>
            <w:vMerge w:val="continue"/>
            <w:tcBorders>
              <w:left w:val="single" w:color="000000" w:sz="4" w:space="0"/>
              <w:right w:val="single" w:color="000000" w:sz="4" w:space="0"/>
            </w:tcBorders>
            <w:vAlign w:val="center"/>
          </w:tcPr>
          <w:p w14:paraId="5BF8C8F2">
            <w:pPr>
              <w:jc w:val="center"/>
              <w:rPr>
                <w:rFonts w:ascii="宋体" w:hAnsi="宋体" w:cs="宋体"/>
                <w:sz w:val="22"/>
                <w:szCs w:val="22"/>
              </w:rPr>
            </w:pPr>
          </w:p>
        </w:tc>
        <w:tc>
          <w:tcPr>
            <w:tcW w:w="1317" w:type="dxa"/>
            <w:vMerge w:val="restart"/>
            <w:tcBorders>
              <w:top w:val="single" w:color="000000" w:sz="4" w:space="0"/>
              <w:left w:val="single" w:color="000000" w:sz="4" w:space="0"/>
              <w:right w:val="single" w:color="000000" w:sz="4" w:space="0"/>
            </w:tcBorders>
            <w:vAlign w:val="center"/>
          </w:tcPr>
          <w:p w14:paraId="2F817E90">
            <w:pPr>
              <w:jc w:val="center"/>
              <w:rPr>
                <w:rFonts w:ascii="宋体" w:hAnsi="宋体" w:cs="宋体"/>
                <w:sz w:val="22"/>
                <w:szCs w:val="22"/>
              </w:rPr>
            </w:pPr>
            <w:r>
              <w:rPr>
                <w:rFonts w:hint="eastAsia" w:ascii="宋体" w:hAnsi="宋体" w:cs="宋体"/>
                <w:sz w:val="22"/>
                <w:szCs w:val="22"/>
              </w:rPr>
              <w:t>铜都街道</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2702B">
            <w:pPr>
              <w:widowControl/>
              <w:spacing w:beforeAutospacing="1" w:afterAutospacing="1"/>
              <w:jc w:val="center"/>
              <w:rPr>
                <w:rFonts w:ascii="宋体" w:hAnsi="宋体" w:cs="宋体"/>
                <w:sz w:val="21"/>
                <w:szCs w:val="21"/>
              </w:rPr>
            </w:pPr>
            <w:r>
              <w:rPr>
                <w:rFonts w:hint="eastAsia" w:ascii="宋体" w:hAnsi="宋体" w:cs="宋体"/>
                <w:sz w:val="21"/>
                <w:szCs w:val="21"/>
              </w:rPr>
              <w:t>铜都街道城</w:t>
            </w:r>
            <w:r>
              <w:rPr>
                <w:rFonts w:hint="eastAsia" w:ascii="宋体" w:hAnsi="宋体" w:cs="宋体"/>
                <w:sz w:val="21"/>
                <w:szCs w:val="21"/>
                <w:lang w:val="en-US" w:eastAsia="zh-CN"/>
              </w:rPr>
              <w:t>区</w:t>
            </w:r>
            <w:r>
              <w:rPr>
                <w:rFonts w:hint="eastAsia" w:ascii="宋体" w:hAnsi="宋体" w:cs="宋体"/>
                <w:sz w:val="21"/>
                <w:szCs w:val="21"/>
              </w:rPr>
              <w:t>：京铜、碧云、桂苑、沙坝、白云、金桥、祥和、尼拉姑、石羊、达贝、集义、炎山、深沟、腊利、铜源、铜晖社区</w:t>
            </w:r>
          </w:p>
        </w:tc>
        <w:tc>
          <w:tcPr>
            <w:tcW w:w="1200" w:type="dxa"/>
            <w:tcBorders>
              <w:top w:val="single" w:color="000000" w:sz="4" w:space="0"/>
              <w:left w:val="single" w:color="000000" w:sz="4" w:space="0"/>
              <w:bottom w:val="single" w:color="000000" w:sz="4" w:space="0"/>
              <w:right w:val="single" w:color="000000" w:sz="4" w:space="0"/>
            </w:tcBorders>
            <w:vAlign w:val="center"/>
          </w:tcPr>
          <w:p w14:paraId="2B49D201">
            <w:pPr>
              <w:jc w:val="center"/>
              <w:textAlignment w:val="center"/>
              <w:rPr>
                <w:rFonts w:hint="eastAsia" w:ascii="宋体" w:hAnsi="宋体" w:eastAsia="宋体" w:cs="宋体"/>
                <w:sz w:val="22"/>
                <w:szCs w:val="22"/>
                <w:lang w:eastAsia="zh-CN"/>
              </w:rPr>
            </w:pPr>
            <w:r>
              <w:rPr>
                <w:rFonts w:hint="eastAsia" w:ascii="宋体" w:hAnsi="宋体" w:cs="宋体"/>
                <w:sz w:val="22"/>
                <w:szCs w:val="22"/>
              </w:rPr>
              <w:t>38</w:t>
            </w:r>
            <w:r>
              <w:rPr>
                <w:rFonts w:hint="eastAsia" w:ascii="宋体" w:hAnsi="宋体" w:cs="宋体"/>
                <w:sz w:val="22"/>
                <w:szCs w:val="22"/>
                <w:lang w:val="en-US" w:eastAsia="zh-CN"/>
              </w:rPr>
              <w:t>4</w:t>
            </w:r>
          </w:p>
        </w:tc>
        <w:tc>
          <w:tcPr>
            <w:tcW w:w="1407" w:type="dxa"/>
            <w:tcBorders>
              <w:top w:val="single" w:color="000000" w:sz="4" w:space="0"/>
              <w:left w:val="single" w:color="000000" w:sz="4" w:space="0"/>
              <w:bottom w:val="single" w:color="000000" w:sz="4" w:space="0"/>
              <w:right w:val="single" w:color="000000" w:sz="4" w:space="0"/>
            </w:tcBorders>
            <w:vAlign w:val="center"/>
          </w:tcPr>
          <w:p w14:paraId="2309F0E0">
            <w:pPr>
              <w:jc w:val="center"/>
              <w:textAlignment w:val="center"/>
              <w:rPr>
                <w:rFonts w:ascii="宋体" w:hAnsi="宋体" w:cs="宋体"/>
                <w:sz w:val="22"/>
                <w:szCs w:val="22"/>
              </w:rPr>
            </w:pPr>
            <w:r>
              <w:rPr>
                <w:rFonts w:hint="eastAsia" w:ascii="宋体" w:hAnsi="宋体" w:cs="宋体"/>
                <w:sz w:val="22"/>
                <w:szCs w:val="22"/>
              </w:rPr>
              <w:t>382</w:t>
            </w:r>
          </w:p>
        </w:tc>
        <w:tc>
          <w:tcPr>
            <w:tcW w:w="1082" w:type="dxa"/>
            <w:tcBorders>
              <w:top w:val="single" w:color="000000" w:sz="4" w:space="0"/>
              <w:left w:val="single" w:color="000000" w:sz="4" w:space="0"/>
              <w:bottom w:val="single" w:color="000000" w:sz="4" w:space="0"/>
              <w:right w:val="single" w:color="000000" w:sz="4" w:space="0"/>
            </w:tcBorders>
            <w:vAlign w:val="center"/>
          </w:tcPr>
          <w:p w14:paraId="2BACD292">
            <w:pPr>
              <w:jc w:val="center"/>
              <w:textAlignment w:val="center"/>
              <w:rPr>
                <w:rFonts w:hint="eastAsia" w:ascii="宋体" w:hAnsi="宋体" w:eastAsia="宋体" w:cs="宋体"/>
                <w:sz w:val="22"/>
                <w:szCs w:val="22"/>
                <w:lang w:eastAsia="zh-CN"/>
              </w:rPr>
            </w:pPr>
            <w:r>
              <w:rPr>
                <w:rFonts w:hint="eastAsia" w:ascii="宋体" w:hAnsi="宋体" w:cs="宋体"/>
                <w:sz w:val="22"/>
                <w:szCs w:val="22"/>
                <w:lang w:val="en-US" w:eastAsia="zh-CN"/>
              </w:rPr>
              <w:t>2</w:t>
            </w:r>
          </w:p>
        </w:tc>
        <w:tc>
          <w:tcPr>
            <w:tcW w:w="1318" w:type="dxa"/>
            <w:tcBorders>
              <w:top w:val="single" w:color="000000" w:sz="4" w:space="0"/>
              <w:left w:val="single" w:color="000000" w:sz="4" w:space="0"/>
              <w:bottom w:val="single" w:color="000000" w:sz="4" w:space="0"/>
              <w:right w:val="single" w:color="000000" w:sz="4" w:space="0"/>
            </w:tcBorders>
            <w:vAlign w:val="center"/>
          </w:tcPr>
          <w:p w14:paraId="4552246B">
            <w:pPr>
              <w:jc w:val="center"/>
              <w:textAlignment w:val="center"/>
              <w:rPr>
                <w:rFonts w:ascii="宋体" w:hAnsi="宋体" w:cs="宋体"/>
                <w:sz w:val="22"/>
                <w:szCs w:val="22"/>
              </w:rPr>
            </w:pPr>
            <w:r>
              <w:rPr>
                <w:rFonts w:hint="eastAsia" w:ascii="宋体" w:hAnsi="宋体" w:cs="宋体"/>
                <w:sz w:val="22"/>
                <w:szCs w:val="22"/>
              </w:rPr>
              <w:t>80</w:t>
            </w:r>
          </w:p>
        </w:tc>
        <w:tc>
          <w:tcPr>
            <w:tcW w:w="2031" w:type="dxa"/>
            <w:tcBorders>
              <w:top w:val="single" w:color="000000" w:sz="4" w:space="0"/>
              <w:left w:val="single" w:color="000000" w:sz="4" w:space="0"/>
              <w:bottom w:val="single" w:color="000000" w:sz="4" w:space="0"/>
              <w:right w:val="single" w:color="auto" w:sz="4" w:space="0"/>
            </w:tcBorders>
          </w:tcPr>
          <w:p w14:paraId="1E96B9A2">
            <w:pPr>
              <w:textAlignment w:val="top"/>
              <w:rPr>
                <w:rFonts w:ascii="宋体" w:hAnsi="宋体" w:cs="宋体"/>
                <w:sz w:val="21"/>
                <w:szCs w:val="21"/>
                <w:highlight w:val="none"/>
              </w:rPr>
            </w:pPr>
            <w:r>
              <w:rPr>
                <w:rFonts w:hint="eastAsia" w:ascii="宋体" w:hAnsi="宋体" w:cs="宋体"/>
                <w:sz w:val="21"/>
                <w:szCs w:val="21"/>
              </w:rPr>
              <w:t>需满足东川区烟草制品零售点合理布局规划的其他规定</w:t>
            </w:r>
          </w:p>
        </w:tc>
        <w:tc>
          <w:tcPr>
            <w:tcW w:w="1347" w:type="dxa"/>
            <w:vMerge w:val="restart"/>
            <w:tcBorders>
              <w:top w:val="single" w:color="auto" w:sz="4" w:space="0"/>
              <w:left w:val="single" w:color="auto" w:sz="4" w:space="0"/>
              <w:right w:val="single" w:color="auto" w:sz="4" w:space="0"/>
            </w:tcBorders>
            <w:vAlign w:val="center"/>
          </w:tcPr>
          <w:p w14:paraId="6E20F55B">
            <w:pPr>
              <w:jc w:val="center"/>
              <w:textAlignment w:val="center"/>
              <w:rPr>
                <w:rFonts w:hint="eastAsia" w:ascii="宋体" w:hAnsi="宋体" w:eastAsia="宋体" w:cs="宋体"/>
                <w:sz w:val="22"/>
                <w:szCs w:val="22"/>
                <w:highlight w:val="none"/>
                <w:lang w:eastAsia="zh-CN"/>
              </w:rPr>
            </w:pPr>
            <w:r>
              <w:rPr>
                <w:rFonts w:hint="eastAsia" w:ascii="宋体" w:hAnsi="宋体" w:cs="宋体"/>
                <w:sz w:val="22"/>
                <w:szCs w:val="22"/>
                <w:highlight w:val="none"/>
              </w:rPr>
              <w:t>117</w:t>
            </w:r>
            <w:r>
              <w:rPr>
                <w:rFonts w:hint="eastAsia" w:ascii="宋体" w:hAnsi="宋体" w:cs="宋体"/>
                <w:sz w:val="22"/>
                <w:szCs w:val="22"/>
                <w:highlight w:val="none"/>
                <w:lang w:val="en-US" w:eastAsia="zh-CN"/>
              </w:rPr>
              <w:t>4</w:t>
            </w:r>
          </w:p>
        </w:tc>
        <w:tc>
          <w:tcPr>
            <w:tcW w:w="2025" w:type="dxa"/>
            <w:vMerge w:val="restart"/>
            <w:tcBorders>
              <w:top w:val="single" w:color="auto" w:sz="4" w:space="0"/>
              <w:left w:val="single" w:color="auto" w:sz="4" w:space="0"/>
              <w:right w:val="single" w:color="auto" w:sz="4" w:space="0"/>
            </w:tcBorders>
            <w:vAlign w:val="center"/>
          </w:tcPr>
          <w:p w14:paraId="6C306F32">
            <w:pPr>
              <w:rPr>
                <w:rFonts w:ascii="宋体" w:hAnsi="宋体" w:cs="宋体"/>
                <w:sz w:val="22"/>
                <w:szCs w:val="22"/>
              </w:rPr>
            </w:pPr>
            <w:r>
              <w:rPr>
                <w:rFonts w:ascii="宋体" w:hAnsi="宋体" w:cs="宋体"/>
                <w:sz w:val="22"/>
                <w:szCs w:val="22"/>
              </w:rPr>
              <w:t>符合《云南省昆明市</w:t>
            </w:r>
            <w:r>
              <w:rPr>
                <w:rFonts w:hint="eastAsia" w:ascii="宋体" w:hAnsi="宋体" w:cs="宋体"/>
                <w:sz w:val="22"/>
                <w:szCs w:val="22"/>
              </w:rPr>
              <w:t>东川区</w:t>
            </w:r>
            <w:r>
              <w:rPr>
                <w:rFonts w:ascii="宋体" w:hAnsi="宋体" w:cs="宋体"/>
                <w:sz w:val="22"/>
                <w:szCs w:val="22"/>
              </w:rPr>
              <w:t>烟草制品零售点合理布局规划》的经营户，本期</w:t>
            </w:r>
            <w:r>
              <w:rPr>
                <w:rFonts w:hint="eastAsia" w:ascii="宋体" w:hAnsi="宋体" w:cs="宋体"/>
                <w:sz w:val="22"/>
                <w:szCs w:val="22"/>
              </w:rPr>
              <w:t>共计</w:t>
            </w:r>
            <w:r>
              <w:rPr>
                <w:rFonts w:ascii="宋体" w:hAnsi="宋体" w:cs="宋体"/>
                <w:sz w:val="22"/>
                <w:szCs w:val="22"/>
              </w:rPr>
              <w:t>规划</w:t>
            </w:r>
            <w:r>
              <w:rPr>
                <w:rFonts w:hint="eastAsia" w:ascii="宋体" w:hAnsi="宋体" w:cs="宋体"/>
                <w:sz w:val="22"/>
                <w:szCs w:val="22"/>
              </w:rPr>
              <w:t>新增</w:t>
            </w:r>
            <w:r>
              <w:rPr>
                <w:rFonts w:hint="eastAsia" w:ascii="宋体" w:hAnsi="宋体" w:cs="宋体"/>
                <w:sz w:val="24"/>
                <w:lang w:val="en-US" w:eastAsia="zh-CN"/>
              </w:rPr>
              <w:t>8</w:t>
            </w:r>
            <w:r>
              <w:rPr>
                <w:rFonts w:ascii="宋体" w:hAnsi="宋体" w:cs="宋体"/>
                <w:sz w:val="22"/>
                <w:szCs w:val="22"/>
              </w:rPr>
              <w:t>个零售点</w:t>
            </w:r>
            <w:r>
              <w:rPr>
                <w:rFonts w:hint="eastAsia" w:ascii="宋体" w:hAnsi="宋体" w:cs="宋体"/>
                <w:sz w:val="22"/>
                <w:szCs w:val="22"/>
              </w:rPr>
              <w:t>，不受距离和数量限制的特殊区域除外</w:t>
            </w:r>
            <w:r>
              <w:rPr>
                <w:rFonts w:ascii="宋体" w:hAnsi="宋体" w:cs="宋体"/>
                <w:sz w:val="22"/>
                <w:szCs w:val="22"/>
              </w:rPr>
              <w:t>。</w:t>
            </w:r>
          </w:p>
        </w:tc>
      </w:tr>
      <w:tr w14:paraId="70C823B4">
        <w:tblPrEx>
          <w:tblCellMar>
            <w:top w:w="0" w:type="dxa"/>
            <w:left w:w="108" w:type="dxa"/>
            <w:bottom w:w="0" w:type="dxa"/>
            <w:right w:w="108" w:type="dxa"/>
          </w:tblCellMar>
        </w:tblPrEx>
        <w:trPr>
          <w:trHeight w:val="464" w:hRule="atLeast"/>
          <w:jc w:val="center"/>
        </w:trPr>
        <w:tc>
          <w:tcPr>
            <w:tcW w:w="904" w:type="dxa"/>
            <w:vMerge w:val="continue"/>
            <w:tcBorders>
              <w:left w:val="single" w:color="000000" w:sz="4" w:space="0"/>
              <w:right w:val="single" w:color="000000" w:sz="4" w:space="0"/>
            </w:tcBorders>
            <w:vAlign w:val="center"/>
          </w:tcPr>
          <w:p w14:paraId="33533524">
            <w:pPr>
              <w:jc w:val="center"/>
              <w:rPr>
                <w:rFonts w:ascii="宋体" w:hAnsi="宋体" w:cs="宋体"/>
                <w:sz w:val="22"/>
                <w:szCs w:val="22"/>
              </w:rPr>
            </w:pPr>
          </w:p>
        </w:tc>
        <w:tc>
          <w:tcPr>
            <w:tcW w:w="1317" w:type="dxa"/>
            <w:vMerge w:val="continue"/>
            <w:tcBorders>
              <w:left w:val="single" w:color="000000" w:sz="4" w:space="0"/>
              <w:bottom w:val="single" w:color="000000" w:sz="4" w:space="0"/>
              <w:right w:val="single" w:color="000000" w:sz="4" w:space="0"/>
            </w:tcBorders>
            <w:vAlign w:val="center"/>
          </w:tcPr>
          <w:p w14:paraId="73A813AA">
            <w:pPr>
              <w:jc w:val="center"/>
              <w:rPr>
                <w:rFonts w:ascii="宋体" w:hAnsi="宋体" w:cs="宋体"/>
                <w:sz w:val="22"/>
                <w:szCs w:val="22"/>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E385D">
            <w:pPr>
              <w:widowControl/>
              <w:spacing w:beforeAutospacing="1" w:afterAutospacing="1"/>
              <w:jc w:val="center"/>
              <w:rPr>
                <w:rFonts w:ascii="宋体" w:hAnsi="宋体" w:cs="宋体"/>
                <w:sz w:val="21"/>
                <w:szCs w:val="21"/>
              </w:rPr>
            </w:pPr>
            <w:r>
              <w:rPr>
                <w:rFonts w:hint="eastAsia" w:ascii="宋体" w:hAnsi="宋体" w:cs="宋体"/>
                <w:sz w:val="21"/>
                <w:szCs w:val="21"/>
              </w:rPr>
              <w:t>铜都街道农</w:t>
            </w:r>
            <w:r>
              <w:rPr>
                <w:rFonts w:hint="eastAsia" w:ascii="宋体" w:hAnsi="宋体" w:cs="宋体"/>
                <w:sz w:val="21"/>
                <w:szCs w:val="21"/>
                <w:lang w:val="en-US" w:eastAsia="zh-CN"/>
              </w:rPr>
              <w:t>村区域</w:t>
            </w:r>
            <w:r>
              <w:rPr>
                <w:rFonts w:hint="eastAsia" w:ascii="宋体" w:hAnsi="宋体" w:cs="宋体"/>
                <w:sz w:val="21"/>
                <w:szCs w:val="21"/>
              </w:rPr>
              <w:t>：木树朗、小牛厂、奔多、赖石窝、岩脚、姑海、达德、新村、野牛、陷塘村</w:t>
            </w:r>
          </w:p>
        </w:tc>
        <w:tc>
          <w:tcPr>
            <w:tcW w:w="1200" w:type="dxa"/>
            <w:tcBorders>
              <w:top w:val="single" w:color="000000" w:sz="4" w:space="0"/>
              <w:left w:val="single" w:color="000000" w:sz="4" w:space="0"/>
              <w:bottom w:val="single" w:color="000000" w:sz="4" w:space="0"/>
              <w:right w:val="single" w:color="000000" w:sz="4" w:space="0"/>
            </w:tcBorders>
            <w:vAlign w:val="center"/>
          </w:tcPr>
          <w:p w14:paraId="290393A3">
            <w:pPr>
              <w:jc w:val="center"/>
              <w:textAlignment w:val="center"/>
              <w:rPr>
                <w:rFonts w:ascii="宋体" w:hAnsi="宋体" w:cs="宋体"/>
                <w:sz w:val="22"/>
                <w:szCs w:val="22"/>
              </w:rPr>
            </w:pPr>
            <w:r>
              <w:rPr>
                <w:rFonts w:hint="eastAsia" w:ascii="宋体" w:hAnsi="宋体" w:cs="宋体"/>
                <w:sz w:val="22"/>
                <w:szCs w:val="22"/>
              </w:rPr>
              <w:t>29</w:t>
            </w:r>
          </w:p>
        </w:tc>
        <w:tc>
          <w:tcPr>
            <w:tcW w:w="1407" w:type="dxa"/>
            <w:tcBorders>
              <w:top w:val="single" w:color="000000" w:sz="4" w:space="0"/>
              <w:left w:val="single" w:color="000000" w:sz="4" w:space="0"/>
              <w:bottom w:val="single" w:color="000000" w:sz="4" w:space="0"/>
              <w:right w:val="single" w:color="000000" w:sz="4" w:space="0"/>
            </w:tcBorders>
            <w:vAlign w:val="center"/>
          </w:tcPr>
          <w:p w14:paraId="7C987177">
            <w:pPr>
              <w:jc w:val="center"/>
              <w:textAlignment w:val="center"/>
              <w:rPr>
                <w:rFonts w:ascii="宋体" w:hAnsi="宋体" w:cs="宋体"/>
                <w:sz w:val="22"/>
                <w:szCs w:val="22"/>
              </w:rPr>
            </w:pPr>
            <w:r>
              <w:rPr>
                <w:rFonts w:hint="eastAsia" w:ascii="宋体" w:hAnsi="宋体" w:cs="宋体"/>
                <w:sz w:val="22"/>
                <w:szCs w:val="22"/>
              </w:rPr>
              <w:t>29</w:t>
            </w:r>
          </w:p>
        </w:tc>
        <w:tc>
          <w:tcPr>
            <w:tcW w:w="1082" w:type="dxa"/>
            <w:tcBorders>
              <w:top w:val="single" w:color="000000" w:sz="4" w:space="0"/>
              <w:left w:val="single" w:color="000000" w:sz="4" w:space="0"/>
              <w:bottom w:val="single" w:color="000000" w:sz="4" w:space="0"/>
              <w:right w:val="single" w:color="000000" w:sz="4" w:space="0"/>
            </w:tcBorders>
            <w:vAlign w:val="center"/>
          </w:tcPr>
          <w:p w14:paraId="62841780">
            <w:pPr>
              <w:jc w:val="center"/>
              <w:textAlignment w:val="center"/>
              <w:rPr>
                <w:rFonts w:ascii="宋体" w:hAnsi="宋体" w:cs="宋体"/>
                <w:sz w:val="22"/>
                <w:szCs w:val="22"/>
              </w:rPr>
            </w:pPr>
            <w:r>
              <w:rPr>
                <w:rFonts w:hint="eastAsia" w:ascii="宋体" w:hAnsi="宋体" w:cs="宋体"/>
                <w:sz w:val="22"/>
                <w:szCs w:val="22"/>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6FBA14D6">
            <w:pPr>
              <w:jc w:val="center"/>
              <w:textAlignment w:val="center"/>
              <w:rPr>
                <w:rFonts w:ascii="宋体" w:hAnsi="宋体" w:cs="宋体"/>
                <w:sz w:val="22"/>
                <w:szCs w:val="22"/>
              </w:rPr>
            </w:pPr>
            <w:r>
              <w:rPr>
                <w:rFonts w:hint="eastAsia" w:ascii="宋体" w:hAnsi="宋体" w:cs="宋体"/>
                <w:sz w:val="22"/>
                <w:szCs w:val="22"/>
              </w:rPr>
              <w:t>50</w:t>
            </w:r>
          </w:p>
        </w:tc>
        <w:tc>
          <w:tcPr>
            <w:tcW w:w="2031" w:type="dxa"/>
            <w:tcBorders>
              <w:top w:val="single" w:color="000000" w:sz="4" w:space="0"/>
              <w:left w:val="single" w:color="000000" w:sz="4" w:space="0"/>
              <w:bottom w:val="single" w:color="000000" w:sz="4" w:space="0"/>
              <w:right w:val="single" w:color="auto" w:sz="4" w:space="0"/>
            </w:tcBorders>
          </w:tcPr>
          <w:p w14:paraId="07AEC483">
            <w:pPr>
              <w:textAlignment w:val="top"/>
              <w:rPr>
                <w:rFonts w:ascii="宋体" w:hAnsi="宋体" w:cs="宋体"/>
                <w:sz w:val="21"/>
                <w:szCs w:val="21"/>
              </w:rPr>
            </w:pPr>
            <w:r>
              <w:rPr>
                <w:rFonts w:hint="eastAsia" w:ascii="宋体" w:hAnsi="宋体" w:cs="宋体"/>
                <w:sz w:val="21"/>
                <w:szCs w:val="21"/>
              </w:rPr>
              <w:t>需满足东川区烟草制品零售点合理布局规划的其他规定</w:t>
            </w:r>
          </w:p>
        </w:tc>
        <w:tc>
          <w:tcPr>
            <w:tcW w:w="1347" w:type="dxa"/>
            <w:vMerge w:val="continue"/>
            <w:tcBorders>
              <w:left w:val="single" w:color="auto" w:sz="4" w:space="0"/>
              <w:right w:val="single" w:color="auto" w:sz="4" w:space="0"/>
            </w:tcBorders>
            <w:vAlign w:val="center"/>
          </w:tcPr>
          <w:p w14:paraId="0E2D7B12">
            <w:pPr>
              <w:jc w:val="center"/>
              <w:textAlignment w:val="center"/>
              <w:rPr>
                <w:rFonts w:ascii="宋体" w:hAnsi="宋体" w:cs="宋体"/>
                <w:sz w:val="22"/>
                <w:szCs w:val="22"/>
              </w:rPr>
            </w:pPr>
          </w:p>
        </w:tc>
        <w:tc>
          <w:tcPr>
            <w:tcW w:w="2025" w:type="dxa"/>
            <w:vMerge w:val="continue"/>
            <w:tcBorders>
              <w:left w:val="single" w:color="auto" w:sz="4" w:space="0"/>
              <w:right w:val="single" w:color="auto" w:sz="4" w:space="0"/>
            </w:tcBorders>
            <w:vAlign w:val="center"/>
          </w:tcPr>
          <w:p w14:paraId="27934534">
            <w:pPr>
              <w:rPr>
                <w:rFonts w:ascii="宋体" w:hAnsi="宋体" w:cs="宋体"/>
                <w:sz w:val="22"/>
                <w:szCs w:val="22"/>
              </w:rPr>
            </w:pPr>
          </w:p>
        </w:tc>
      </w:tr>
      <w:tr w14:paraId="7A5D2E22">
        <w:tblPrEx>
          <w:tblCellMar>
            <w:top w:w="0" w:type="dxa"/>
            <w:left w:w="108" w:type="dxa"/>
            <w:bottom w:w="0" w:type="dxa"/>
            <w:right w:w="108" w:type="dxa"/>
          </w:tblCellMar>
        </w:tblPrEx>
        <w:trPr>
          <w:trHeight w:val="464" w:hRule="atLeast"/>
          <w:jc w:val="center"/>
        </w:trPr>
        <w:tc>
          <w:tcPr>
            <w:tcW w:w="904" w:type="dxa"/>
            <w:vMerge w:val="continue"/>
            <w:tcBorders>
              <w:left w:val="single" w:color="000000" w:sz="4" w:space="0"/>
              <w:right w:val="single" w:color="000000" w:sz="4" w:space="0"/>
            </w:tcBorders>
            <w:vAlign w:val="center"/>
          </w:tcPr>
          <w:p w14:paraId="53704E94">
            <w:pPr>
              <w:jc w:val="center"/>
              <w:rPr>
                <w:rFonts w:ascii="宋体" w:hAnsi="宋体" w:cs="宋体"/>
                <w:sz w:val="22"/>
                <w:szCs w:val="22"/>
              </w:rPr>
            </w:pPr>
          </w:p>
        </w:tc>
        <w:tc>
          <w:tcPr>
            <w:tcW w:w="1317" w:type="dxa"/>
            <w:tcBorders>
              <w:left w:val="single" w:color="000000" w:sz="4" w:space="0"/>
              <w:bottom w:val="single" w:color="000000" w:sz="4" w:space="0"/>
              <w:right w:val="single" w:color="000000" w:sz="4" w:space="0"/>
            </w:tcBorders>
            <w:vAlign w:val="center"/>
          </w:tcPr>
          <w:p w14:paraId="62D647FD">
            <w:pPr>
              <w:jc w:val="center"/>
              <w:rPr>
                <w:rFonts w:ascii="宋体" w:hAnsi="宋体" w:cs="宋体"/>
                <w:sz w:val="22"/>
                <w:szCs w:val="22"/>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84983">
            <w:pPr>
              <w:widowControl/>
              <w:spacing w:beforeAutospacing="1" w:afterAutospacing="1"/>
              <w:jc w:val="center"/>
              <w:rPr>
                <w:rFonts w:ascii="宋体" w:hAnsi="宋体" w:cs="宋体"/>
                <w:sz w:val="21"/>
                <w:szCs w:val="21"/>
              </w:rPr>
            </w:pPr>
            <w:r>
              <w:rPr>
                <w:rFonts w:hint="eastAsia" w:ascii="宋体" w:hAnsi="宋体" w:cs="宋体"/>
                <w:sz w:val="21"/>
                <w:szCs w:val="21"/>
              </w:rPr>
              <w:t>重点区域</w:t>
            </w:r>
          </w:p>
        </w:tc>
        <w:tc>
          <w:tcPr>
            <w:tcW w:w="1200" w:type="dxa"/>
            <w:tcBorders>
              <w:top w:val="single" w:color="000000" w:sz="4" w:space="0"/>
              <w:left w:val="single" w:color="000000" w:sz="4" w:space="0"/>
              <w:bottom w:val="single" w:color="000000" w:sz="4" w:space="0"/>
              <w:right w:val="single" w:color="000000" w:sz="4" w:space="0"/>
            </w:tcBorders>
            <w:vAlign w:val="center"/>
          </w:tcPr>
          <w:p w14:paraId="243871F4">
            <w:pPr>
              <w:jc w:val="center"/>
              <w:textAlignment w:val="center"/>
              <w:rPr>
                <w:rFonts w:hint="eastAsia" w:ascii="宋体" w:hAnsi="宋体" w:eastAsia="宋体" w:cs="宋体"/>
                <w:sz w:val="22"/>
                <w:szCs w:val="22"/>
                <w:lang w:val="en-US" w:eastAsia="zh-CN"/>
              </w:rPr>
            </w:pPr>
          </w:p>
        </w:tc>
        <w:tc>
          <w:tcPr>
            <w:tcW w:w="1407" w:type="dxa"/>
            <w:tcBorders>
              <w:top w:val="single" w:color="000000" w:sz="4" w:space="0"/>
              <w:left w:val="single" w:color="000000" w:sz="4" w:space="0"/>
              <w:bottom w:val="single" w:color="000000" w:sz="4" w:space="0"/>
              <w:right w:val="single" w:color="000000" w:sz="4" w:space="0"/>
            </w:tcBorders>
            <w:vAlign w:val="center"/>
          </w:tcPr>
          <w:p w14:paraId="15DAF7A2">
            <w:pPr>
              <w:jc w:val="center"/>
              <w:textAlignment w:val="center"/>
              <w:rPr>
                <w:rFonts w:hint="eastAsia" w:ascii="宋体" w:hAnsi="宋体" w:eastAsia="宋体" w:cs="宋体"/>
                <w:sz w:val="22"/>
                <w:szCs w:val="22"/>
                <w:lang w:val="en-US" w:eastAsia="zh-CN"/>
              </w:rPr>
            </w:pPr>
          </w:p>
        </w:tc>
        <w:tc>
          <w:tcPr>
            <w:tcW w:w="1082" w:type="dxa"/>
            <w:tcBorders>
              <w:top w:val="single" w:color="000000" w:sz="4" w:space="0"/>
              <w:left w:val="single" w:color="000000" w:sz="4" w:space="0"/>
              <w:bottom w:val="single" w:color="000000" w:sz="4" w:space="0"/>
              <w:right w:val="single" w:color="000000" w:sz="4" w:space="0"/>
            </w:tcBorders>
            <w:vAlign w:val="center"/>
          </w:tcPr>
          <w:p w14:paraId="6219BDB8">
            <w:pPr>
              <w:jc w:val="center"/>
              <w:textAlignment w:val="center"/>
              <w:rPr>
                <w:rFonts w:hint="eastAsia" w:ascii="宋体" w:hAnsi="宋体" w:eastAsia="宋体" w:cs="宋体"/>
                <w:sz w:val="22"/>
                <w:szCs w:val="22"/>
                <w:lang w:val="en-US" w:eastAsia="zh-CN"/>
              </w:rPr>
            </w:pPr>
          </w:p>
        </w:tc>
        <w:tc>
          <w:tcPr>
            <w:tcW w:w="1318" w:type="dxa"/>
            <w:tcBorders>
              <w:top w:val="single" w:color="000000" w:sz="4" w:space="0"/>
              <w:left w:val="single" w:color="000000" w:sz="4" w:space="0"/>
              <w:bottom w:val="single" w:color="000000" w:sz="4" w:space="0"/>
              <w:right w:val="single" w:color="000000" w:sz="4" w:space="0"/>
            </w:tcBorders>
            <w:vAlign w:val="center"/>
          </w:tcPr>
          <w:p w14:paraId="31BC5241">
            <w:pPr>
              <w:jc w:val="center"/>
              <w:textAlignment w:val="center"/>
              <w:rPr>
                <w:rFonts w:hint="eastAsia" w:ascii="宋体" w:hAnsi="宋体" w:eastAsia="宋体" w:cs="宋体"/>
                <w:sz w:val="22"/>
                <w:szCs w:val="22"/>
                <w:lang w:val="en-US" w:eastAsia="zh-CN"/>
              </w:rPr>
            </w:pPr>
          </w:p>
        </w:tc>
        <w:tc>
          <w:tcPr>
            <w:tcW w:w="2031" w:type="dxa"/>
            <w:tcBorders>
              <w:top w:val="single" w:color="000000" w:sz="4" w:space="0"/>
              <w:left w:val="single" w:color="000000" w:sz="4" w:space="0"/>
              <w:bottom w:val="single" w:color="000000" w:sz="4" w:space="0"/>
              <w:right w:val="single" w:color="auto" w:sz="4" w:space="0"/>
            </w:tcBorders>
          </w:tcPr>
          <w:p w14:paraId="4C921AB2">
            <w:pPr>
              <w:textAlignment w:val="top"/>
              <w:rPr>
                <w:rFonts w:ascii="宋体" w:hAnsi="宋体" w:cs="宋体"/>
                <w:sz w:val="21"/>
                <w:szCs w:val="21"/>
              </w:rPr>
            </w:pPr>
            <w:r>
              <w:rPr>
                <w:rFonts w:hint="eastAsia" w:ascii="宋体" w:hAnsi="宋体" w:cs="宋体"/>
                <w:sz w:val="21"/>
                <w:szCs w:val="21"/>
              </w:rPr>
              <w:t>不受距离限制，但最小单元网格规划数限制</w:t>
            </w:r>
          </w:p>
        </w:tc>
        <w:tc>
          <w:tcPr>
            <w:tcW w:w="1347" w:type="dxa"/>
            <w:vMerge w:val="continue"/>
            <w:tcBorders>
              <w:left w:val="single" w:color="auto" w:sz="4" w:space="0"/>
              <w:right w:val="single" w:color="auto" w:sz="4" w:space="0"/>
            </w:tcBorders>
            <w:vAlign w:val="center"/>
          </w:tcPr>
          <w:p w14:paraId="4F730CA7">
            <w:pPr>
              <w:jc w:val="center"/>
              <w:textAlignment w:val="center"/>
              <w:rPr>
                <w:rFonts w:ascii="宋体" w:hAnsi="宋体" w:cs="宋体"/>
                <w:sz w:val="22"/>
                <w:szCs w:val="22"/>
              </w:rPr>
            </w:pPr>
          </w:p>
        </w:tc>
        <w:tc>
          <w:tcPr>
            <w:tcW w:w="2025" w:type="dxa"/>
            <w:vMerge w:val="continue"/>
            <w:tcBorders>
              <w:left w:val="single" w:color="auto" w:sz="4" w:space="0"/>
              <w:right w:val="single" w:color="auto" w:sz="4" w:space="0"/>
            </w:tcBorders>
            <w:vAlign w:val="center"/>
          </w:tcPr>
          <w:p w14:paraId="4683DD56">
            <w:pPr>
              <w:rPr>
                <w:rFonts w:ascii="宋体" w:hAnsi="宋体" w:cs="宋体"/>
                <w:sz w:val="22"/>
                <w:szCs w:val="22"/>
              </w:rPr>
            </w:pPr>
          </w:p>
        </w:tc>
      </w:tr>
      <w:tr w14:paraId="633A89F5">
        <w:tblPrEx>
          <w:tblCellMar>
            <w:top w:w="0" w:type="dxa"/>
            <w:left w:w="108" w:type="dxa"/>
            <w:bottom w:w="0" w:type="dxa"/>
            <w:right w:w="108" w:type="dxa"/>
          </w:tblCellMar>
        </w:tblPrEx>
        <w:trPr>
          <w:trHeight w:val="340" w:hRule="atLeast"/>
          <w:jc w:val="center"/>
        </w:trPr>
        <w:tc>
          <w:tcPr>
            <w:tcW w:w="904" w:type="dxa"/>
            <w:vMerge w:val="continue"/>
            <w:tcBorders>
              <w:left w:val="single" w:color="000000" w:sz="4" w:space="0"/>
              <w:right w:val="single" w:color="000000" w:sz="4" w:space="0"/>
            </w:tcBorders>
            <w:vAlign w:val="center"/>
          </w:tcPr>
          <w:p w14:paraId="6541B0A7">
            <w:pPr>
              <w:jc w:val="center"/>
              <w:rPr>
                <w:rFonts w:ascii="宋体" w:hAnsi="宋体" w:cs="宋体"/>
                <w:sz w:val="22"/>
                <w:szCs w:val="22"/>
              </w:rPr>
            </w:pPr>
          </w:p>
        </w:tc>
        <w:tc>
          <w:tcPr>
            <w:tcW w:w="1317" w:type="dxa"/>
            <w:vMerge w:val="restart"/>
            <w:tcBorders>
              <w:top w:val="single" w:color="000000" w:sz="4" w:space="0"/>
              <w:left w:val="single" w:color="000000" w:sz="4" w:space="0"/>
              <w:right w:val="single" w:color="000000" w:sz="4" w:space="0"/>
            </w:tcBorders>
            <w:vAlign w:val="center"/>
          </w:tcPr>
          <w:p w14:paraId="60862C01">
            <w:pPr>
              <w:jc w:val="center"/>
              <w:rPr>
                <w:rFonts w:ascii="宋体" w:hAnsi="宋体" w:cs="宋体"/>
                <w:sz w:val="22"/>
                <w:szCs w:val="22"/>
              </w:rPr>
            </w:pPr>
            <w:r>
              <w:rPr>
                <w:rFonts w:hint="eastAsia" w:ascii="宋体" w:hAnsi="宋体" w:cs="宋体"/>
                <w:sz w:val="22"/>
                <w:szCs w:val="22"/>
              </w:rPr>
              <w:t>碧谷街道</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76D41">
            <w:pPr>
              <w:jc w:val="center"/>
              <w:rPr>
                <w:rFonts w:ascii="宋体" w:hAnsi="宋体" w:cs="宋体"/>
                <w:sz w:val="21"/>
                <w:szCs w:val="21"/>
                <w:highlight w:val="none"/>
              </w:rPr>
            </w:pPr>
            <w:r>
              <w:rPr>
                <w:rFonts w:hint="eastAsia" w:ascii="宋体" w:hAnsi="宋体" w:cs="宋体"/>
                <w:sz w:val="21"/>
                <w:szCs w:val="21"/>
                <w:highlight w:val="none"/>
              </w:rPr>
              <w:t>碧谷街道城区:新街、桥北、起噶</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翔鹏</w:t>
            </w:r>
            <w:r>
              <w:rPr>
                <w:rFonts w:hint="eastAsia" w:ascii="宋体" w:hAnsi="宋体" w:cs="宋体"/>
                <w:sz w:val="21"/>
                <w:szCs w:val="21"/>
                <w:highlight w:val="none"/>
              </w:rPr>
              <w:t>社区</w:t>
            </w:r>
          </w:p>
        </w:tc>
        <w:tc>
          <w:tcPr>
            <w:tcW w:w="1200" w:type="dxa"/>
            <w:tcBorders>
              <w:top w:val="single" w:color="000000" w:sz="4" w:space="0"/>
              <w:left w:val="single" w:color="000000" w:sz="4" w:space="0"/>
              <w:bottom w:val="single" w:color="000000" w:sz="4" w:space="0"/>
              <w:right w:val="single" w:color="000000" w:sz="4" w:space="0"/>
            </w:tcBorders>
            <w:vAlign w:val="center"/>
          </w:tcPr>
          <w:p w14:paraId="3515A343">
            <w:pPr>
              <w:jc w:val="center"/>
              <w:rPr>
                <w:rFonts w:ascii="宋体" w:hAnsi="宋体" w:cs="宋体"/>
                <w:sz w:val="22"/>
                <w:szCs w:val="22"/>
                <w:highlight w:val="none"/>
              </w:rPr>
            </w:pPr>
            <w:r>
              <w:rPr>
                <w:rFonts w:hint="eastAsia" w:ascii="宋体" w:hAnsi="宋体" w:cs="宋体"/>
                <w:sz w:val="22"/>
                <w:szCs w:val="22"/>
                <w:highlight w:val="none"/>
              </w:rPr>
              <w:t>66</w:t>
            </w:r>
          </w:p>
        </w:tc>
        <w:tc>
          <w:tcPr>
            <w:tcW w:w="1407" w:type="dxa"/>
            <w:tcBorders>
              <w:top w:val="single" w:color="000000" w:sz="4" w:space="0"/>
              <w:left w:val="single" w:color="000000" w:sz="4" w:space="0"/>
              <w:bottom w:val="single" w:color="000000" w:sz="4" w:space="0"/>
              <w:right w:val="single" w:color="000000" w:sz="4" w:space="0"/>
            </w:tcBorders>
            <w:vAlign w:val="center"/>
          </w:tcPr>
          <w:p w14:paraId="1AC85C7D">
            <w:pPr>
              <w:jc w:val="center"/>
              <w:rPr>
                <w:rFonts w:ascii="宋体" w:hAnsi="宋体" w:cs="宋体"/>
                <w:sz w:val="22"/>
                <w:szCs w:val="22"/>
                <w:highlight w:val="none"/>
              </w:rPr>
            </w:pPr>
            <w:r>
              <w:rPr>
                <w:rFonts w:hint="eastAsia" w:ascii="宋体" w:hAnsi="宋体" w:cs="宋体"/>
                <w:sz w:val="22"/>
                <w:szCs w:val="22"/>
                <w:highlight w:val="none"/>
              </w:rPr>
              <w:t>65</w:t>
            </w:r>
          </w:p>
        </w:tc>
        <w:tc>
          <w:tcPr>
            <w:tcW w:w="1082" w:type="dxa"/>
            <w:tcBorders>
              <w:top w:val="single" w:color="000000" w:sz="4" w:space="0"/>
              <w:left w:val="single" w:color="000000" w:sz="4" w:space="0"/>
              <w:bottom w:val="single" w:color="000000" w:sz="4" w:space="0"/>
              <w:right w:val="single" w:color="000000" w:sz="4" w:space="0"/>
            </w:tcBorders>
            <w:vAlign w:val="center"/>
          </w:tcPr>
          <w:p w14:paraId="0296B5D9">
            <w:pPr>
              <w:jc w:val="center"/>
              <w:rPr>
                <w:rFonts w:ascii="宋体" w:hAnsi="宋体" w:cs="宋体"/>
                <w:sz w:val="22"/>
                <w:szCs w:val="22"/>
                <w:highlight w:val="none"/>
              </w:rPr>
            </w:pPr>
            <w:r>
              <w:rPr>
                <w:rFonts w:hint="eastAsia" w:ascii="宋体" w:hAnsi="宋体" w:cs="宋体"/>
                <w:sz w:val="22"/>
                <w:szCs w:val="22"/>
                <w:highlight w:val="none"/>
              </w:rPr>
              <w:t>1</w:t>
            </w:r>
          </w:p>
        </w:tc>
        <w:tc>
          <w:tcPr>
            <w:tcW w:w="1318" w:type="dxa"/>
            <w:tcBorders>
              <w:top w:val="single" w:color="000000" w:sz="4" w:space="0"/>
              <w:left w:val="single" w:color="000000" w:sz="4" w:space="0"/>
              <w:bottom w:val="single" w:color="000000" w:sz="4" w:space="0"/>
              <w:right w:val="single" w:color="000000" w:sz="4" w:space="0"/>
            </w:tcBorders>
            <w:vAlign w:val="center"/>
          </w:tcPr>
          <w:p w14:paraId="154C00F7">
            <w:pPr>
              <w:jc w:val="center"/>
              <w:rPr>
                <w:rFonts w:ascii="宋体" w:hAnsi="宋体" w:cs="宋体"/>
                <w:sz w:val="22"/>
                <w:szCs w:val="22"/>
                <w:highlight w:val="none"/>
              </w:rPr>
            </w:pPr>
            <w:r>
              <w:rPr>
                <w:rFonts w:hint="eastAsia" w:ascii="宋体" w:hAnsi="宋体" w:cs="宋体"/>
                <w:sz w:val="22"/>
                <w:szCs w:val="22"/>
                <w:highlight w:val="none"/>
              </w:rPr>
              <w:t>80</w:t>
            </w:r>
          </w:p>
        </w:tc>
        <w:tc>
          <w:tcPr>
            <w:tcW w:w="2031" w:type="dxa"/>
            <w:tcBorders>
              <w:top w:val="single" w:color="000000" w:sz="4" w:space="0"/>
              <w:left w:val="single" w:color="000000" w:sz="4" w:space="0"/>
              <w:bottom w:val="single" w:color="000000" w:sz="4" w:space="0"/>
              <w:right w:val="single" w:color="auto" w:sz="4" w:space="0"/>
            </w:tcBorders>
            <w:vAlign w:val="center"/>
          </w:tcPr>
          <w:p w14:paraId="70275F89">
            <w:pPr>
              <w:jc w:val="center"/>
              <w:rPr>
                <w:rFonts w:ascii="宋体" w:hAnsi="宋体" w:cs="宋体"/>
                <w:sz w:val="21"/>
                <w:szCs w:val="21"/>
                <w:highlight w:val="none"/>
              </w:rPr>
            </w:pPr>
            <w:r>
              <w:rPr>
                <w:rFonts w:hint="eastAsia" w:ascii="宋体" w:hAnsi="宋体" w:cs="宋体"/>
                <w:sz w:val="21"/>
                <w:szCs w:val="21"/>
                <w:highlight w:val="none"/>
              </w:rPr>
              <w:t>需满足东川区烟草制品零售点合理布局规划的其他规定</w:t>
            </w:r>
          </w:p>
        </w:tc>
        <w:tc>
          <w:tcPr>
            <w:tcW w:w="1347" w:type="dxa"/>
            <w:vMerge w:val="continue"/>
            <w:tcBorders>
              <w:left w:val="single" w:color="auto" w:sz="4" w:space="0"/>
              <w:right w:val="single" w:color="auto" w:sz="4" w:space="0"/>
            </w:tcBorders>
            <w:vAlign w:val="center"/>
          </w:tcPr>
          <w:p w14:paraId="39721C26">
            <w:pPr>
              <w:jc w:val="center"/>
              <w:rPr>
                <w:rFonts w:ascii="宋体" w:hAnsi="宋体" w:cs="宋体"/>
                <w:sz w:val="22"/>
                <w:szCs w:val="22"/>
              </w:rPr>
            </w:pPr>
          </w:p>
        </w:tc>
        <w:tc>
          <w:tcPr>
            <w:tcW w:w="2025" w:type="dxa"/>
            <w:vMerge w:val="continue"/>
            <w:tcBorders>
              <w:left w:val="single" w:color="auto" w:sz="4" w:space="0"/>
              <w:right w:val="single" w:color="auto" w:sz="4" w:space="0"/>
            </w:tcBorders>
            <w:vAlign w:val="center"/>
          </w:tcPr>
          <w:p w14:paraId="062B70F2">
            <w:pPr>
              <w:jc w:val="center"/>
              <w:rPr>
                <w:rFonts w:ascii="宋体" w:hAnsi="宋体" w:cs="宋体"/>
                <w:sz w:val="22"/>
                <w:szCs w:val="22"/>
              </w:rPr>
            </w:pPr>
          </w:p>
        </w:tc>
      </w:tr>
      <w:tr w14:paraId="70D5C621">
        <w:tblPrEx>
          <w:tblCellMar>
            <w:top w:w="0" w:type="dxa"/>
            <w:left w:w="108" w:type="dxa"/>
            <w:bottom w:w="0" w:type="dxa"/>
            <w:right w:w="108" w:type="dxa"/>
          </w:tblCellMar>
        </w:tblPrEx>
        <w:trPr>
          <w:trHeight w:val="1246" w:hRule="atLeast"/>
          <w:jc w:val="center"/>
        </w:trPr>
        <w:tc>
          <w:tcPr>
            <w:tcW w:w="904" w:type="dxa"/>
            <w:vMerge w:val="continue"/>
            <w:tcBorders>
              <w:left w:val="single" w:color="000000" w:sz="4" w:space="0"/>
              <w:right w:val="single" w:color="000000" w:sz="4" w:space="0"/>
            </w:tcBorders>
            <w:vAlign w:val="center"/>
          </w:tcPr>
          <w:p w14:paraId="1C5C89DB">
            <w:pPr>
              <w:jc w:val="center"/>
              <w:rPr>
                <w:rFonts w:ascii="宋体" w:hAnsi="宋体" w:cs="宋体"/>
                <w:sz w:val="22"/>
                <w:szCs w:val="22"/>
              </w:rPr>
            </w:pPr>
          </w:p>
        </w:tc>
        <w:tc>
          <w:tcPr>
            <w:tcW w:w="1317" w:type="dxa"/>
            <w:vMerge w:val="continue"/>
            <w:tcBorders>
              <w:left w:val="single" w:color="000000" w:sz="4" w:space="0"/>
              <w:right w:val="single" w:color="000000" w:sz="4" w:space="0"/>
            </w:tcBorders>
            <w:vAlign w:val="center"/>
          </w:tcPr>
          <w:p w14:paraId="1F4F026F">
            <w:pPr>
              <w:jc w:val="center"/>
              <w:rPr>
                <w:rFonts w:ascii="宋体" w:hAnsi="宋体" w:cs="宋体"/>
                <w:sz w:val="22"/>
                <w:szCs w:val="22"/>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5FF14">
            <w:pPr>
              <w:jc w:val="center"/>
              <w:rPr>
                <w:rFonts w:ascii="宋体" w:hAnsi="宋体" w:cs="宋体"/>
                <w:sz w:val="21"/>
                <w:szCs w:val="21"/>
                <w:highlight w:val="none"/>
              </w:rPr>
            </w:pPr>
            <w:r>
              <w:rPr>
                <w:rFonts w:hint="eastAsia" w:ascii="宋体" w:hAnsi="宋体" w:cs="宋体"/>
                <w:sz w:val="21"/>
                <w:szCs w:val="21"/>
                <w:highlight w:val="none"/>
              </w:rPr>
              <w:t>绿茂、营盘村</w:t>
            </w:r>
          </w:p>
        </w:tc>
        <w:tc>
          <w:tcPr>
            <w:tcW w:w="1200" w:type="dxa"/>
            <w:tcBorders>
              <w:top w:val="single" w:color="000000" w:sz="4" w:space="0"/>
              <w:left w:val="single" w:color="000000" w:sz="4" w:space="0"/>
              <w:bottom w:val="single" w:color="000000" w:sz="4" w:space="0"/>
              <w:right w:val="single" w:color="000000" w:sz="4" w:space="0"/>
            </w:tcBorders>
            <w:vAlign w:val="center"/>
          </w:tcPr>
          <w:p w14:paraId="19E4E30E">
            <w:pPr>
              <w:jc w:val="center"/>
              <w:rPr>
                <w:rFonts w:ascii="宋体" w:hAnsi="宋体" w:cs="宋体"/>
                <w:sz w:val="22"/>
                <w:szCs w:val="22"/>
                <w:highlight w:val="none"/>
              </w:rPr>
            </w:pPr>
            <w:r>
              <w:rPr>
                <w:rFonts w:hint="eastAsia" w:ascii="宋体" w:hAnsi="宋体" w:cs="宋体"/>
                <w:sz w:val="22"/>
                <w:szCs w:val="22"/>
                <w:highlight w:val="none"/>
              </w:rPr>
              <w:t>65</w:t>
            </w:r>
          </w:p>
        </w:tc>
        <w:tc>
          <w:tcPr>
            <w:tcW w:w="1407" w:type="dxa"/>
            <w:tcBorders>
              <w:top w:val="single" w:color="000000" w:sz="4" w:space="0"/>
              <w:left w:val="single" w:color="000000" w:sz="4" w:space="0"/>
              <w:bottom w:val="single" w:color="000000" w:sz="4" w:space="0"/>
              <w:right w:val="single" w:color="000000" w:sz="4" w:space="0"/>
            </w:tcBorders>
            <w:vAlign w:val="center"/>
          </w:tcPr>
          <w:p w14:paraId="6485BADC">
            <w:pPr>
              <w:jc w:val="center"/>
              <w:rPr>
                <w:rFonts w:ascii="宋体" w:hAnsi="宋体" w:cs="宋体"/>
                <w:sz w:val="22"/>
                <w:szCs w:val="22"/>
                <w:highlight w:val="none"/>
              </w:rPr>
            </w:pPr>
            <w:r>
              <w:rPr>
                <w:rFonts w:hint="eastAsia" w:ascii="宋体" w:hAnsi="宋体" w:cs="宋体"/>
                <w:sz w:val="22"/>
                <w:szCs w:val="22"/>
                <w:highlight w:val="none"/>
              </w:rPr>
              <w:t>65</w:t>
            </w:r>
          </w:p>
        </w:tc>
        <w:tc>
          <w:tcPr>
            <w:tcW w:w="1082" w:type="dxa"/>
            <w:tcBorders>
              <w:top w:val="single" w:color="000000" w:sz="4" w:space="0"/>
              <w:left w:val="single" w:color="000000" w:sz="4" w:space="0"/>
              <w:bottom w:val="single" w:color="000000" w:sz="4" w:space="0"/>
              <w:right w:val="single" w:color="000000" w:sz="4" w:space="0"/>
            </w:tcBorders>
            <w:vAlign w:val="center"/>
          </w:tcPr>
          <w:p w14:paraId="675BDB09">
            <w:pPr>
              <w:jc w:val="center"/>
              <w:rPr>
                <w:rFonts w:ascii="宋体" w:hAnsi="宋体" w:cs="宋体"/>
                <w:sz w:val="22"/>
                <w:szCs w:val="22"/>
                <w:highlight w:val="none"/>
              </w:rPr>
            </w:pPr>
            <w:r>
              <w:rPr>
                <w:rFonts w:hint="eastAsia" w:ascii="宋体" w:hAnsi="宋体" w:cs="宋体"/>
                <w:sz w:val="22"/>
                <w:szCs w:val="22"/>
                <w:highlight w:val="none"/>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711D9D86">
            <w:pPr>
              <w:jc w:val="center"/>
              <w:rPr>
                <w:rFonts w:ascii="宋体" w:hAnsi="宋体" w:cs="宋体"/>
                <w:sz w:val="22"/>
                <w:szCs w:val="22"/>
                <w:highlight w:val="none"/>
              </w:rPr>
            </w:pPr>
            <w:r>
              <w:rPr>
                <w:rFonts w:hint="eastAsia" w:ascii="宋体" w:hAnsi="宋体" w:cs="宋体"/>
                <w:sz w:val="22"/>
                <w:szCs w:val="22"/>
                <w:highlight w:val="none"/>
              </w:rPr>
              <w:t>50</w:t>
            </w:r>
          </w:p>
        </w:tc>
        <w:tc>
          <w:tcPr>
            <w:tcW w:w="2031" w:type="dxa"/>
            <w:tcBorders>
              <w:top w:val="single" w:color="000000" w:sz="4" w:space="0"/>
              <w:left w:val="single" w:color="000000" w:sz="4" w:space="0"/>
              <w:bottom w:val="single" w:color="000000" w:sz="4" w:space="0"/>
              <w:right w:val="single" w:color="auto" w:sz="4" w:space="0"/>
            </w:tcBorders>
            <w:vAlign w:val="center"/>
          </w:tcPr>
          <w:p w14:paraId="6A994F07">
            <w:pPr>
              <w:jc w:val="center"/>
              <w:rPr>
                <w:rFonts w:ascii="宋体" w:hAnsi="宋体" w:cs="宋体"/>
                <w:sz w:val="21"/>
                <w:szCs w:val="21"/>
                <w:highlight w:val="none"/>
              </w:rPr>
            </w:pPr>
            <w:r>
              <w:rPr>
                <w:rFonts w:hint="eastAsia" w:ascii="宋体" w:hAnsi="宋体" w:cs="宋体"/>
                <w:sz w:val="21"/>
                <w:szCs w:val="21"/>
                <w:highlight w:val="none"/>
              </w:rPr>
              <w:t>该区域许可证数量已饱和，到达规划数采取“退一进一”的管理模式。</w:t>
            </w:r>
          </w:p>
        </w:tc>
        <w:tc>
          <w:tcPr>
            <w:tcW w:w="1347" w:type="dxa"/>
            <w:vMerge w:val="continue"/>
            <w:tcBorders>
              <w:left w:val="single" w:color="auto" w:sz="4" w:space="0"/>
              <w:right w:val="single" w:color="auto" w:sz="4" w:space="0"/>
            </w:tcBorders>
            <w:vAlign w:val="center"/>
          </w:tcPr>
          <w:p w14:paraId="2AFC8098">
            <w:pPr>
              <w:jc w:val="center"/>
              <w:rPr>
                <w:rFonts w:ascii="宋体" w:hAnsi="宋体" w:cs="宋体"/>
                <w:sz w:val="22"/>
                <w:szCs w:val="22"/>
              </w:rPr>
            </w:pPr>
          </w:p>
        </w:tc>
        <w:tc>
          <w:tcPr>
            <w:tcW w:w="2025" w:type="dxa"/>
            <w:vMerge w:val="continue"/>
            <w:tcBorders>
              <w:left w:val="single" w:color="auto" w:sz="4" w:space="0"/>
              <w:right w:val="single" w:color="auto" w:sz="4" w:space="0"/>
            </w:tcBorders>
            <w:vAlign w:val="center"/>
          </w:tcPr>
          <w:p w14:paraId="58BCDA92">
            <w:pPr>
              <w:jc w:val="center"/>
              <w:rPr>
                <w:rFonts w:ascii="宋体" w:hAnsi="宋体" w:cs="宋体"/>
                <w:sz w:val="22"/>
                <w:szCs w:val="22"/>
              </w:rPr>
            </w:pPr>
          </w:p>
        </w:tc>
      </w:tr>
      <w:tr w14:paraId="415264E6">
        <w:tblPrEx>
          <w:tblCellMar>
            <w:top w:w="0" w:type="dxa"/>
            <w:left w:w="108" w:type="dxa"/>
            <w:bottom w:w="0" w:type="dxa"/>
            <w:right w:w="108" w:type="dxa"/>
          </w:tblCellMar>
        </w:tblPrEx>
        <w:trPr>
          <w:trHeight w:val="340" w:hRule="atLeast"/>
          <w:jc w:val="center"/>
        </w:trPr>
        <w:tc>
          <w:tcPr>
            <w:tcW w:w="904" w:type="dxa"/>
            <w:vMerge w:val="continue"/>
            <w:tcBorders>
              <w:left w:val="single" w:color="000000" w:sz="4" w:space="0"/>
              <w:right w:val="single" w:color="000000" w:sz="4" w:space="0"/>
            </w:tcBorders>
            <w:vAlign w:val="center"/>
          </w:tcPr>
          <w:p w14:paraId="7B9FB0B7">
            <w:pPr>
              <w:jc w:val="center"/>
              <w:rPr>
                <w:rFonts w:ascii="宋体" w:hAnsi="宋体" w:cs="宋体"/>
                <w:sz w:val="22"/>
                <w:szCs w:val="22"/>
              </w:rPr>
            </w:pPr>
          </w:p>
        </w:tc>
        <w:tc>
          <w:tcPr>
            <w:tcW w:w="1317" w:type="dxa"/>
            <w:vMerge w:val="continue"/>
            <w:tcBorders>
              <w:left w:val="single" w:color="000000" w:sz="4" w:space="0"/>
              <w:right w:val="single" w:color="000000" w:sz="4" w:space="0"/>
            </w:tcBorders>
            <w:vAlign w:val="center"/>
          </w:tcPr>
          <w:p w14:paraId="130A3ECE">
            <w:pPr>
              <w:jc w:val="center"/>
              <w:rPr>
                <w:rFonts w:ascii="宋体" w:hAnsi="宋体" w:cs="宋体"/>
                <w:sz w:val="22"/>
                <w:szCs w:val="22"/>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AC4B2">
            <w:pPr>
              <w:jc w:val="center"/>
              <w:rPr>
                <w:rFonts w:ascii="宋体" w:hAnsi="宋体" w:cs="宋体"/>
                <w:sz w:val="21"/>
                <w:szCs w:val="21"/>
              </w:rPr>
            </w:pPr>
            <w:r>
              <w:rPr>
                <w:rFonts w:hint="eastAsia" w:ascii="宋体" w:hAnsi="宋体" w:cs="宋体"/>
                <w:sz w:val="21"/>
                <w:szCs w:val="21"/>
              </w:rPr>
              <w:t>碧谷街道城区和绿茂、营盘村以外区域</w:t>
            </w:r>
          </w:p>
        </w:tc>
        <w:tc>
          <w:tcPr>
            <w:tcW w:w="1200" w:type="dxa"/>
            <w:tcBorders>
              <w:top w:val="single" w:color="000000" w:sz="4" w:space="0"/>
              <w:left w:val="single" w:color="000000" w:sz="4" w:space="0"/>
              <w:bottom w:val="single" w:color="000000" w:sz="4" w:space="0"/>
              <w:right w:val="single" w:color="000000" w:sz="4" w:space="0"/>
            </w:tcBorders>
            <w:vAlign w:val="center"/>
          </w:tcPr>
          <w:p w14:paraId="619B4ECE">
            <w:pPr>
              <w:jc w:val="center"/>
              <w:rPr>
                <w:rFonts w:ascii="宋体" w:hAnsi="宋体" w:cs="宋体"/>
                <w:sz w:val="22"/>
                <w:szCs w:val="22"/>
              </w:rPr>
            </w:pPr>
            <w:r>
              <w:rPr>
                <w:rFonts w:hint="eastAsia" w:ascii="宋体" w:hAnsi="宋体" w:cs="宋体"/>
                <w:sz w:val="22"/>
                <w:szCs w:val="22"/>
              </w:rPr>
              <w:t>85</w:t>
            </w:r>
          </w:p>
        </w:tc>
        <w:tc>
          <w:tcPr>
            <w:tcW w:w="1407" w:type="dxa"/>
            <w:tcBorders>
              <w:top w:val="single" w:color="000000" w:sz="4" w:space="0"/>
              <w:left w:val="single" w:color="000000" w:sz="4" w:space="0"/>
              <w:bottom w:val="single" w:color="000000" w:sz="4" w:space="0"/>
              <w:right w:val="single" w:color="000000" w:sz="4" w:space="0"/>
            </w:tcBorders>
            <w:vAlign w:val="center"/>
          </w:tcPr>
          <w:p w14:paraId="4B20B573">
            <w:pPr>
              <w:jc w:val="center"/>
              <w:rPr>
                <w:rFonts w:ascii="宋体" w:hAnsi="宋体" w:cs="宋体"/>
                <w:sz w:val="22"/>
                <w:szCs w:val="22"/>
              </w:rPr>
            </w:pPr>
            <w:r>
              <w:rPr>
                <w:rFonts w:hint="eastAsia" w:ascii="宋体" w:hAnsi="宋体" w:cs="宋体"/>
                <w:sz w:val="22"/>
                <w:szCs w:val="22"/>
              </w:rPr>
              <w:t>85</w:t>
            </w:r>
          </w:p>
        </w:tc>
        <w:tc>
          <w:tcPr>
            <w:tcW w:w="1082" w:type="dxa"/>
            <w:tcBorders>
              <w:top w:val="single" w:color="000000" w:sz="4" w:space="0"/>
              <w:left w:val="single" w:color="000000" w:sz="4" w:space="0"/>
              <w:bottom w:val="single" w:color="000000" w:sz="4" w:space="0"/>
              <w:right w:val="single" w:color="000000" w:sz="4" w:space="0"/>
            </w:tcBorders>
            <w:vAlign w:val="center"/>
          </w:tcPr>
          <w:p w14:paraId="36ADED05">
            <w:pPr>
              <w:jc w:val="center"/>
              <w:rPr>
                <w:rFonts w:ascii="宋体" w:hAnsi="宋体" w:cs="宋体"/>
                <w:sz w:val="22"/>
                <w:szCs w:val="22"/>
              </w:rPr>
            </w:pPr>
            <w:r>
              <w:rPr>
                <w:rFonts w:hint="eastAsia" w:ascii="宋体" w:hAnsi="宋体" w:cs="宋体"/>
                <w:sz w:val="22"/>
                <w:szCs w:val="22"/>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483F4E25">
            <w:pPr>
              <w:jc w:val="center"/>
              <w:rPr>
                <w:rFonts w:ascii="宋体" w:hAnsi="宋体" w:cs="宋体"/>
                <w:sz w:val="22"/>
                <w:szCs w:val="22"/>
              </w:rPr>
            </w:pPr>
            <w:r>
              <w:rPr>
                <w:rFonts w:hint="eastAsia" w:ascii="宋体" w:hAnsi="宋体" w:cs="宋体"/>
                <w:sz w:val="22"/>
                <w:szCs w:val="22"/>
              </w:rPr>
              <w:t>50</w:t>
            </w:r>
          </w:p>
        </w:tc>
        <w:tc>
          <w:tcPr>
            <w:tcW w:w="2031" w:type="dxa"/>
            <w:tcBorders>
              <w:top w:val="single" w:color="000000" w:sz="4" w:space="0"/>
              <w:left w:val="single" w:color="000000" w:sz="4" w:space="0"/>
              <w:bottom w:val="single" w:color="000000" w:sz="4" w:space="0"/>
              <w:right w:val="single" w:color="auto" w:sz="4" w:space="0"/>
            </w:tcBorders>
            <w:vAlign w:val="center"/>
          </w:tcPr>
          <w:p w14:paraId="05622C11">
            <w:pPr>
              <w:jc w:val="center"/>
              <w:rPr>
                <w:rFonts w:ascii="宋体" w:hAnsi="宋体" w:cs="宋体"/>
                <w:sz w:val="21"/>
                <w:szCs w:val="21"/>
              </w:rPr>
            </w:pPr>
            <w:r>
              <w:rPr>
                <w:rFonts w:hint="eastAsia" w:ascii="宋体" w:hAnsi="宋体" w:cs="宋体"/>
                <w:sz w:val="21"/>
                <w:szCs w:val="21"/>
              </w:rPr>
              <w:t>需满足东川区烟草制品零售点合理布局规划的其他规定</w:t>
            </w:r>
          </w:p>
        </w:tc>
        <w:tc>
          <w:tcPr>
            <w:tcW w:w="1347" w:type="dxa"/>
            <w:vMerge w:val="continue"/>
            <w:tcBorders>
              <w:left w:val="single" w:color="auto" w:sz="4" w:space="0"/>
              <w:right w:val="single" w:color="auto" w:sz="4" w:space="0"/>
            </w:tcBorders>
            <w:vAlign w:val="center"/>
          </w:tcPr>
          <w:p w14:paraId="63640510">
            <w:pPr>
              <w:jc w:val="center"/>
              <w:rPr>
                <w:rFonts w:ascii="宋体" w:hAnsi="宋体" w:cs="宋体"/>
                <w:sz w:val="22"/>
                <w:szCs w:val="22"/>
              </w:rPr>
            </w:pPr>
          </w:p>
        </w:tc>
        <w:tc>
          <w:tcPr>
            <w:tcW w:w="2025" w:type="dxa"/>
            <w:vMerge w:val="continue"/>
            <w:tcBorders>
              <w:left w:val="single" w:color="auto" w:sz="4" w:space="0"/>
              <w:right w:val="single" w:color="auto" w:sz="4" w:space="0"/>
            </w:tcBorders>
            <w:vAlign w:val="center"/>
          </w:tcPr>
          <w:p w14:paraId="2CA45905">
            <w:pPr>
              <w:jc w:val="center"/>
              <w:rPr>
                <w:rFonts w:ascii="宋体" w:hAnsi="宋体" w:cs="宋体"/>
                <w:sz w:val="22"/>
                <w:szCs w:val="22"/>
              </w:rPr>
            </w:pPr>
          </w:p>
        </w:tc>
      </w:tr>
      <w:tr w14:paraId="26F51F2A">
        <w:tblPrEx>
          <w:tblCellMar>
            <w:top w:w="0" w:type="dxa"/>
            <w:left w:w="108" w:type="dxa"/>
            <w:bottom w:w="0" w:type="dxa"/>
            <w:right w:w="108" w:type="dxa"/>
          </w:tblCellMar>
        </w:tblPrEx>
        <w:trPr>
          <w:trHeight w:val="883" w:hRule="atLeast"/>
          <w:jc w:val="center"/>
        </w:trPr>
        <w:tc>
          <w:tcPr>
            <w:tcW w:w="904" w:type="dxa"/>
            <w:vMerge w:val="continue"/>
            <w:tcBorders>
              <w:left w:val="single" w:color="000000" w:sz="4" w:space="0"/>
              <w:right w:val="single" w:color="000000" w:sz="4" w:space="0"/>
            </w:tcBorders>
            <w:vAlign w:val="center"/>
          </w:tcPr>
          <w:p w14:paraId="1344E3C4">
            <w:pPr>
              <w:jc w:val="center"/>
              <w:rPr>
                <w:rFonts w:ascii="宋体" w:hAnsi="宋体" w:cs="宋体"/>
                <w:sz w:val="22"/>
                <w:szCs w:val="22"/>
              </w:rPr>
            </w:pPr>
          </w:p>
        </w:tc>
        <w:tc>
          <w:tcPr>
            <w:tcW w:w="1317" w:type="dxa"/>
            <w:vMerge w:val="continue"/>
            <w:tcBorders>
              <w:left w:val="single" w:color="000000" w:sz="4" w:space="0"/>
              <w:bottom w:val="single" w:color="000000" w:sz="4" w:space="0"/>
              <w:right w:val="single" w:color="000000" w:sz="4" w:space="0"/>
            </w:tcBorders>
            <w:vAlign w:val="center"/>
          </w:tcPr>
          <w:p w14:paraId="655CCAAA">
            <w:pPr>
              <w:jc w:val="center"/>
              <w:rPr>
                <w:rFonts w:ascii="宋体" w:hAnsi="宋体" w:cs="宋体"/>
                <w:sz w:val="22"/>
                <w:szCs w:val="22"/>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BC577">
            <w:pPr>
              <w:jc w:val="center"/>
              <w:rPr>
                <w:rFonts w:ascii="宋体" w:hAnsi="宋体" w:cs="宋体"/>
                <w:sz w:val="21"/>
                <w:szCs w:val="21"/>
              </w:rPr>
            </w:pPr>
            <w:r>
              <w:rPr>
                <w:rFonts w:hint="eastAsia" w:ascii="宋体" w:hAnsi="宋体" w:cs="宋体"/>
                <w:sz w:val="21"/>
                <w:szCs w:val="21"/>
              </w:rPr>
              <w:t>重点区域</w:t>
            </w:r>
          </w:p>
        </w:tc>
        <w:tc>
          <w:tcPr>
            <w:tcW w:w="1200" w:type="dxa"/>
            <w:tcBorders>
              <w:top w:val="single" w:color="000000" w:sz="4" w:space="0"/>
              <w:left w:val="single" w:color="000000" w:sz="4" w:space="0"/>
              <w:bottom w:val="single" w:color="000000" w:sz="4" w:space="0"/>
              <w:right w:val="single" w:color="000000" w:sz="4" w:space="0"/>
            </w:tcBorders>
            <w:vAlign w:val="center"/>
          </w:tcPr>
          <w:p w14:paraId="71487902">
            <w:pPr>
              <w:jc w:val="center"/>
              <w:rPr>
                <w:rFonts w:hint="eastAsia" w:ascii="宋体" w:hAnsi="宋体" w:eastAsia="宋体" w:cs="宋体"/>
                <w:sz w:val="22"/>
                <w:szCs w:val="22"/>
                <w:lang w:val="en-US" w:eastAsia="zh-CN"/>
              </w:rPr>
            </w:pPr>
          </w:p>
        </w:tc>
        <w:tc>
          <w:tcPr>
            <w:tcW w:w="1407" w:type="dxa"/>
            <w:tcBorders>
              <w:top w:val="single" w:color="000000" w:sz="4" w:space="0"/>
              <w:left w:val="single" w:color="000000" w:sz="4" w:space="0"/>
              <w:bottom w:val="single" w:color="000000" w:sz="4" w:space="0"/>
              <w:right w:val="single" w:color="000000" w:sz="4" w:space="0"/>
            </w:tcBorders>
            <w:vAlign w:val="center"/>
          </w:tcPr>
          <w:p w14:paraId="690A4486">
            <w:pPr>
              <w:jc w:val="center"/>
              <w:rPr>
                <w:rFonts w:hint="eastAsia" w:ascii="宋体" w:hAnsi="宋体" w:eastAsia="宋体" w:cs="宋体"/>
                <w:sz w:val="22"/>
                <w:szCs w:val="22"/>
                <w:lang w:val="en-US" w:eastAsia="zh-CN"/>
              </w:rPr>
            </w:pPr>
          </w:p>
        </w:tc>
        <w:tc>
          <w:tcPr>
            <w:tcW w:w="1082" w:type="dxa"/>
            <w:tcBorders>
              <w:top w:val="single" w:color="000000" w:sz="4" w:space="0"/>
              <w:left w:val="single" w:color="000000" w:sz="4" w:space="0"/>
              <w:bottom w:val="single" w:color="000000" w:sz="4" w:space="0"/>
              <w:right w:val="single" w:color="000000" w:sz="4" w:space="0"/>
            </w:tcBorders>
            <w:vAlign w:val="center"/>
          </w:tcPr>
          <w:p w14:paraId="0E747C69">
            <w:pPr>
              <w:jc w:val="center"/>
              <w:rPr>
                <w:rFonts w:hint="eastAsia" w:ascii="宋体" w:hAnsi="宋体" w:eastAsia="宋体" w:cs="宋体"/>
                <w:sz w:val="22"/>
                <w:szCs w:val="22"/>
                <w:lang w:val="en-US" w:eastAsia="zh-CN"/>
              </w:rPr>
            </w:pPr>
          </w:p>
        </w:tc>
        <w:tc>
          <w:tcPr>
            <w:tcW w:w="1318" w:type="dxa"/>
            <w:tcBorders>
              <w:top w:val="single" w:color="000000" w:sz="4" w:space="0"/>
              <w:left w:val="single" w:color="000000" w:sz="4" w:space="0"/>
              <w:bottom w:val="single" w:color="000000" w:sz="4" w:space="0"/>
              <w:right w:val="single" w:color="000000" w:sz="4" w:space="0"/>
            </w:tcBorders>
            <w:vAlign w:val="center"/>
          </w:tcPr>
          <w:p w14:paraId="6EC99338">
            <w:pPr>
              <w:jc w:val="center"/>
              <w:rPr>
                <w:rFonts w:hint="eastAsia" w:ascii="宋体" w:hAnsi="宋体" w:eastAsia="宋体" w:cs="宋体"/>
                <w:sz w:val="22"/>
                <w:szCs w:val="22"/>
                <w:lang w:val="en-US" w:eastAsia="zh-CN"/>
              </w:rPr>
            </w:pPr>
          </w:p>
        </w:tc>
        <w:tc>
          <w:tcPr>
            <w:tcW w:w="2031" w:type="dxa"/>
            <w:tcBorders>
              <w:top w:val="single" w:color="000000" w:sz="4" w:space="0"/>
              <w:left w:val="single" w:color="000000" w:sz="4" w:space="0"/>
              <w:bottom w:val="single" w:color="000000" w:sz="4" w:space="0"/>
              <w:right w:val="single" w:color="auto" w:sz="4" w:space="0"/>
            </w:tcBorders>
            <w:vAlign w:val="center"/>
          </w:tcPr>
          <w:p w14:paraId="657DEB02">
            <w:pPr>
              <w:jc w:val="center"/>
              <w:rPr>
                <w:rFonts w:ascii="宋体" w:hAnsi="宋体" w:cs="宋体"/>
                <w:sz w:val="21"/>
                <w:szCs w:val="21"/>
              </w:rPr>
            </w:pPr>
            <w:r>
              <w:rPr>
                <w:rFonts w:hint="eastAsia" w:ascii="宋体" w:hAnsi="宋体" w:cs="宋体"/>
                <w:sz w:val="21"/>
                <w:szCs w:val="21"/>
              </w:rPr>
              <w:t>不受距离限制，但最小单元网格规划数限制</w:t>
            </w:r>
          </w:p>
        </w:tc>
        <w:tc>
          <w:tcPr>
            <w:tcW w:w="1347" w:type="dxa"/>
            <w:vMerge w:val="continue"/>
            <w:tcBorders>
              <w:left w:val="single" w:color="auto" w:sz="4" w:space="0"/>
              <w:right w:val="single" w:color="auto" w:sz="4" w:space="0"/>
            </w:tcBorders>
            <w:vAlign w:val="center"/>
          </w:tcPr>
          <w:p w14:paraId="0FFC95E8">
            <w:pPr>
              <w:jc w:val="center"/>
              <w:rPr>
                <w:rFonts w:ascii="宋体" w:hAnsi="宋体" w:cs="宋体"/>
                <w:sz w:val="22"/>
                <w:szCs w:val="22"/>
              </w:rPr>
            </w:pPr>
          </w:p>
        </w:tc>
        <w:tc>
          <w:tcPr>
            <w:tcW w:w="2025" w:type="dxa"/>
            <w:vMerge w:val="continue"/>
            <w:tcBorders>
              <w:left w:val="single" w:color="auto" w:sz="4" w:space="0"/>
              <w:right w:val="single" w:color="auto" w:sz="4" w:space="0"/>
            </w:tcBorders>
            <w:vAlign w:val="center"/>
          </w:tcPr>
          <w:p w14:paraId="7AFDC216">
            <w:pPr>
              <w:jc w:val="center"/>
              <w:rPr>
                <w:rFonts w:ascii="宋体" w:hAnsi="宋体" w:cs="宋体"/>
                <w:sz w:val="22"/>
                <w:szCs w:val="22"/>
              </w:rPr>
            </w:pPr>
          </w:p>
        </w:tc>
      </w:tr>
      <w:tr w14:paraId="1FED7FD5">
        <w:tblPrEx>
          <w:tblCellMar>
            <w:top w:w="0" w:type="dxa"/>
            <w:left w:w="108" w:type="dxa"/>
            <w:bottom w:w="0" w:type="dxa"/>
            <w:right w:w="108" w:type="dxa"/>
          </w:tblCellMar>
        </w:tblPrEx>
        <w:trPr>
          <w:trHeight w:val="340" w:hRule="atLeast"/>
          <w:jc w:val="center"/>
        </w:trPr>
        <w:tc>
          <w:tcPr>
            <w:tcW w:w="904" w:type="dxa"/>
            <w:vMerge w:val="continue"/>
            <w:tcBorders>
              <w:left w:val="single" w:color="000000" w:sz="4" w:space="0"/>
              <w:right w:val="single" w:color="000000" w:sz="4" w:space="0"/>
            </w:tcBorders>
            <w:vAlign w:val="center"/>
          </w:tcPr>
          <w:p w14:paraId="2E8F6C0B">
            <w:pPr>
              <w:jc w:val="center"/>
              <w:rPr>
                <w:rFonts w:ascii="宋体" w:hAnsi="宋体" w:cs="宋体"/>
                <w:sz w:val="22"/>
                <w:szCs w:val="22"/>
              </w:rPr>
            </w:pPr>
          </w:p>
        </w:tc>
        <w:tc>
          <w:tcPr>
            <w:tcW w:w="1317" w:type="dxa"/>
            <w:vMerge w:val="restart"/>
            <w:tcBorders>
              <w:top w:val="single" w:color="000000" w:sz="4" w:space="0"/>
              <w:left w:val="single" w:color="000000" w:sz="4" w:space="0"/>
              <w:right w:val="single" w:color="000000" w:sz="4" w:space="0"/>
            </w:tcBorders>
            <w:vAlign w:val="center"/>
          </w:tcPr>
          <w:p w14:paraId="108F8D7E">
            <w:pPr>
              <w:jc w:val="center"/>
              <w:rPr>
                <w:rFonts w:ascii="宋体" w:hAnsi="宋体" w:cs="宋体"/>
                <w:sz w:val="22"/>
                <w:szCs w:val="22"/>
                <w:lang w:bidi="ar"/>
              </w:rPr>
            </w:pPr>
            <w:r>
              <w:rPr>
                <w:rFonts w:hint="eastAsia" w:ascii="宋体" w:hAnsi="宋体" w:cs="宋体"/>
                <w:sz w:val="22"/>
                <w:szCs w:val="22"/>
              </w:rPr>
              <w:t>集义街道</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3B175">
            <w:pPr>
              <w:rPr>
                <w:rFonts w:ascii="宋体" w:hAnsi="宋体" w:cs="宋体"/>
                <w:sz w:val="21"/>
                <w:szCs w:val="21"/>
              </w:rPr>
            </w:pPr>
            <w:r>
              <w:rPr>
                <w:rFonts w:hint="eastAsia" w:ascii="宋体" w:hAnsi="宋体" w:cs="宋体"/>
                <w:sz w:val="21"/>
                <w:szCs w:val="21"/>
              </w:rPr>
              <w:t>集义街道城区</w:t>
            </w:r>
          </w:p>
        </w:tc>
        <w:tc>
          <w:tcPr>
            <w:tcW w:w="1200" w:type="dxa"/>
            <w:tcBorders>
              <w:top w:val="single" w:color="000000" w:sz="4" w:space="0"/>
              <w:left w:val="single" w:color="000000" w:sz="4" w:space="0"/>
              <w:bottom w:val="single" w:color="000000" w:sz="4" w:space="0"/>
              <w:right w:val="single" w:color="000000" w:sz="4" w:space="0"/>
            </w:tcBorders>
            <w:vAlign w:val="center"/>
          </w:tcPr>
          <w:p w14:paraId="57EEE4BB">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62</w:t>
            </w:r>
          </w:p>
        </w:tc>
        <w:tc>
          <w:tcPr>
            <w:tcW w:w="1407" w:type="dxa"/>
            <w:tcBorders>
              <w:top w:val="single" w:color="000000" w:sz="4" w:space="0"/>
              <w:left w:val="single" w:color="000000" w:sz="4" w:space="0"/>
              <w:bottom w:val="single" w:color="000000" w:sz="4" w:space="0"/>
              <w:right w:val="single" w:color="000000" w:sz="4" w:space="0"/>
            </w:tcBorders>
            <w:vAlign w:val="center"/>
          </w:tcPr>
          <w:p w14:paraId="4B2795FC">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62</w:t>
            </w:r>
          </w:p>
        </w:tc>
        <w:tc>
          <w:tcPr>
            <w:tcW w:w="1082" w:type="dxa"/>
            <w:tcBorders>
              <w:top w:val="single" w:color="000000" w:sz="4" w:space="0"/>
              <w:left w:val="single" w:color="000000" w:sz="4" w:space="0"/>
              <w:bottom w:val="single" w:color="000000" w:sz="4" w:space="0"/>
              <w:right w:val="single" w:color="000000" w:sz="4" w:space="0"/>
            </w:tcBorders>
            <w:vAlign w:val="center"/>
          </w:tcPr>
          <w:p w14:paraId="597E2A5E">
            <w:pPr>
              <w:jc w:val="center"/>
              <w:rPr>
                <w:rFonts w:ascii="宋体" w:hAnsi="宋体" w:cs="宋体"/>
                <w:sz w:val="22"/>
                <w:szCs w:val="22"/>
              </w:rPr>
            </w:pPr>
            <w:r>
              <w:rPr>
                <w:rFonts w:hint="eastAsia" w:ascii="宋体" w:hAnsi="宋体" w:cs="宋体"/>
                <w:sz w:val="22"/>
                <w:szCs w:val="22"/>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1ED5CAB2">
            <w:pPr>
              <w:jc w:val="center"/>
              <w:rPr>
                <w:rFonts w:ascii="宋体" w:hAnsi="宋体" w:cs="宋体"/>
                <w:sz w:val="22"/>
                <w:szCs w:val="22"/>
              </w:rPr>
            </w:pPr>
            <w:r>
              <w:rPr>
                <w:rFonts w:hint="eastAsia" w:ascii="宋体" w:hAnsi="宋体" w:cs="宋体"/>
                <w:sz w:val="22"/>
                <w:szCs w:val="22"/>
              </w:rPr>
              <w:t>80</w:t>
            </w:r>
          </w:p>
        </w:tc>
        <w:tc>
          <w:tcPr>
            <w:tcW w:w="2031" w:type="dxa"/>
            <w:tcBorders>
              <w:top w:val="single" w:color="000000" w:sz="4" w:space="0"/>
              <w:left w:val="single" w:color="000000" w:sz="4" w:space="0"/>
              <w:bottom w:val="single" w:color="000000" w:sz="4" w:space="0"/>
              <w:right w:val="single" w:color="auto" w:sz="4" w:space="0"/>
            </w:tcBorders>
            <w:vAlign w:val="center"/>
          </w:tcPr>
          <w:p w14:paraId="5CCD1FDD">
            <w:pPr>
              <w:jc w:val="center"/>
              <w:rPr>
                <w:rFonts w:ascii="宋体" w:hAnsi="宋体" w:cs="宋体"/>
                <w:sz w:val="21"/>
                <w:szCs w:val="21"/>
              </w:rPr>
            </w:pPr>
            <w:r>
              <w:rPr>
                <w:rFonts w:hint="eastAsia" w:ascii="宋体" w:hAnsi="宋体" w:cs="宋体"/>
                <w:sz w:val="21"/>
                <w:szCs w:val="21"/>
              </w:rPr>
              <w:t>需满足东川区烟草制品零售点合理布局规划的其他规定</w:t>
            </w:r>
          </w:p>
        </w:tc>
        <w:tc>
          <w:tcPr>
            <w:tcW w:w="1347" w:type="dxa"/>
            <w:vMerge w:val="continue"/>
            <w:tcBorders>
              <w:left w:val="single" w:color="auto" w:sz="4" w:space="0"/>
              <w:right w:val="single" w:color="auto" w:sz="4" w:space="0"/>
            </w:tcBorders>
            <w:vAlign w:val="center"/>
          </w:tcPr>
          <w:p w14:paraId="63A4F9B8">
            <w:pPr>
              <w:jc w:val="center"/>
              <w:rPr>
                <w:rFonts w:ascii="宋体" w:hAnsi="宋体" w:cs="宋体"/>
                <w:sz w:val="22"/>
                <w:szCs w:val="22"/>
              </w:rPr>
            </w:pPr>
          </w:p>
        </w:tc>
        <w:tc>
          <w:tcPr>
            <w:tcW w:w="2025" w:type="dxa"/>
            <w:vMerge w:val="continue"/>
            <w:tcBorders>
              <w:left w:val="single" w:color="auto" w:sz="4" w:space="0"/>
              <w:right w:val="single" w:color="auto" w:sz="4" w:space="0"/>
            </w:tcBorders>
            <w:vAlign w:val="center"/>
          </w:tcPr>
          <w:p w14:paraId="62DF2210">
            <w:pPr>
              <w:jc w:val="center"/>
              <w:rPr>
                <w:rFonts w:ascii="宋体" w:hAnsi="宋体" w:cs="宋体"/>
                <w:sz w:val="22"/>
                <w:szCs w:val="22"/>
              </w:rPr>
            </w:pPr>
          </w:p>
        </w:tc>
      </w:tr>
      <w:tr w14:paraId="41C4B277">
        <w:tblPrEx>
          <w:tblCellMar>
            <w:top w:w="0" w:type="dxa"/>
            <w:left w:w="108" w:type="dxa"/>
            <w:bottom w:w="0" w:type="dxa"/>
            <w:right w:w="108" w:type="dxa"/>
          </w:tblCellMar>
        </w:tblPrEx>
        <w:trPr>
          <w:trHeight w:val="340" w:hRule="atLeast"/>
          <w:jc w:val="center"/>
        </w:trPr>
        <w:tc>
          <w:tcPr>
            <w:tcW w:w="904" w:type="dxa"/>
            <w:vMerge w:val="continue"/>
            <w:tcBorders>
              <w:left w:val="single" w:color="000000" w:sz="4" w:space="0"/>
              <w:right w:val="single" w:color="000000" w:sz="4" w:space="0"/>
            </w:tcBorders>
            <w:vAlign w:val="center"/>
          </w:tcPr>
          <w:p w14:paraId="4CB14FC2">
            <w:pPr>
              <w:jc w:val="center"/>
              <w:rPr>
                <w:rFonts w:ascii="宋体" w:hAnsi="宋体" w:cs="宋体"/>
                <w:sz w:val="22"/>
                <w:szCs w:val="22"/>
              </w:rPr>
            </w:pPr>
          </w:p>
        </w:tc>
        <w:tc>
          <w:tcPr>
            <w:tcW w:w="1317" w:type="dxa"/>
            <w:vMerge w:val="continue"/>
            <w:tcBorders>
              <w:left w:val="single" w:color="000000" w:sz="4" w:space="0"/>
              <w:right w:val="single" w:color="000000" w:sz="4" w:space="0"/>
            </w:tcBorders>
            <w:vAlign w:val="center"/>
          </w:tcPr>
          <w:p w14:paraId="72BA9E68">
            <w:pPr>
              <w:jc w:val="center"/>
              <w:rPr>
                <w:rFonts w:ascii="宋体" w:hAnsi="宋体" w:cs="宋体"/>
                <w:sz w:val="22"/>
                <w:szCs w:val="22"/>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B5AA9">
            <w:pPr>
              <w:jc w:val="center"/>
              <w:rPr>
                <w:rFonts w:ascii="宋体" w:hAnsi="宋体" w:cs="宋体"/>
                <w:sz w:val="21"/>
                <w:szCs w:val="21"/>
              </w:rPr>
            </w:pPr>
            <w:r>
              <w:rPr>
                <w:rFonts w:hint="eastAsia" w:ascii="宋体" w:hAnsi="宋体" w:cs="宋体"/>
                <w:sz w:val="21"/>
                <w:szCs w:val="21"/>
                <w:lang w:val="en-US" w:eastAsia="zh-CN"/>
              </w:rPr>
              <w:t>农村：</w:t>
            </w:r>
            <w:r>
              <w:rPr>
                <w:rFonts w:hint="eastAsia" w:ascii="宋体" w:hAnsi="宋体" w:cs="宋体"/>
                <w:sz w:val="21"/>
                <w:szCs w:val="21"/>
              </w:rPr>
              <w:t>块河村、龙洞村、梨坪村</w:t>
            </w:r>
          </w:p>
        </w:tc>
        <w:tc>
          <w:tcPr>
            <w:tcW w:w="1200" w:type="dxa"/>
            <w:tcBorders>
              <w:top w:val="single" w:color="000000" w:sz="4" w:space="0"/>
              <w:left w:val="single" w:color="000000" w:sz="4" w:space="0"/>
              <w:bottom w:val="single" w:color="000000" w:sz="4" w:space="0"/>
              <w:right w:val="single" w:color="000000" w:sz="4" w:space="0"/>
            </w:tcBorders>
            <w:vAlign w:val="center"/>
          </w:tcPr>
          <w:p w14:paraId="3147F14B">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15</w:t>
            </w:r>
          </w:p>
        </w:tc>
        <w:tc>
          <w:tcPr>
            <w:tcW w:w="1407" w:type="dxa"/>
            <w:tcBorders>
              <w:top w:val="single" w:color="000000" w:sz="4" w:space="0"/>
              <w:left w:val="single" w:color="000000" w:sz="4" w:space="0"/>
              <w:bottom w:val="single" w:color="000000" w:sz="4" w:space="0"/>
              <w:right w:val="single" w:color="000000" w:sz="4" w:space="0"/>
            </w:tcBorders>
            <w:vAlign w:val="center"/>
          </w:tcPr>
          <w:p w14:paraId="006F52E2">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15</w:t>
            </w:r>
          </w:p>
        </w:tc>
        <w:tc>
          <w:tcPr>
            <w:tcW w:w="1082" w:type="dxa"/>
            <w:tcBorders>
              <w:top w:val="single" w:color="000000" w:sz="4" w:space="0"/>
              <w:left w:val="single" w:color="000000" w:sz="4" w:space="0"/>
              <w:bottom w:val="single" w:color="000000" w:sz="4" w:space="0"/>
              <w:right w:val="single" w:color="000000" w:sz="4" w:space="0"/>
            </w:tcBorders>
            <w:vAlign w:val="center"/>
          </w:tcPr>
          <w:p w14:paraId="3AA90CE4">
            <w:pPr>
              <w:jc w:val="center"/>
              <w:rPr>
                <w:rFonts w:hint="eastAsia" w:ascii="宋体" w:hAnsi="宋体" w:eastAsia="宋体" w:cs="宋体"/>
                <w:sz w:val="22"/>
                <w:szCs w:val="22"/>
                <w:lang w:val="en-US" w:eastAsia="zh-CN"/>
              </w:rPr>
            </w:pPr>
            <w:r>
              <w:rPr>
                <w:rFonts w:hint="eastAsia" w:ascii="宋体" w:hAnsi="宋体" w:cs="宋体"/>
                <w:sz w:val="22"/>
                <w:szCs w:val="22"/>
                <w:lang w:val="en-US" w:eastAsia="zh-CN"/>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31B784E7">
            <w:pPr>
              <w:jc w:val="center"/>
              <w:rPr>
                <w:rFonts w:ascii="宋体" w:hAnsi="宋体" w:cs="宋体"/>
                <w:sz w:val="22"/>
                <w:szCs w:val="22"/>
              </w:rPr>
            </w:pPr>
            <w:r>
              <w:rPr>
                <w:rFonts w:hint="eastAsia" w:ascii="宋体" w:hAnsi="宋体" w:cs="宋体"/>
                <w:sz w:val="22"/>
                <w:szCs w:val="22"/>
              </w:rPr>
              <w:t>50</w:t>
            </w:r>
          </w:p>
        </w:tc>
        <w:tc>
          <w:tcPr>
            <w:tcW w:w="2031" w:type="dxa"/>
            <w:tcBorders>
              <w:top w:val="single" w:color="000000" w:sz="4" w:space="0"/>
              <w:left w:val="single" w:color="000000" w:sz="4" w:space="0"/>
              <w:bottom w:val="single" w:color="000000" w:sz="4" w:space="0"/>
              <w:right w:val="single" w:color="auto" w:sz="4" w:space="0"/>
            </w:tcBorders>
            <w:vAlign w:val="center"/>
          </w:tcPr>
          <w:p w14:paraId="74C89A50">
            <w:pPr>
              <w:jc w:val="center"/>
              <w:rPr>
                <w:rFonts w:ascii="宋体" w:hAnsi="宋体" w:cs="宋体"/>
                <w:sz w:val="21"/>
                <w:szCs w:val="21"/>
              </w:rPr>
            </w:pPr>
            <w:r>
              <w:rPr>
                <w:rFonts w:hint="eastAsia" w:ascii="宋体" w:hAnsi="宋体" w:cs="宋体"/>
                <w:sz w:val="21"/>
                <w:szCs w:val="21"/>
              </w:rPr>
              <w:t>需满足东川区烟草制品零售点合理布局规划的其他规定</w:t>
            </w:r>
          </w:p>
        </w:tc>
        <w:tc>
          <w:tcPr>
            <w:tcW w:w="1347" w:type="dxa"/>
            <w:vMerge w:val="continue"/>
            <w:tcBorders>
              <w:left w:val="single" w:color="auto" w:sz="4" w:space="0"/>
              <w:right w:val="single" w:color="auto" w:sz="4" w:space="0"/>
            </w:tcBorders>
            <w:vAlign w:val="center"/>
          </w:tcPr>
          <w:p w14:paraId="02187786">
            <w:pPr>
              <w:jc w:val="center"/>
              <w:rPr>
                <w:rFonts w:ascii="宋体" w:hAnsi="宋体" w:cs="宋体"/>
                <w:sz w:val="22"/>
                <w:szCs w:val="22"/>
              </w:rPr>
            </w:pPr>
          </w:p>
        </w:tc>
        <w:tc>
          <w:tcPr>
            <w:tcW w:w="2025" w:type="dxa"/>
            <w:vMerge w:val="continue"/>
            <w:tcBorders>
              <w:left w:val="single" w:color="auto" w:sz="4" w:space="0"/>
              <w:right w:val="single" w:color="auto" w:sz="4" w:space="0"/>
            </w:tcBorders>
            <w:vAlign w:val="center"/>
          </w:tcPr>
          <w:p w14:paraId="0C65856E">
            <w:pPr>
              <w:jc w:val="center"/>
              <w:rPr>
                <w:rFonts w:ascii="宋体" w:hAnsi="宋体" w:cs="宋体"/>
                <w:sz w:val="22"/>
                <w:szCs w:val="22"/>
              </w:rPr>
            </w:pPr>
          </w:p>
        </w:tc>
      </w:tr>
      <w:tr w14:paraId="491C8559">
        <w:tblPrEx>
          <w:tblCellMar>
            <w:top w:w="0" w:type="dxa"/>
            <w:left w:w="108" w:type="dxa"/>
            <w:bottom w:w="0" w:type="dxa"/>
            <w:right w:w="108" w:type="dxa"/>
          </w:tblCellMar>
        </w:tblPrEx>
        <w:trPr>
          <w:trHeight w:val="313" w:hRule="atLeast"/>
          <w:jc w:val="center"/>
        </w:trPr>
        <w:tc>
          <w:tcPr>
            <w:tcW w:w="904" w:type="dxa"/>
            <w:vMerge w:val="continue"/>
            <w:tcBorders>
              <w:left w:val="single" w:color="000000" w:sz="4" w:space="0"/>
              <w:right w:val="single" w:color="000000" w:sz="4" w:space="0"/>
            </w:tcBorders>
            <w:vAlign w:val="center"/>
          </w:tcPr>
          <w:p w14:paraId="4F0E7233">
            <w:pPr>
              <w:jc w:val="center"/>
              <w:rPr>
                <w:rFonts w:ascii="宋体" w:hAnsi="宋体" w:cs="宋体"/>
                <w:sz w:val="22"/>
                <w:szCs w:val="22"/>
              </w:rPr>
            </w:pPr>
          </w:p>
        </w:tc>
        <w:tc>
          <w:tcPr>
            <w:tcW w:w="1317" w:type="dxa"/>
            <w:vMerge w:val="continue"/>
            <w:tcBorders>
              <w:left w:val="single" w:color="000000" w:sz="4" w:space="0"/>
              <w:bottom w:val="single" w:color="000000" w:sz="4" w:space="0"/>
              <w:right w:val="single" w:color="000000" w:sz="4" w:space="0"/>
            </w:tcBorders>
            <w:vAlign w:val="center"/>
          </w:tcPr>
          <w:p w14:paraId="5FEA2275">
            <w:pPr>
              <w:jc w:val="center"/>
              <w:rPr>
                <w:rFonts w:ascii="宋体" w:hAnsi="宋体" w:cs="宋体"/>
                <w:sz w:val="22"/>
                <w:szCs w:val="22"/>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32343">
            <w:pPr>
              <w:jc w:val="center"/>
              <w:rPr>
                <w:rFonts w:hint="eastAsia" w:ascii="宋体" w:hAnsi="宋体" w:cs="宋体"/>
                <w:sz w:val="21"/>
                <w:szCs w:val="21"/>
              </w:rPr>
            </w:pPr>
            <w:r>
              <w:rPr>
                <w:rFonts w:hint="eastAsia" w:ascii="宋体" w:hAnsi="宋体" w:cs="宋体"/>
                <w:sz w:val="21"/>
                <w:szCs w:val="21"/>
              </w:rPr>
              <w:t>重点区域</w:t>
            </w:r>
          </w:p>
        </w:tc>
        <w:tc>
          <w:tcPr>
            <w:tcW w:w="1200" w:type="dxa"/>
            <w:tcBorders>
              <w:top w:val="single" w:color="000000" w:sz="4" w:space="0"/>
              <w:left w:val="single" w:color="000000" w:sz="4" w:space="0"/>
              <w:bottom w:val="single" w:color="000000" w:sz="4" w:space="0"/>
              <w:right w:val="single" w:color="000000" w:sz="4" w:space="0"/>
            </w:tcBorders>
            <w:vAlign w:val="center"/>
          </w:tcPr>
          <w:p w14:paraId="29B337E6">
            <w:pPr>
              <w:jc w:val="center"/>
              <w:rPr>
                <w:rFonts w:hint="eastAsia" w:ascii="宋体" w:hAnsi="宋体" w:eastAsia="宋体" w:cs="宋体"/>
                <w:sz w:val="22"/>
                <w:szCs w:val="22"/>
                <w:lang w:val="en-US" w:eastAsia="zh-CN"/>
              </w:rPr>
            </w:pPr>
          </w:p>
        </w:tc>
        <w:tc>
          <w:tcPr>
            <w:tcW w:w="1407" w:type="dxa"/>
            <w:tcBorders>
              <w:top w:val="single" w:color="000000" w:sz="4" w:space="0"/>
              <w:left w:val="single" w:color="000000" w:sz="4" w:space="0"/>
              <w:bottom w:val="single" w:color="000000" w:sz="4" w:space="0"/>
              <w:right w:val="single" w:color="000000" w:sz="4" w:space="0"/>
            </w:tcBorders>
            <w:vAlign w:val="center"/>
          </w:tcPr>
          <w:p w14:paraId="0F139A08">
            <w:pPr>
              <w:jc w:val="center"/>
              <w:rPr>
                <w:rFonts w:hint="eastAsia" w:ascii="宋体" w:hAnsi="宋体" w:eastAsia="宋体" w:cs="宋体"/>
                <w:sz w:val="22"/>
                <w:szCs w:val="22"/>
                <w:lang w:val="en-US" w:eastAsia="zh-CN"/>
              </w:rPr>
            </w:pPr>
          </w:p>
        </w:tc>
        <w:tc>
          <w:tcPr>
            <w:tcW w:w="1082" w:type="dxa"/>
            <w:tcBorders>
              <w:top w:val="single" w:color="000000" w:sz="4" w:space="0"/>
              <w:left w:val="single" w:color="000000" w:sz="4" w:space="0"/>
              <w:bottom w:val="single" w:color="000000" w:sz="4" w:space="0"/>
              <w:right w:val="single" w:color="000000" w:sz="4" w:space="0"/>
            </w:tcBorders>
            <w:vAlign w:val="center"/>
          </w:tcPr>
          <w:p w14:paraId="42CE43D1">
            <w:pPr>
              <w:jc w:val="center"/>
              <w:rPr>
                <w:rFonts w:hint="eastAsia" w:ascii="宋体" w:hAnsi="宋体" w:eastAsia="宋体" w:cs="宋体"/>
                <w:sz w:val="22"/>
                <w:szCs w:val="22"/>
                <w:lang w:val="en-US" w:eastAsia="zh-CN"/>
              </w:rPr>
            </w:pPr>
          </w:p>
        </w:tc>
        <w:tc>
          <w:tcPr>
            <w:tcW w:w="1318" w:type="dxa"/>
            <w:tcBorders>
              <w:top w:val="single" w:color="000000" w:sz="4" w:space="0"/>
              <w:left w:val="single" w:color="000000" w:sz="4" w:space="0"/>
              <w:bottom w:val="single" w:color="000000" w:sz="4" w:space="0"/>
              <w:right w:val="single" w:color="000000" w:sz="4" w:space="0"/>
            </w:tcBorders>
            <w:vAlign w:val="center"/>
          </w:tcPr>
          <w:p w14:paraId="0D8C8F66">
            <w:pPr>
              <w:jc w:val="center"/>
              <w:rPr>
                <w:rFonts w:hint="eastAsia" w:ascii="宋体" w:hAnsi="宋体" w:eastAsia="宋体" w:cs="宋体"/>
                <w:sz w:val="22"/>
                <w:szCs w:val="22"/>
                <w:lang w:val="en-US" w:eastAsia="zh-CN"/>
              </w:rPr>
            </w:pPr>
          </w:p>
        </w:tc>
        <w:tc>
          <w:tcPr>
            <w:tcW w:w="2031" w:type="dxa"/>
            <w:tcBorders>
              <w:top w:val="single" w:color="000000" w:sz="4" w:space="0"/>
              <w:left w:val="single" w:color="000000" w:sz="4" w:space="0"/>
              <w:bottom w:val="single" w:color="000000" w:sz="4" w:space="0"/>
              <w:right w:val="single" w:color="auto" w:sz="4" w:space="0"/>
            </w:tcBorders>
            <w:vAlign w:val="center"/>
          </w:tcPr>
          <w:p w14:paraId="20522E40">
            <w:pPr>
              <w:jc w:val="center"/>
              <w:rPr>
                <w:rFonts w:hint="eastAsia" w:ascii="宋体" w:hAnsi="宋体" w:cs="宋体"/>
                <w:sz w:val="21"/>
                <w:szCs w:val="21"/>
              </w:rPr>
            </w:pPr>
            <w:r>
              <w:rPr>
                <w:rFonts w:hint="eastAsia" w:ascii="宋体" w:hAnsi="宋体" w:cs="宋体"/>
                <w:sz w:val="21"/>
                <w:szCs w:val="21"/>
              </w:rPr>
              <w:t>不受距离限制，但最小单元网格规划数限制</w:t>
            </w:r>
          </w:p>
        </w:tc>
        <w:tc>
          <w:tcPr>
            <w:tcW w:w="1347" w:type="dxa"/>
            <w:vMerge w:val="continue"/>
            <w:tcBorders>
              <w:left w:val="single" w:color="auto" w:sz="4" w:space="0"/>
              <w:right w:val="single" w:color="auto" w:sz="4" w:space="0"/>
            </w:tcBorders>
            <w:vAlign w:val="center"/>
          </w:tcPr>
          <w:p w14:paraId="2C195564">
            <w:pPr>
              <w:jc w:val="center"/>
              <w:rPr>
                <w:rFonts w:ascii="宋体" w:hAnsi="宋体" w:cs="宋体"/>
                <w:sz w:val="22"/>
                <w:szCs w:val="22"/>
              </w:rPr>
            </w:pPr>
          </w:p>
        </w:tc>
        <w:tc>
          <w:tcPr>
            <w:tcW w:w="2025" w:type="dxa"/>
            <w:vMerge w:val="continue"/>
            <w:tcBorders>
              <w:left w:val="single" w:color="auto" w:sz="4" w:space="0"/>
              <w:right w:val="single" w:color="auto" w:sz="4" w:space="0"/>
            </w:tcBorders>
            <w:vAlign w:val="center"/>
          </w:tcPr>
          <w:p w14:paraId="1FA8C824">
            <w:pPr>
              <w:jc w:val="center"/>
              <w:rPr>
                <w:rFonts w:ascii="宋体" w:hAnsi="宋体" w:cs="宋体"/>
                <w:sz w:val="22"/>
                <w:szCs w:val="22"/>
              </w:rPr>
            </w:pPr>
          </w:p>
        </w:tc>
      </w:tr>
      <w:tr w14:paraId="5DF2F922">
        <w:tblPrEx>
          <w:tblCellMar>
            <w:top w:w="0" w:type="dxa"/>
            <w:left w:w="108" w:type="dxa"/>
            <w:bottom w:w="0" w:type="dxa"/>
            <w:right w:w="108" w:type="dxa"/>
          </w:tblCellMar>
        </w:tblPrEx>
        <w:trPr>
          <w:trHeight w:val="340" w:hRule="atLeast"/>
          <w:jc w:val="center"/>
        </w:trPr>
        <w:tc>
          <w:tcPr>
            <w:tcW w:w="904" w:type="dxa"/>
            <w:vMerge w:val="continue"/>
            <w:tcBorders>
              <w:left w:val="single" w:color="000000" w:sz="4" w:space="0"/>
              <w:right w:val="single" w:color="000000" w:sz="4" w:space="0"/>
            </w:tcBorders>
            <w:vAlign w:val="center"/>
          </w:tcPr>
          <w:p w14:paraId="7977CB79">
            <w:pPr>
              <w:jc w:val="center"/>
              <w:rPr>
                <w:rFonts w:ascii="宋体" w:hAnsi="宋体" w:cs="宋体"/>
                <w:sz w:val="22"/>
                <w:szCs w:val="22"/>
              </w:rPr>
            </w:pPr>
          </w:p>
        </w:tc>
        <w:tc>
          <w:tcPr>
            <w:tcW w:w="1317" w:type="dxa"/>
            <w:vMerge w:val="restart"/>
            <w:tcBorders>
              <w:top w:val="single" w:color="000000" w:sz="4" w:space="0"/>
              <w:left w:val="single" w:color="000000" w:sz="4" w:space="0"/>
              <w:right w:val="single" w:color="000000" w:sz="4" w:space="0"/>
            </w:tcBorders>
            <w:vAlign w:val="center"/>
          </w:tcPr>
          <w:p w14:paraId="7C1E6DDD">
            <w:pPr>
              <w:jc w:val="center"/>
              <w:rPr>
                <w:rFonts w:ascii="宋体" w:hAnsi="宋体" w:cs="宋体"/>
                <w:sz w:val="22"/>
                <w:szCs w:val="22"/>
              </w:rPr>
            </w:pPr>
            <w:r>
              <w:rPr>
                <w:rFonts w:hint="eastAsia" w:ascii="宋体" w:hAnsi="宋体" w:cs="宋体"/>
                <w:sz w:val="22"/>
                <w:szCs w:val="22"/>
              </w:rPr>
              <w:t>汤丹镇</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A3473">
            <w:pPr>
              <w:rPr>
                <w:rFonts w:hint="default" w:ascii="宋体" w:hAnsi="宋体" w:eastAsia="宋体" w:cs="宋体"/>
                <w:sz w:val="21"/>
                <w:szCs w:val="21"/>
                <w:lang w:val="en-US" w:eastAsia="zh-CN"/>
              </w:rPr>
            </w:pPr>
            <w:r>
              <w:rPr>
                <w:rFonts w:hint="eastAsia" w:ascii="宋体" w:hAnsi="宋体" w:cs="宋体"/>
                <w:sz w:val="21"/>
                <w:szCs w:val="21"/>
              </w:rPr>
              <w:t>政府所在地</w:t>
            </w:r>
            <w:r>
              <w:rPr>
                <w:rFonts w:hint="eastAsia" w:ascii="宋体" w:hAnsi="宋体" w:cs="宋体"/>
                <w:sz w:val="21"/>
                <w:szCs w:val="21"/>
                <w:lang w:eastAsia="zh-CN"/>
              </w:rPr>
              <w:t>：</w:t>
            </w:r>
            <w:r>
              <w:rPr>
                <w:rFonts w:hint="eastAsia" w:ascii="宋体" w:hAnsi="宋体" w:cs="宋体"/>
                <w:sz w:val="21"/>
                <w:szCs w:val="21"/>
                <w:lang w:val="en-US" w:eastAsia="zh-CN"/>
              </w:rPr>
              <w:t>菜园、元宝</w:t>
            </w:r>
          </w:p>
        </w:tc>
        <w:tc>
          <w:tcPr>
            <w:tcW w:w="1200" w:type="dxa"/>
            <w:tcBorders>
              <w:top w:val="single" w:color="000000" w:sz="4" w:space="0"/>
              <w:left w:val="single" w:color="000000" w:sz="4" w:space="0"/>
              <w:bottom w:val="single" w:color="000000" w:sz="4" w:space="0"/>
              <w:right w:val="single" w:color="000000" w:sz="4" w:space="0"/>
            </w:tcBorders>
            <w:vAlign w:val="center"/>
          </w:tcPr>
          <w:p w14:paraId="304DDF65">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29</w:t>
            </w:r>
          </w:p>
        </w:tc>
        <w:tc>
          <w:tcPr>
            <w:tcW w:w="1407" w:type="dxa"/>
            <w:tcBorders>
              <w:top w:val="single" w:color="000000" w:sz="4" w:space="0"/>
              <w:left w:val="single" w:color="000000" w:sz="4" w:space="0"/>
              <w:bottom w:val="single" w:color="000000" w:sz="4" w:space="0"/>
              <w:right w:val="single" w:color="000000" w:sz="4" w:space="0"/>
            </w:tcBorders>
            <w:vAlign w:val="center"/>
          </w:tcPr>
          <w:p w14:paraId="2DF59CA3">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29</w:t>
            </w:r>
          </w:p>
        </w:tc>
        <w:tc>
          <w:tcPr>
            <w:tcW w:w="1082" w:type="dxa"/>
            <w:tcBorders>
              <w:top w:val="single" w:color="000000" w:sz="4" w:space="0"/>
              <w:left w:val="single" w:color="000000" w:sz="4" w:space="0"/>
              <w:bottom w:val="single" w:color="000000" w:sz="4" w:space="0"/>
              <w:right w:val="single" w:color="000000" w:sz="4" w:space="0"/>
            </w:tcBorders>
            <w:vAlign w:val="center"/>
          </w:tcPr>
          <w:p w14:paraId="75981E3E">
            <w:pPr>
              <w:jc w:val="center"/>
              <w:rPr>
                <w:rFonts w:ascii="宋体" w:hAnsi="宋体" w:cs="宋体"/>
                <w:sz w:val="22"/>
                <w:szCs w:val="22"/>
              </w:rPr>
            </w:pPr>
            <w:r>
              <w:rPr>
                <w:rFonts w:hint="eastAsia" w:ascii="宋体" w:hAnsi="宋体" w:cs="宋体"/>
                <w:sz w:val="22"/>
                <w:szCs w:val="22"/>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27ADB041">
            <w:pPr>
              <w:jc w:val="center"/>
              <w:rPr>
                <w:rFonts w:ascii="宋体" w:hAnsi="宋体" w:cs="宋体"/>
                <w:sz w:val="22"/>
                <w:szCs w:val="22"/>
              </w:rPr>
            </w:pPr>
            <w:r>
              <w:rPr>
                <w:rFonts w:hint="eastAsia" w:ascii="宋体" w:hAnsi="宋体" w:cs="宋体"/>
                <w:sz w:val="22"/>
                <w:szCs w:val="22"/>
              </w:rPr>
              <w:t>50</w:t>
            </w:r>
          </w:p>
        </w:tc>
        <w:tc>
          <w:tcPr>
            <w:tcW w:w="2031" w:type="dxa"/>
            <w:tcBorders>
              <w:top w:val="single" w:color="000000" w:sz="4" w:space="0"/>
              <w:left w:val="single" w:color="000000" w:sz="4" w:space="0"/>
              <w:bottom w:val="single" w:color="000000" w:sz="4" w:space="0"/>
              <w:right w:val="single" w:color="auto" w:sz="4" w:space="0"/>
            </w:tcBorders>
            <w:noWrap/>
            <w:vAlign w:val="center"/>
          </w:tcPr>
          <w:p w14:paraId="28CF1679">
            <w:pPr>
              <w:rPr>
                <w:rFonts w:ascii="宋体" w:hAnsi="宋体" w:cs="宋体"/>
                <w:sz w:val="21"/>
                <w:szCs w:val="21"/>
              </w:rPr>
            </w:pPr>
            <w:r>
              <w:rPr>
                <w:rFonts w:hint="eastAsia" w:ascii="宋体" w:hAnsi="宋体" w:cs="宋体"/>
                <w:sz w:val="21"/>
                <w:szCs w:val="21"/>
              </w:rPr>
              <w:t>需满足东川区烟草制品零售点合理布局规划的其他规定</w:t>
            </w:r>
          </w:p>
        </w:tc>
        <w:tc>
          <w:tcPr>
            <w:tcW w:w="1347" w:type="dxa"/>
            <w:vMerge w:val="continue"/>
            <w:tcBorders>
              <w:left w:val="single" w:color="auto" w:sz="4" w:space="0"/>
              <w:right w:val="single" w:color="auto" w:sz="4" w:space="0"/>
            </w:tcBorders>
            <w:vAlign w:val="center"/>
          </w:tcPr>
          <w:p w14:paraId="32BECB55">
            <w:pPr>
              <w:jc w:val="center"/>
              <w:rPr>
                <w:rFonts w:ascii="宋体" w:hAnsi="宋体" w:cs="宋体"/>
                <w:sz w:val="22"/>
                <w:szCs w:val="22"/>
              </w:rPr>
            </w:pPr>
          </w:p>
        </w:tc>
        <w:tc>
          <w:tcPr>
            <w:tcW w:w="2025" w:type="dxa"/>
            <w:vMerge w:val="continue"/>
            <w:tcBorders>
              <w:left w:val="single" w:color="auto" w:sz="4" w:space="0"/>
              <w:right w:val="single" w:color="auto" w:sz="4" w:space="0"/>
            </w:tcBorders>
            <w:vAlign w:val="center"/>
          </w:tcPr>
          <w:p w14:paraId="65AE77E5">
            <w:pPr>
              <w:jc w:val="center"/>
              <w:rPr>
                <w:rFonts w:ascii="宋体" w:hAnsi="宋体" w:cs="宋体"/>
                <w:sz w:val="22"/>
                <w:szCs w:val="22"/>
              </w:rPr>
            </w:pPr>
          </w:p>
        </w:tc>
      </w:tr>
      <w:tr w14:paraId="6374BE2E">
        <w:tblPrEx>
          <w:tblCellMar>
            <w:top w:w="0" w:type="dxa"/>
            <w:left w:w="108" w:type="dxa"/>
            <w:bottom w:w="0" w:type="dxa"/>
            <w:right w:w="108" w:type="dxa"/>
          </w:tblCellMar>
        </w:tblPrEx>
        <w:trPr>
          <w:trHeight w:val="340" w:hRule="atLeast"/>
          <w:jc w:val="center"/>
        </w:trPr>
        <w:tc>
          <w:tcPr>
            <w:tcW w:w="904" w:type="dxa"/>
            <w:vMerge w:val="continue"/>
            <w:tcBorders>
              <w:left w:val="single" w:color="000000" w:sz="4" w:space="0"/>
              <w:right w:val="single" w:color="000000" w:sz="4" w:space="0"/>
            </w:tcBorders>
            <w:vAlign w:val="center"/>
          </w:tcPr>
          <w:p w14:paraId="39041180">
            <w:pPr>
              <w:jc w:val="center"/>
              <w:rPr>
                <w:rFonts w:ascii="宋体" w:hAnsi="宋体" w:cs="宋体"/>
                <w:sz w:val="22"/>
                <w:szCs w:val="22"/>
              </w:rPr>
            </w:pPr>
          </w:p>
        </w:tc>
        <w:tc>
          <w:tcPr>
            <w:tcW w:w="1317" w:type="dxa"/>
            <w:vMerge w:val="continue"/>
            <w:tcBorders>
              <w:left w:val="single" w:color="000000" w:sz="4" w:space="0"/>
              <w:right w:val="single" w:color="000000" w:sz="4" w:space="0"/>
            </w:tcBorders>
            <w:vAlign w:val="center"/>
          </w:tcPr>
          <w:p w14:paraId="69C8DCEE">
            <w:pPr>
              <w:jc w:val="center"/>
              <w:rPr>
                <w:rFonts w:ascii="宋体" w:hAnsi="宋体" w:cs="宋体"/>
                <w:sz w:val="22"/>
                <w:szCs w:val="22"/>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37385">
            <w:pPr>
              <w:jc w:val="center"/>
              <w:rPr>
                <w:rFonts w:ascii="宋体" w:hAnsi="宋体" w:cs="宋体"/>
                <w:sz w:val="21"/>
                <w:szCs w:val="21"/>
              </w:rPr>
            </w:pPr>
            <w:r>
              <w:rPr>
                <w:rFonts w:hint="eastAsia" w:ascii="宋体" w:hAnsi="宋体" w:cs="宋体"/>
                <w:sz w:val="21"/>
                <w:szCs w:val="21"/>
              </w:rPr>
              <w:t>政府所在地以外区域</w:t>
            </w:r>
          </w:p>
        </w:tc>
        <w:tc>
          <w:tcPr>
            <w:tcW w:w="1200" w:type="dxa"/>
            <w:tcBorders>
              <w:top w:val="single" w:color="000000" w:sz="4" w:space="0"/>
              <w:left w:val="single" w:color="000000" w:sz="4" w:space="0"/>
              <w:bottom w:val="single" w:color="000000" w:sz="4" w:space="0"/>
              <w:right w:val="single" w:color="000000" w:sz="4" w:space="0"/>
            </w:tcBorders>
            <w:vAlign w:val="center"/>
          </w:tcPr>
          <w:p w14:paraId="6ADBF6E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46</w:t>
            </w:r>
          </w:p>
        </w:tc>
        <w:tc>
          <w:tcPr>
            <w:tcW w:w="1407" w:type="dxa"/>
            <w:tcBorders>
              <w:top w:val="single" w:color="000000" w:sz="4" w:space="0"/>
              <w:left w:val="single" w:color="000000" w:sz="4" w:space="0"/>
              <w:bottom w:val="single" w:color="000000" w:sz="4" w:space="0"/>
              <w:right w:val="single" w:color="000000" w:sz="4" w:space="0"/>
            </w:tcBorders>
            <w:vAlign w:val="center"/>
          </w:tcPr>
          <w:p w14:paraId="64E7D297">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46</w:t>
            </w:r>
          </w:p>
        </w:tc>
        <w:tc>
          <w:tcPr>
            <w:tcW w:w="1082" w:type="dxa"/>
            <w:tcBorders>
              <w:top w:val="single" w:color="000000" w:sz="4" w:space="0"/>
              <w:left w:val="single" w:color="000000" w:sz="4" w:space="0"/>
              <w:bottom w:val="single" w:color="000000" w:sz="4" w:space="0"/>
              <w:right w:val="single" w:color="000000" w:sz="4" w:space="0"/>
            </w:tcBorders>
            <w:vAlign w:val="center"/>
          </w:tcPr>
          <w:p w14:paraId="06ABF866">
            <w:pPr>
              <w:jc w:val="center"/>
              <w:rPr>
                <w:rFonts w:hint="eastAsia" w:ascii="宋体" w:hAnsi="宋体" w:eastAsia="宋体" w:cs="宋体"/>
                <w:sz w:val="22"/>
                <w:szCs w:val="22"/>
                <w:lang w:val="en-US" w:eastAsia="zh-CN"/>
              </w:rPr>
            </w:pPr>
            <w:r>
              <w:rPr>
                <w:rFonts w:hint="eastAsia" w:ascii="宋体" w:hAnsi="宋体" w:cs="宋体"/>
                <w:sz w:val="22"/>
                <w:szCs w:val="22"/>
                <w:lang w:val="en-US" w:eastAsia="zh-CN"/>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2A436847">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50</w:t>
            </w:r>
          </w:p>
        </w:tc>
        <w:tc>
          <w:tcPr>
            <w:tcW w:w="2031" w:type="dxa"/>
            <w:tcBorders>
              <w:top w:val="single" w:color="000000" w:sz="4" w:space="0"/>
              <w:left w:val="single" w:color="000000" w:sz="4" w:space="0"/>
              <w:bottom w:val="single" w:color="000000" w:sz="4" w:space="0"/>
              <w:right w:val="single" w:color="auto" w:sz="4" w:space="0"/>
            </w:tcBorders>
            <w:noWrap/>
            <w:vAlign w:val="center"/>
          </w:tcPr>
          <w:p w14:paraId="67FFAEE4">
            <w:pPr>
              <w:rPr>
                <w:rFonts w:ascii="宋体" w:hAnsi="宋体" w:cs="宋体"/>
                <w:sz w:val="21"/>
                <w:szCs w:val="21"/>
              </w:rPr>
            </w:pPr>
            <w:r>
              <w:rPr>
                <w:rFonts w:hint="eastAsia" w:ascii="宋体" w:hAnsi="宋体" w:cs="宋体"/>
                <w:sz w:val="21"/>
                <w:szCs w:val="21"/>
              </w:rPr>
              <w:t>需满足东川区烟草制品零售点合理布局规划的其他规定</w:t>
            </w:r>
          </w:p>
        </w:tc>
        <w:tc>
          <w:tcPr>
            <w:tcW w:w="1347" w:type="dxa"/>
            <w:vMerge w:val="continue"/>
            <w:tcBorders>
              <w:left w:val="single" w:color="auto" w:sz="4" w:space="0"/>
              <w:right w:val="single" w:color="auto" w:sz="4" w:space="0"/>
            </w:tcBorders>
            <w:vAlign w:val="center"/>
          </w:tcPr>
          <w:p w14:paraId="449CEB17">
            <w:pPr>
              <w:jc w:val="center"/>
              <w:rPr>
                <w:rFonts w:ascii="宋体" w:hAnsi="宋体" w:cs="宋体"/>
                <w:sz w:val="22"/>
                <w:szCs w:val="22"/>
              </w:rPr>
            </w:pPr>
          </w:p>
        </w:tc>
        <w:tc>
          <w:tcPr>
            <w:tcW w:w="2025" w:type="dxa"/>
            <w:vMerge w:val="continue"/>
            <w:tcBorders>
              <w:left w:val="single" w:color="auto" w:sz="4" w:space="0"/>
              <w:right w:val="single" w:color="auto" w:sz="4" w:space="0"/>
            </w:tcBorders>
            <w:vAlign w:val="center"/>
          </w:tcPr>
          <w:p w14:paraId="400D7A42">
            <w:pPr>
              <w:jc w:val="center"/>
              <w:rPr>
                <w:rFonts w:ascii="宋体" w:hAnsi="宋体" w:cs="宋体"/>
                <w:sz w:val="22"/>
                <w:szCs w:val="22"/>
              </w:rPr>
            </w:pPr>
          </w:p>
        </w:tc>
      </w:tr>
      <w:tr w14:paraId="091707C6">
        <w:tblPrEx>
          <w:tblCellMar>
            <w:top w:w="0" w:type="dxa"/>
            <w:left w:w="108" w:type="dxa"/>
            <w:bottom w:w="0" w:type="dxa"/>
            <w:right w:w="108" w:type="dxa"/>
          </w:tblCellMar>
        </w:tblPrEx>
        <w:trPr>
          <w:trHeight w:val="340" w:hRule="atLeast"/>
          <w:jc w:val="center"/>
        </w:trPr>
        <w:tc>
          <w:tcPr>
            <w:tcW w:w="904" w:type="dxa"/>
            <w:vMerge w:val="continue"/>
            <w:tcBorders>
              <w:left w:val="single" w:color="000000" w:sz="4" w:space="0"/>
              <w:right w:val="single" w:color="000000" w:sz="4" w:space="0"/>
            </w:tcBorders>
            <w:vAlign w:val="center"/>
          </w:tcPr>
          <w:p w14:paraId="2659EC51">
            <w:pPr>
              <w:jc w:val="center"/>
              <w:rPr>
                <w:rFonts w:ascii="宋体" w:hAnsi="宋体" w:cs="宋体"/>
                <w:sz w:val="22"/>
                <w:szCs w:val="22"/>
              </w:rPr>
            </w:pPr>
          </w:p>
        </w:tc>
        <w:tc>
          <w:tcPr>
            <w:tcW w:w="1317" w:type="dxa"/>
            <w:vMerge w:val="continue"/>
            <w:tcBorders>
              <w:left w:val="single" w:color="000000" w:sz="4" w:space="0"/>
              <w:bottom w:val="single" w:color="000000" w:sz="4" w:space="0"/>
              <w:right w:val="single" w:color="000000" w:sz="4" w:space="0"/>
            </w:tcBorders>
            <w:vAlign w:val="center"/>
          </w:tcPr>
          <w:p w14:paraId="5AE9FAFF">
            <w:pPr>
              <w:jc w:val="center"/>
              <w:rPr>
                <w:rFonts w:ascii="宋体" w:hAnsi="宋体" w:cs="宋体"/>
                <w:sz w:val="22"/>
                <w:szCs w:val="22"/>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7CA92">
            <w:pPr>
              <w:jc w:val="left"/>
              <w:rPr>
                <w:rFonts w:ascii="宋体" w:hAnsi="宋体" w:cs="宋体"/>
                <w:sz w:val="21"/>
                <w:szCs w:val="21"/>
              </w:rPr>
            </w:pPr>
            <w:r>
              <w:rPr>
                <w:rFonts w:hint="eastAsia" w:ascii="宋体" w:hAnsi="宋体" w:cs="宋体"/>
                <w:sz w:val="21"/>
                <w:szCs w:val="21"/>
              </w:rPr>
              <w:t>重点区域</w:t>
            </w:r>
          </w:p>
        </w:tc>
        <w:tc>
          <w:tcPr>
            <w:tcW w:w="1200" w:type="dxa"/>
            <w:tcBorders>
              <w:top w:val="single" w:color="000000" w:sz="4" w:space="0"/>
              <w:left w:val="single" w:color="000000" w:sz="4" w:space="0"/>
              <w:bottom w:val="single" w:color="000000" w:sz="4" w:space="0"/>
              <w:right w:val="single" w:color="000000" w:sz="4" w:space="0"/>
            </w:tcBorders>
            <w:vAlign w:val="center"/>
          </w:tcPr>
          <w:p w14:paraId="14E704C0">
            <w:pPr>
              <w:jc w:val="center"/>
              <w:rPr>
                <w:rFonts w:hint="eastAsia" w:ascii="宋体" w:hAnsi="宋体" w:eastAsia="宋体" w:cs="宋体"/>
                <w:sz w:val="22"/>
                <w:szCs w:val="22"/>
                <w:lang w:val="en-US" w:eastAsia="zh-CN"/>
              </w:rPr>
            </w:pPr>
            <w:r>
              <w:rPr>
                <w:rFonts w:hint="eastAsia" w:ascii="宋体" w:hAnsi="宋体" w:cs="宋体"/>
                <w:sz w:val="22"/>
                <w:szCs w:val="22"/>
                <w:lang w:val="en-US" w:eastAsia="zh-CN"/>
              </w:rPr>
              <w:t>0</w:t>
            </w:r>
          </w:p>
        </w:tc>
        <w:tc>
          <w:tcPr>
            <w:tcW w:w="1407" w:type="dxa"/>
            <w:tcBorders>
              <w:top w:val="single" w:color="000000" w:sz="4" w:space="0"/>
              <w:left w:val="single" w:color="000000" w:sz="4" w:space="0"/>
              <w:bottom w:val="single" w:color="000000" w:sz="4" w:space="0"/>
              <w:right w:val="single" w:color="000000" w:sz="4" w:space="0"/>
            </w:tcBorders>
            <w:vAlign w:val="center"/>
          </w:tcPr>
          <w:p w14:paraId="122B0C54">
            <w:pPr>
              <w:jc w:val="center"/>
              <w:rPr>
                <w:rFonts w:hint="eastAsia" w:ascii="宋体" w:hAnsi="宋体" w:eastAsia="宋体" w:cs="宋体"/>
                <w:sz w:val="22"/>
                <w:szCs w:val="22"/>
                <w:lang w:val="en-US" w:eastAsia="zh-CN"/>
              </w:rPr>
            </w:pPr>
            <w:r>
              <w:rPr>
                <w:rFonts w:hint="eastAsia" w:ascii="宋体" w:hAnsi="宋体" w:cs="宋体"/>
                <w:sz w:val="22"/>
                <w:szCs w:val="22"/>
                <w:lang w:val="en-US" w:eastAsia="zh-CN"/>
              </w:rPr>
              <w:t>0</w:t>
            </w:r>
          </w:p>
        </w:tc>
        <w:tc>
          <w:tcPr>
            <w:tcW w:w="1082" w:type="dxa"/>
            <w:tcBorders>
              <w:top w:val="single" w:color="000000" w:sz="4" w:space="0"/>
              <w:left w:val="single" w:color="000000" w:sz="4" w:space="0"/>
              <w:bottom w:val="single" w:color="000000" w:sz="4" w:space="0"/>
              <w:right w:val="single" w:color="000000" w:sz="4" w:space="0"/>
            </w:tcBorders>
            <w:vAlign w:val="center"/>
          </w:tcPr>
          <w:p w14:paraId="68B71BFB">
            <w:pPr>
              <w:jc w:val="center"/>
              <w:rPr>
                <w:rFonts w:hint="eastAsia" w:ascii="宋体" w:hAnsi="宋体" w:eastAsia="宋体" w:cs="宋体"/>
                <w:sz w:val="22"/>
                <w:szCs w:val="22"/>
                <w:lang w:val="en-US" w:eastAsia="zh-CN"/>
              </w:rPr>
            </w:pPr>
            <w:r>
              <w:rPr>
                <w:rFonts w:hint="eastAsia" w:ascii="宋体" w:hAnsi="宋体" w:cs="宋体"/>
                <w:sz w:val="22"/>
                <w:szCs w:val="22"/>
                <w:lang w:val="en-US" w:eastAsia="zh-CN"/>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7AF0712D">
            <w:pPr>
              <w:jc w:val="center"/>
              <w:rPr>
                <w:rFonts w:hint="eastAsia" w:ascii="宋体" w:hAnsi="宋体" w:eastAsia="宋体" w:cs="宋体"/>
                <w:sz w:val="22"/>
                <w:szCs w:val="22"/>
                <w:lang w:val="en-US" w:eastAsia="zh-CN"/>
              </w:rPr>
            </w:pPr>
            <w:r>
              <w:rPr>
                <w:rFonts w:hint="eastAsia" w:ascii="宋体" w:hAnsi="宋体" w:cs="宋体"/>
                <w:sz w:val="22"/>
                <w:szCs w:val="22"/>
                <w:lang w:val="en-US" w:eastAsia="zh-CN"/>
              </w:rPr>
              <w:t>0</w:t>
            </w:r>
          </w:p>
        </w:tc>
        <w:tc>
          <w:tcPr>
            <w:tcW w:w="2031" w:type="dxa"/>
            <w:tcBorders>
              <w:top w:val="single" w:color="000000" w:sz="4" w:space="0"/>
              <w:left w:val="single" w:color="000000" w:sz="4" w:space="0"/>
              <w:bottom w:val="single" w:color="000000" w:sz="4" w:space="0"/>
              <w:right w:val="single" w:color="auto" w:sz="4" w:space="0"/>
            </w:tcBorders>
            <w:noWrap/>
            <w:vAlign w:val="center"/>
          </w:tcPr>
          <w:p w14:paraId="55CBFAB9">
            <w:pPr>
              <w:rPr>
                <w:rFonts w:ascii="宋体" w:hAnsi="宋体" w:cs="宋体"/>
                <w:sz w:val="21"/>
                <w:szCs w:val="21"/>
              </w:rPr>
            </w:pPr>
            <w:r>
              <w:rPr>
                <w:rFonts w:hint="eastAsia" w:ascii="宋体" w:hAnsi="宋体" w:cs="宋体"/>
                <w:sz w:val="21"/>
                <w:szCs w:val="21"/>
              </w:rPr>
              <w:t>不受距离限制，但最小单元网格规划数限制</w:t>
            </w:r>
          </w:p>
        </w:tc>
        <w:tc>
          <w:tcPr>
            <w:tcW w:w="1347" w:type="dxa"/>
            <w:vMerge w:val="continue"/>
            <w:tcBorders>
              <w:left w:val="single" w:color="auto" w:sz="4" w:space="0"/>
              <w:right w:val="single" w:color="auto" w:sz="4" w:space="0"/>
            </w:tcBorders>
            <w:vAlign w:val="center"/>
          </w:tcPr>
          <w:p w14:paraId="41CD7B3D">
            <w:pPr>
              <w:jc w:val="center"/>
              <w:rPr>
                <w:rFonts w:ascii="宋体" w:hAnsi="宋体" w:cs="宋体"/>
                <w:sz w:val="22"/>
                <w:szCs w:val="22"/>
              </w:rPr>
            </w:pPr>
          </w:p>
        </w:tc>
        <w:tc>
          <w:tcPr>
            <w:tcW w:w="2025" w:type="dxa"/>
            <w:vMerge w:val="continue"/>
            <w:tcBorders>
              <w:left w:val="single" w:color="auto" w:sz="4" w:space="0"/>
              <w:right w:val="single" w:color="auto" w:sz="4" w:space="0"/>
            </w:tcBorders>
            <w:vAlign w:val="center"/>
          </w:tcPr>
          <w:p w14:paraId="331DB49E">
            <w:pPr>
              <w:jc w:val="center"/>
              <w:rPr>
                <w:rFonts w:ascii="宋体" w:hAnsi="宋体" w:cs="宋体"/>
                <w:sz w:val="22"/>
                <w:szCs w:val="22"/>
              </w:rPr>
            </w:pPr>
          </w:p>
        </w:tc>
      </w:tr>
      <w:tr w14:paraId="6EE6B245">
        <w:tblPrEx>
          <w:tblCellMar>
            <w:top w:w="0" w:type="dxa"/>
            <w:left w:w="108" w:type="dxa"/>
            <w:bottom w:w="0" w:type="dxa"/>
            <w:right w:w="108" w:type="dxa"/>
          </w:tblCellMar>
        </w:tblPrEx>
        <w:trPr>
          <w:trHeight w:val="340" w:hRule="atLeast"/>
          <w:jc w:val="center"/>
        </w:trPr>
        <w:tc>
          <w:tcPr>
            <w:tcW w:w="904" w:type="dxa"/>
            <w:vMerge w:val="continue"/>
            <w:tcBorders>
              <w:left w:val="single" w:color="000000" w:sz="4" w:space="0"/>
              <w:right w:val="single" w:color="000000" w:sz="4" w:space="0"/>
            </w:tcBorders>
            <w:vAlign w:val="center"/>
          </w:tcPr>
          <w:p w14:paraId="4E5D90F5">
            <w:pPr>
              <w:jc w:val="center"/>
              <w:rPr>
                <w:rFonts w:ascii="宋体" w:hAnsi="宋体" w:cs="宋体"/>
                <w:sz w:val="22"/>
                <w:szCs w:val="22"/>
              </w:rPr>
            </w:pPr>
          </w:p>
        </w:tc>
        <w:tc>
          <w:tcPr>
            <w:tcW w:w="1317" w:type="dxa"/>
            <w:vMerge w:val="restart"/>
            <w:tcBorders>
              <w:top w:val="single" w:color="000000" w:sz="4" w:space="0"/>
              <w:left w:val="single" w:color="000000" w:sz="4" w:space="0"/>
              <w:right w:val="single" w:color="000000" w:sz="4" w:space="0"/>
            </w:tcBorders>
            <w:vAlign w:val="center"/>
          </w:tcPr>
          <w:p w14:paraId="57785E1E">
            <w:pPr>
              <w:jc w:val="center"/>
              <w:rPr>
                <w:rFonts w:ascii="宋体" w:hAnsi="宋体" w:cs="宋体"/>
                <w:sz w:val="22"/>
                <w:szCs w:val="22"/>
              </w:rPr>
            </w:pPr>
            <w:r>
              <w:rPr>
                <w:rFonts w:hint="eastAsia" w:ascii="宋体" w:hAnsi="宋体" w:cs="宋体"/>
                <w:sz w:val="22"/>
                <w:szCs w:val="22"/>
              </w:rPr>
              <w:t>因民镇</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0FE33">
            <w:pPr>
              <w:rPr>
                <w:rFonts w:hint="default" w:ascii="宋体" w:hAnsi="宋体" w:eastAsia="宋体" w:cs="宋体"/>
                <w:sz w:val="21"/>
                <w:szCs w:val="21"/>
                <w:lang w:val="en-US" w:eastAsia="zh-CN"/>
              </w:rPr>
            </w:pPr>
            <w:r>
              <w:rPr>
                <w:rFonts w:hint="eastAsia" w:ascii="宋体" w:hAnsi="宋体" w:cs="宋体"/>
                <w:sz w:val="21"/>
                <w:szCs w:val="21"/>
              </w:rPr>
              <w:t>政府所在地</w:t>
            </w:r>
            <w:r>
              <w:rPr>
                <w:rFonts w:hint="eastAsia" w:ascii="宋体" w:hAnsi="宋体" w:cs="宋体"/>
                <w:sz w:val="21"/>
                <w:szCs w:val="21"/>
                <w:lang w:eastAsia="zh-CN"/>
              </w:rPr>
              <w:t>：</w:t>
            </w:r>
            <w:r>
              <w:rPr>
                <w:rFonts w:hint="eastAsia" w:ascii="宋体" w:hAnsi="宋体" w:cs="宋体"/>
                <w:sz w:val="21"/>
                <w:szCs w:val="21"/>
                <w:lang w:val="en-US" w:eastAsia="zh-CN"/>
              </w:rPr>
              <w:t>田坝</w:t>
            </w:r>
          </w:p>
        </w:tc>
        <w:tc>
          <w:tcPr>
            <w:tcW w:w="1200" w:type="dxa"/>
            <w:tcBorders>
              <w:top w:val="single" w:color="000000" w:sz="4" w:space="0"/>
              <w:left w:val="single" w:color="000000" w:sz="4" w:space="0"/>
              <w:bottom w:val="single" w:color="000000" w:sz="4" w:space="0"/>
              <w:right w:val="single" w:color="000000" w:sz="4" w:space="0"/>
            </w:tcBorders>
            <w:vAlign w:val="center"/>
          </w:tcPr>
          <w:p w14:paraId="4BEEF849">
            <w:pPr>
              <w:jc w:val="center"/>
              <w:rPr>
                <w:rFonts w:hint="eastAsia" w:ascii="宋体" w:hAnsi="宋体" w:eastAsia="宋体" w:cs="宋体"/>
                <w:sz w:val="22"/>
                <w:szCs w:val="22"/>
                <w:lang w:eastAsia="zh-CN"/>
              </w:rPr>
            </w:pPr>
            <w:r>
              <w:rPr>
                <w:rFonts w:hint="eastAsia" w:ascii="宋体" w:hAnsi="宋体" w:cs="宋体"/>
                <w:sz w:val="22"/>
                <w:szCs w:val="22"/>
                <w:lang w:val="en-US" w:eastAsia="zh-CN"/>
              </w:rPr>
              <w:t>8</w:t>
            </w:r>
          </w:p>
        </w:tc>
        <w:tc>
          <w:tcPr>
            <w:tcW w:w="1407" w:type="dxa"/>
            <w:tcBorders>
              <w:top w:val="single" w:color="000000" w:sz="4" w:space="0"/>
              <w:left w:val="single" w:color="000000" w:sz="4" w:space="0"/>
              <w:bottom w:val="single" w:color="000000" w:sz="4" w:space="0"/>
              <w:right w:val="single" w:color="000000" w:sz="4" w:space="0"/>
            </w:tcBorders>
            <w:vAlign w:val="center"/>
          </w:tcPr>
          <w:p w14:paraId="7251A8B6">
            <w:pPr>
              <w:jc w:val="center"/>
              <w:rPr>
                <w:rFonts w:hint="eastAsia" w:ascii="宋体" w:hAnsi="宋体" w:eastAsia="宋体" w:cs="宋体"/>
                <w:sz w:val="22"/>
                <w:szCs w:val="22"/>
                <w:lang w:eastAsia="zh-CN"/>
              </w:rPr>
            </w:pPr>
            <w:r>
              <w:rPr>
                <w:rFonts w:hint="eastAsia" w:ascii="宋体" w:hAnsi="宋体" w:cs="宋体"/>
                <w:sz w:val="22"/>
                <w:szCs w:val="22"/>
                <w:lang w:val="en-US" w:eastAsia="zh-CN"/>
              </w:rPr>
              <w:t>8</w:t>
            </w:r>
          </w:p>
        </w:tc>
        <w:tc>
          <w:tcPr>
            <w:tcW w:w="1082" w:type="dxa"/>
            <w:tcBorders>
              <w:top w:val="single" w:color="000000" w:sz="4" w:space="0"/>
              <w:left w:val="single" w:color="000000" w:sz="4" w:space="0"/>
              <w:bottom w:val="single" w:color="000000" w:sz="4" w:space="0"/>
              <w:right w:val="single" w:color="000000" w:sz="4" w:space="0"/>
            </w:tcBorders>
            <w:vAlign w:val="center"/>
          </w:tcPr>
          <w:p w14:paraId="0BED0A79">
            <w:pPr>
              <w:jc w:val="center"/>
              <w:rPr>
                <w:rFonts w:ascii="宋体" w:hAnsi="宋体" w:cs="宋体"/>
                <w:sz w:val="22"/>
                <w:szCs w:val="22"/>
              </w:rPr>
            </w:pPr>
            <w:r>
              <w:rPr>
                <w:rFonts w:hint="eastAsia" w:ascii="宋体" w:hAnsi="宋体" w:cs="宋体"/>
                <w:sz w:val="22"/>
                <w:szCs w:val="22"/>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0F6FBDFC">
            <w:pPr>
              <w:jc w:val="center"/>
              <w:rPr>
                <w:rFonts w:ascii="宋体" w:hAnsi="宋体" w:cs="宋体"/>
                <w:sz w:val="22"/>
                <w:szCs w:val="22"/>
              </w:rPr>
            </w:pPr>
            <w:r>
              <w:rPr>
                <w:rFonts w:hint="eastAsia" w:ascii="宋体" w:hAnsi="宋体" w:cs="宋体"/>
                <w:sz w:val="22"/>
                <w:szCs w:val="22"/>
              </w:rPr>
              <w:t>50</w:t>
            </w:r>
          </w:p>
        </w:tc>
        <w:tc>
          <w:tcPr>
            <w:tcW w:w="2031" w:type="dxa"/>
            <w:tcBorders>
              <w:top w:val="single" w:color="000000" w:sz="4" w:space="0"/>
              <w:left w:val="single" w:color="000000" w:sz="4" w:space="0"/>
              <w:bottom w:val="single" w:color="000000" w:sz="4" w:space="0"/>
              <w:right w:val="single" w:color="auto" w:sz="4" w:space="0"/>
            </w:tcBorders>
            <w:noWrap/>
            <w:vAlign w:val="center"/>
          </w:tcPr>
          <w:p w14:paraId="3EAF41F5">
            <w:pPr>
              <w:rPr>
                <w:rFonts w:ascii="宋体" w:hAnsi="宋体" w:cs="宋体"/>
                <w:sz w:val="21"/>
                <w:szCs w:val="21"/>
              </w:rPr>
            </w:pPr>
            <w:r>
              <w:rPr>
                <w:rFonts w:hint="eastAsia" w:ascii="宋体" w:hAnsi="宋体" w:cs="宋体"/>
                <w:sz w:val="21"/>
                <w:szCs w:val="21"/>
              </w:rPr>
              <w:t>需满足东川区烟草制品零售点合理布局规划的其他规定</w:t>
            </w:r>
          </w:p>
        </w:tc>
        <w:tc>
          <w:tcPr>
            <w:tcW w:w="1347" w:type="dxa"/>
            <w:vMerge w:val="continue"/>
            <w:tcBorders>
              <w:left w:val="single" w:color="auto" w:sz="4" w:space="0"/>
              <w:right w:val="single" w:color="auto" w:sz="4" w:space="0"/>
            </w:tcBorders>
            <w:vAlign w:val="center"/>
          </w:tcPr>
          <w:p w14:paraId="7EB8787D">
            <w:pPr>
              <w:jc w:val="center"/>
              <w:rPr>
                <w:rFonts w:ascii="宋体" w:hAnsi="宋体" w:cs="宋体"/>
                <w:sz w:val="22"/>
                <w:szCs w:val="22"/>
              </w:rPr>
            </w:pPr>
          </w:p>
        </w:tc>
        <w:tc>
          <w:tcPr>
            <w:tcW w:w="2025" w:type="dxa"/>
            <w:vMerge w:val="continue"/>
            <w:tcBorders>
              <w:left w:val="single" w:color="auto" w:sz="4" w:space="0"/>
              <w:right w:val="single" w:color="auto" w:sz="4" w:space="0"/>
            </w:tcBorders>
            <w:vAlign w:val="center"/>
          </w:tcPr>
          <w:p w14:paraId="1D8CE8F3">
            <w:pPr>
              <w:jc w:val="center"/>
              <w:rPr>
                <w:rFonts w:ascii="宋体" w:hAnsi="宋体" w:cs="宋体"/>
                <w:sz w:val="22"/>
                <w:szCs w:val="22"/>
              </w:rPr>
            </w:pPr>
          </w:p>
        </w:tc>
      </w:tr>
      <w:tr w14:paraId="47C75AF9">
        <w:tblPrEx>
          <w:tblCellMar>
            <w:top w:w="0" w:type="dxa"/>
            <w:left w:w="108" w:type="dxa"/>
            <w:bottom w:w="0" w:type="dxa"/>
            <w:right w:w="108" w:type="dxa"/>
          </w:tblCellMar>
        </w:tblPrEx>
        <w:trPr>
          <w:trHeight w:val="340" w:hRule="atLeast"/>
          <w:jc w:val="center"/>
        </w:trPr>
        <w:tc>
          <w:tcPr>
            <w:tcW w:w="904" w:type="dxa"/>
            <w:vMerge w:val="continue"/>
            <w:tcBorders>
              <w:left w:val="single" w:color="000000" w:sz="4" w:space="0"/>
              <w:right w:val="single" w:color="000000" w:sz="4" w:space="0"/>
            </w:tcBorders>
            <w:vAlign w:val="center"/>
          </w:tcPr>
          <w:p w14:paraId="04BDB260">
            <w:pPr>
              <w:jc w:val="center"/>
              <w:rPr>
                <w:rFonts w:ascii="宋体" w:hAnsi="宋体" w:cs="宋体"/>
                <w:sz w:val="22"/>
                <w:szCs w:val="22"/>
              </w:rPr>
            </w:pPr>
          </w:p>
        </w:tc>
        <w:tc>
          <w:tcPr>
            <w:tcW w:w="1317" w:type="dxa"/>
            <w:vMerge w:val="continue"/>
            <w:tcBorders>
              <w:left w:val="single" w:color="000000" w:sz="4" w:space="0"/>
              <w:right w:val="single" w:color="000000" w:sz="4" w:space="0"/>
            </w:tcBorders>
            <w:vAlign w:val="center"/>
          </w:tcPr>
          <w:p w14:paraId="2CABB717">
            <w:pPr>
              <w:jc w:val="center"/>
              <w:rPr>
                <w:rFonts w:ascii="宋体" w:hAnsi="宋体" w:cs="宋体"/>
                <w:sz w:val="22"/>
                <w:szCs w:val="22"/>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2C232">
            <w:pPr>
              <w:jc w:val="center"/>
              <w:rPr>
                <w:rFonts w:ascii="宋体" w:hAnsi="宋体" w:cs="宋体"/>
                <w:sz w:val="21"/>
                <w:szCs w:val="21"/>
              </w:rPr>
            </w:pPr>
            <w:r>
              <w:rPr>
                <w:rFonts w:hint="eastAsia" w:ascii="宋体" w:hAnsi="宋体" w:cs="宋体"/>
                <w:sz w:val="21"/>
                <w:szCs w:val="21"/>
              </w:rPr>
              <w:t>政府所在地以外区域</w:t>
            </w:r>
          </w:p>
        </w:tc>
        <w:tc>
          <w:tcPr>
            <w:tcW w:w="1200" w:type="dxa"/>
            <w:tcBorders>
              <w:top w:val="single" w:color="000000" w:sz="4" w:space="0"/>
              <w:left w:val="single" w:color="000000" w:sz="4" w:space="0"/>
              <w:bottom w:val="single" w:color="000000" w:sz="4" w:space="0"/>
              <w:right w:val="single" w:color="000000" w:sz="4" w:space="0"/>
            </w:tcBorders>
            <w:vAlign w:val="center"/>
          </w:tcPr>
          <w:p w14:paraId="1E2E45D2">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28</w:t>
            </w:r>
          </w:p>
        </w:tc>
        <w:tc>
          <w:tcPr>
            <w:tcW w:w="1407" w:type="dxa"/>
            <w:tcBorders>
              <w:top w:val="single" w:color="000000" w:sz="4" w:space="0"/>
              <w:left w:val="single" w:color="000000" w:sz="4" w:space="0"/>
              <w:bottom w:val="single" w:color="000000" w:sz="4" w:space="0"/>
              <w:right w:val="single" w:color="000000" w:sz="4" w:space="0"/>
            </w:tcBorders>
            <w:vAlign w:val="center"/>
          </w:tcPr>
          <w:p w14:paraId="2AF9DF18">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28</w:t>
            </w:r>
          </w:p>
        </w:tc>
        <w:tc>
          <w:tcPr>
            <w:tcW w:w="1082" w:type="dxa"/>
            <w:tcBorders>
              <w:top w:val="single" w:color="000000" w:sz="4" w:space="0"/>
              <w:left w:val="single" w:color="000000" w:sz="4" w:space="0"/>
              <w:bottom w:val="single" w:color="000000" w:sz="4" w:space="0"/>
              <w:right w:val="single" w:color="000000" w:sz="4" w:space="0"/>
            </w:tcBorders>
            <w:vAlign w:val="center"/>
          </w:tcPr>
          <w:p w14:paraId="0F424F12">
            <w:pPr>
              <w:jc w:val="center"/>
              <w:rPr>
                <w:rFonts w:hint="eastAsia" w:ascii="宋体" w:hAnsi="宋体" w:eastAsia="宋体" w:cs="宋体"/>
                <w:sz w:val="22"/>
                <w:szCs w:val="22"/>
                <w:lang w:val="en-US" w:eastAsia="zh-CN"/>
              </w:rPr>
            </w:pPr>
            <w:r>
              <w:rPr>
                <w:rFonts w:hint="eastAsia" w:ascii="宋体" w:hAnsi="宋体" w:cs="宋体"/>
                <w:sz w:val="22"/>
                <w:szCs w:val="22"/>
                <w:lang w:val="en-US" w:eastAsia="zh-CN"/>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5C489CF4">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50</w:t>
            </w:r>
          </w:p>
        </w:tc>
        <w:tc>
          <w:tcPr>
            <w:tcW w:w="2031" w:type="dxa"/>
            <w:tcBorders>
              <w:top w:val="single" w:color="000000" w:sz="4" w:space="0"/>
              <w:left w:val="single" w:color="000000" w:sz="4" w:space="0"/>
              <w:bottom w:val="single" w:color="000000" w:sz="4" w:space="0"/>
              <w:right w:val="single" w:color="auto" w:sz="4" w:space="0"/>
            </w:tcBorders>
            <w:noWrap/>
            <w:vAlign w:val="center"/>
          </w:tcPr>
          <w:p w14:paraId="28D5A717">
            <w:pPr>
              <w:rPr>
                <w:rFonts w:ascii="宋体" w:hAnsi="宋体" w:cs="宋体"/>
                <w:sz w:val="21"/>
                <w:szCs w:val="21"/>
              </w:rPr>
            </w:pPr>
            <w:r>
              <w:rPr>
                <w:rFonts w:hint="eastAsia" w:ascii="宋体" w:hAnsi="宋体" w:cs="宋体"/>
                <w:sz w:val="21"/>
                <w:szCs w:val="21"/>
              </w:rPr>
              <w:t>需满足东川区烟草制品零售点合理布局规划的其他规定</w:t>
            </w:r>
          </w:p>
        </w:tc>
        <w:tc>
          <w:tcPr>
            <w:tcW w:w="1347" w:type="dxa"/>
            <w:vMerge w:val="continue"/>
            <w:tcBorders>
              <w:left w:val="single" w:color="auto" w:sz="4" w:space="0"/>
              <w:right w:val="single" w:color="auto" w:sz="4" w:space="0"/>
            </w:tcBorders>
            <w:vAlign w:val="center"/>
          </w:tcPr>
          <w:p w14:paraId="5B3447ED">
            <w:pPr>
              <w:jc w:val="center"/>
              <w:rPr>
                <w:rFonts w:ascii="宋体" w:hAnsi="宋体" w:cs="宋体"/>
                <w:sz w:val="22"/>
                <w:szCs w:val="22"/>
              </w:rPr>
            </w:pPr>
          </w:p>
        </w:tc>
        <w:tc>
          <w:tcPr>
            <w:tcW w:w="2025" w:type="dxa"/>
            <w:vMerge w:val="continue"/>
            <w:tcBorders>
              <w:left w:val="single" w:color="auto" w:sz="4" w:space="0"/>
              <w:right w:val="single" w:color="auto" w:sz="4" w:space="0"/>
            </w:tcBorders>
            <w:vAlign w:val="center"/>
          </w:tcPr>
          <w:p w14:paraId="523B6BAD">
            <w:pPr>
              <w:jc w:val="center"/>
              <w:rPr>
                <w:rFonts w:ascii="宋体" w:hAnsi="宋体" w:cs="宋体"/>
                <w:sz w:val="22"/>
                <w:szCs w:val="22"/>
              </w:rPr>
            </w:pPr>
          </w:p>
        </w:tc>
      </w:tr>
      <w:tr w14:paraId="7A15EBF1">
        <w:tblPrEx>
          <w:tblCellMar>
            <w:top w:w="0" w:type="dxa"/>
            <w:left w:w="108" w:type="dxa"/>
            <w:bottom w:w="0" w:type="dxa"/>
            <w:right w:w="108" w:type="dxa"/>
          </w:tblCellMar>
        </w:tblPrEx>
        <w:trPr>
          <w:trHeight w:val="340" w:hRule="atLeast"/>
          <w:jc w:val="center"/>
        </w:trPr>
        <w:tc>
          <w:tcPr>
            <w:tcW w:w="904" w:type="dxa"/>
            <w:vMerge w:val="continue"/>
            <w:tcBorders>
              <w:left w:val="single" w:color="000000" w:sz="4" w:space="0"/>
              <w:right w:val="single" w:color="000000" w:sz="4" w:space="0"/>
            </w:tcBorders>
            <w:vAlign w:val="center"/>
          </w:tcPr>
          <w:p w14:paraId="022C6EAD">
            <w:pPr>
              <w:jc w:val="center"/>
              <w:rPr>
                <w:rFonts w:ascii="宋体" w:hAnsi="宋体" w:cs="宋体"/>
                <w:sz w:val="22"/>
                <w:szCs w:val="22"/>
              </w:rPr>
            </w:pPr>
          </w:p>
        </w:tc>
        <w:tc>
          <w:tcPr>
            <w:tcW w:w="1317" w:type="dxa"/>
            <w:vMerge w:val="continue"/>
            <w:tcBorders>
              <w:left w:val="single" w:color="000000" w:sz="4" w:space="0"/>
              <w:bottom w:val="single" w:color="000000" w:sz="4" w:space="0"/>
              <w:right w:val="single" w:color="000000" w:sz="4" w:space="0"/>
            </w:tcBorders>
            <w:vAlign w:val="center"/>
          </w:tcPr>
          <w:p w14:paraId="1DA05A31">
            <w:pPr>
              <w:jc w:val="center"/>
              <w:rPr>
                <w:rFonts w:ascii="宋体" w:hAnsi="宋体" w:cs="宋体"/>
                <w:sz w:val="22"/>
                <w:szCs w:val="22"/>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8EDCF">
            <w:pPr>
              <w:jc w:val="left"/>
              <w:rPr>
                <w:rFonts w:ascii="宋体" w:hAnsi="宋体" w:cs="宋体"/>
                <w:sz w:val="21"/>
                <w:szCs w:val="21"/>
              </w:rPr>
            </w:pPr>
            <w:r>
              <w:rPr>
                <w:rFonts w:hint="eastAsia" w:ascii="宋体" w:hAnsi="宋体" w:cs="宋体"/>
                <w:sz w:val="21"/>
                <w:szCs w:val="21"/>
              </w:rPr>
              <w:t>重点区域</w:t>
            </w:r>
          </w:p>
        </w:tc>
        <w:tc>
          <w:tcPr>
            <w:tcW w:w="1200" w:type="dxa"/>
            <w:tcBorders>
              <w:top w:val="single" w:color="000000" w:sz="4" w:space="0"/>
              <w:left w:val="single" w:color="000000" w:sz="4" w:space="0"/>
              <w:bottom w:val="single" w:color="000000" w:sz="4" w:space="0"/>
              <w:right w:val="single" w:color="000000" w:sz="4" w:space="0"/>
            </w:tcBorders>
            <w:vAlign w:val="center"/>
          </w:tcPr>
          <w:p w14:paraId="2BEB3BA7">
            <w:pPr>
              <w:jc w:val="center"/>
              <w:rPr>
                <w:rFonts w:ascii="宋体" w:hAnsi="宋体" w:cs="宋体"/>
                <w:sz w:val="22"/>
                <w:szCs w:val="22"/>
              </w:rPr>
            </w:pPr>
          </w:p>
        </w:tc>
        <w:tc>
          <w:tcPr>
            <w:tcW w:w="1407" w:type="dxa"/>
            <w:tcBorders>
              <w:top w:val="single" w:color="000000" w:sz="4" w:space="0"/>
              <w:left w:val="single" w:color="000000" w:sz="4" w:space="0"/>
              <w:bottom w:val="single" w:color="000000" w:sz="4" w:space="0"/>
              <w:right w:val="single" w:color="000000" w:sz="4" w:space="0"/>
            </w:tcBorders>
            <w:vAlign w:val="center"/>
          </w:tcPr>
          <w:p w14:paraId="320DF216">
            <w:pPr>
              <w:jc w:val="center"/>
              <w:rPr>
                <w:rFonts w:ascii="宋体" w:hAnsi="宋体" w:cs="宋体"/>
                <w:sz w:val="22"/>
                <w:szCs w:val="22"/>
              </w:rPr>
            </w:pPr>
          </w:p>
        </w:tc>
        <w:tc>
          <w:tcPr>
            <w:tcW w:w="1082" w:type="dxa"/>
            <w:tcBorders>
              <w:top w:val="single" w:color="000000" w:sz="4" w:space="0"/>
              <w:left w:val="single" w:color="000000" w:sz="4" w:space="0"/>
              <w:bottom w:val="single" w:color="000000" w:sz="4" w:space="0"/>
              <w:right w:val="single" w:color="000000" w:sz="4" w:space="0"/>
            </w:tcBorders>
            <w:vAlign w:val="center"/>
          </w:tcPr>
          <w:p w14:paraId="40BB9A86">
            <w:pPr>
              <w:jc w:val="center"/>
              <w:rPr>
                <w:rFonts w:ascii="宋体" w:hAnsi="宋体" w:cs="宋体"/>
                <w:sz w:val="22"/>
                <w:szCs w:val="22"/>
              </w:rPr>
            </w:pPr>
          </w:p>
        </w:tc>
        <w:tc>
          <w:tcPr>
            <w:tcW w:w="1318" w:type="dxa"/>
            <w:tcBorders>
              <w:top w:val="single" w:color="000000" w:sz="4" w:space="0"/>
              <w:left w:val="single" w:color="000000" w:sz="4" w:space="0"/>
              <w:bottom w:val="single" w:color="000000" w:sz="4" w:space="0"/>
              <w:right w:val="single" w:color="000000" w:sz="4" w:space="0"/>
            </w:tcBorders>
            <w:vAlign w:val="center"/>
          </w:tcPr>
          <w:p w14:paraId="0AE1DFB3">
            <w:pPr>
              <w:jc w:val="center"/>
              <w:rPr>
                <w:rFonts w:ascii="宋体" w:hAnsi="宋体" w:cs="宋体"/>
                <w:sz w:val="22"/>
                <w:szCs w:val="22"/>
              </w:rPr>
            </w:pPr>
          </w:p>
        </w:tc>
        <w:tc>
          <w:tcPr>
            <w:tcW w:w="2031" w:type="dxa"/>
            <w:tcBorders>
              <w:top w:val="single" w:color="000000" w:sz="4" w:space="0"/>
              <w:left w:val="single" w:color="000000" w:sz="4" w:space="0"/>
              <w:bottom w:val="single" w:color="000000" w:sz="4" w:space="0"/>
              <w:right w:val="single" w:color="auto" w:sz="4" w:space="0"/>
            </w:tcBorders>
            <w:noWrap/>
            <w:vAlign w:val="center"/>
          </w:tcPr>
          <w:p w14:paraId="3E4DC3AE">
            <w:pPr>
              <w:rPr>
                <w:rFonts w:ascii="宋体" w:hAnsi="宋体" w:cs="宋体"/>
                <w:sz w:val="21"/>
                <w:szCs w:val="21"/>
              </w:rPr>
            </w:pPr>
            <w:r>
              <w:rPr>
                <w:rFonts w:hint="eastAsia" w:ascii="宋体" w:hAnsi="宋体" w:cs="宋体"/>
                <w:sz w:val="21"/>
                <w:szCs w:val="21"/>
              </w:rPr>
              <w:t>不受距离限制，但最小单元网格规划数限制</w:t>
            </w:r>
          </w:p>
        </w:tc>
        <w:tc>
          <w:tcPr>
            <w:tcW w:w="1347" w:type="dxa"/>
            <w:vMerge w:val="continue"/>
            <w:tcBorders>
              <w:left w:val="single" w:color="auto" w:sz="4" w:space="0"/>
              <w:right w:val="single" w:color="auto" w:sz="4" w:space="0"/>
            </w:tcBorders>
            <w:vAlign w:val="center"/>
          </w:tcPr>
          <w:p w14:paraId="1A455AD8">
            <w:pPr>
              <w:jc w:val="center"/>
              <w:rPr>
                <w:rFonts w:ascii="宋体" w:hAnsi="宋体" w:cs="宋体"/>
                <w:sz w:val="22"/>
                <w:szCs w:val="22"/>
              </w:rPr>
            </w:pPr>
          </w:p>
        </w:tc>
        <w:tc>
          <w:tcPr>
            <w:tcW w:w="2025" w:type="dxa"/>
            <w:vMerge w:val="continue"/>
            <w:tcBorders>
              <w:left w:val="single" w:color="auto" w:sz="4" w:space="0"/>
              <w:right w:val="single" w:color="auto" w:sz="4" w:space="0"/>
            </w:tcBorders>
            <w:vAlign w:val="center"/>
          </w:tcPr>
          <w:p w14:paraId="3421E424">
            <w:pPr>
              <w:jc w:val="center"/>
              <w:rPr>
                <w:rFonts w:ascii="宋体" w:hAnsi="宋体" w:cs="宋体"/>
                <w:sz w:val="22"/>
                <w:szCs w:val="22"/>
              </w:rPr>
            </w:pPr>
          </w:p>
        </w:tc>
      </w:tr>
      <w:tr w14:paraId="7ACB7AD6">
        <w:tblPrEx>
          <w:tblCellMar>
            <w:top w:w="0" w:type="dxa"/>
            <w:left w:w="108" w:type="dxa"/>
            <w:bottom w:w="0" w:type="dxa"/>
            <w:right w:w="108" w:type="dxa"/>
          </w:tblCellMar>
        </w:tblPrEx>
        <w:trPr>
          <w:trHeight w:val="336" w:hRule="atLeast"/>
          <w:jc w:val="center"/>
        </w:trPr>
        <w:tc>
          <w:tcPr>
            <w:tcW w:w="904" w:type="dxa"/>
            <w:vMerge w:val="continue"/>
            <w:tcBorders>
              <w:left w:val="single" w:color="000000" w:sz="4" w:space="0"/>
              <w:right w:val="single" w:color="000000" w:sz="4" w:space="0"/>
            </w:tcBorders>
            <w:vAlign w:val="center"/>
          </w:tcPr>
          <w:p w14:paraId="45D0514B">
            <w:pPr>
              <w:jc w:val="center"/>
              <w:rPr>
                <w:rFonts w:ascii="宋体" w:hAnsi="宋体" w:cs="宋体"/>
                <w:sz w:val="22"/>
                <w:szCs w:val="22"/>
              </w:rPr>
            </w:pPr>
          </w:p>
        </w:tc>
        <w:tc>
          <w:tcPr>
            <w:tcW w:w="1317" w:type="dxa"/>
            <w:vMerge w:val="restart"/>
            <w:tcBorders>
              <w:top w:val="single" w:color="000000" w:sz="4" w:space="0"/>
              <w:left w:val="single" w:color="000000" w:sz="4" w:space="0"/>
              <w:right w:val="single" w:color="000000" w:sz="4" w:space="0"/>
            </w:tcBorders>
            <w:vAlign w:val="center"/>
          </w:tcPr>
          <w:p w14:paraId="4E94CFBA">
            <w:pPr>
              <w:jc w:val="center"/>
              <w:rPr>
                <w:rFonts w:ascii="宋体" w:hAnsi="宋体" w:cs="宋体"/>
                <w:sz w:val="22"/>
                <w:szCs w:val="22"/>
              </w:rPr>
            </w:pPr>
            <w:r>
              <w:rPr>
                <w:rFonts w:hint="eastAsia" w:ascii="宋体" w:hAnsi="宋体" w:cs="宋体"/>
                <w:sz w:val="22"/>
                <w:szCs w:val="22"/>
              </w:rPr>
              <w:t>阿旺镇</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CF75C">
            <w:pPr>
              <w:rPr>
                <w:rFonts w:hint="default" w:ascii="宋体" w:hAnsi="宋体" w:eastAsia="宋体" w:cs="宋体"/>
                <w:sz w:val="21"/>
                <w:szCs w:val="21"/>
                <w:highlight w:val="none"/>
                <w:lang w:val="en-US" w:eastAsia="zh-CN"/>
              </w:rPr>
            </w:pPr>
            <w:r>
              <w:rPr>
                <w:rFonts w:hint="eastAsia" w:ascii="宋体" w:hAnsi="宋体" w:cs="宋体"/>
                <w:sz w:val="21"/>
                <w:szCs w:val="21"/>
                <w:highlight w:val="none"/>
              </w:rPr>
              <w:t>政府所在地</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向阳</w:t>
            </w:r>
          </w:p>
        </w:tc>
        <w:tc>
          <w:tcPr>
            <w:tcW w:w="1200" w:type="dxa"/>
            <w:tcBorders>
              <w:top w:val="single" w:color="000000" w:sz="4" w:space="0"/>
              <w:left w:val="single" w:color="000000" w:sz="4" w:space="0"/>
              <w:bottom w:val="single" w:color="000000" w:sz="4" w:space="0"/>
              <w:right w:val="single" w:color="000000" w:sz="4" w:space="0"/>
            </w:tcBorders>
            <w:vAlign w:val="center"/>
          </w:tcPr>
          <w:p w14:paraId="6C090950">
            <w:pPr>
              <w:jc w:val="center"/>
              <w:rPr>
                <w:rFonts w:hint="default" w:ascii="宋体" w:hAnsi="宋体" w:eastAsia="宋体" w:cs="宋体"/>
                <w:sz w:val="22"/>
                <w:szCs w:val="22"/>
                <w:highlight w:val="none"/>
                <w:lang w:val="en-US" w:eastAsia="zh-CN"/>
              </w:rPr>
            </w:pPr>
            <w:r>
              <w:rPr>
                <w:rFonts w:hint="eastAsia" w:ascii="宋体" w:hAnsi="宋体" w:cs="宋体"/>
                <w:sz w:val="22"/>
                <w:szCs w:val="22"/>
                <w:highlight w:val="none"/>
                <w:lang w:val="en-US" w:eastAsia="zh-CN"/>
              </w:rPr>
              <w:t>25</w:t>
            </w:r>
          </w:p>
        </w:tc>
        <w:tc>
          <w:tcPr>
            <w:tcW w:w="1407" w:type="dxa"/>
            <w:tcBorders>
              <w:top w:val="single" w:color="000000" w:sz="4" w:space="0"/>
              <w:left w:val="single" w:color="000000" w:sz="4" w:space="0"/>
              <w:bottom w:val="single" w:color="000000" w:sz="4" w:space="0"/>
              <w:right w:val="single" w:color="000000" w:sz="4" w:space="0"/>
            </w:tcBorders>
            <w:vAlign w:val="center"/>
          </w:tcPr>
          <w:p w14:paraId="7DB60026">
            <w:pPr>
              <w:jc w:val="center"/>
              <w:rPr>
                <w:rFonts w:hint="default" w:ascii="宋体" w:hAnsi="宋体" w:eastAsia="宋体" w:cs="宋体"/>
                <w:sz w:val="22"/>
                <w:szCs w:val="22"/>
                <w:highlight w:val="none"/>
                <w:lang w:val="en-US" w:eastAsia="zh-CN"/>
              </w:rPr>
            </w:pPr>
            <w:r>
              <w:rPr>
                <w:rFonts w:hint="eastAsia" w:ascii="宋体" w:hAnsi="宋体" w:cs="宋体"/>
                <w:sz w:val="22"/>
                <w:szCs w:val="22"/>
                <w:highlight w:val="none"/>
                <w:lang w:val="en-US" w:eastAsia="zh-CN"/>
              </w:rPr>
              <w:t>25</w:t>
            </w:r>
          </w:p>
        </w:tc>
        <w:tc>
          <w:tcPr>
            <w:tcW w:w="1082" w:type="dxa"/>
            <w:tcBorders>
              <w:top w:val="single" w:color="000000" w:sz="4" w:space="0"/>
              <w:left w:val="single" w:color="000000" w:sz="4" w:space="0"/>
              <w:bottom w:val="single" w:color="000000" w:sz="4" w:space="0"/>
              <w:right w:val="single" w:color="000000" w:sz="4" w:space="0"/>
            </w:tcBorders>
            <w:vAlign w:val="center"/>
          </w:tcPr>
          <w:p w14:paraId="3CBF69D1">
            <w:pPr>
              <w:rPr>
                <w:rFonts w:ascii="宋体" w:hAnsi="宋体" w:cs="宋体"/>
                <w:sz w:val="22"/>
                <w:szCs w:val="22"/>
                <w:highlight w:val="none"/>
              </w:rPr>
            </w:pPr>
          </w:p>
        </w:tc>
        <w:tc>
          <w:tcPr>
            <w:tcW w:w="1318" w:type="dxa"/>
            <w:tcBorders>
              <w:top w:val="single" w:color="000000" w:sz="4" w:space="0"/>
              <w:left w:val="single" w:color="000000" w:sz="4" w:space="0"/>
              <w:bottom w:val="single" w:color="000000" w:sz="4" w:space="0"/>
              <w:right w:val="single" w:color="000000" w:sz="4" w:space="0"/>
            </w:tcBorders>
            <w:vAlign w:val="center"/>
          </w:tcPr>
          <w:p w14:paraId="74C4EF38">
            <w:pPr>
              <w:jc w:val="center"/>
              <w:rPr>
                <w:rFonts w:ascii="宋体" w:hAnsi="宋体" w:cs="宋体"/>
                <w:sz w:val="22"/>
                <w:szCs w:val="22"/>
              </w:rPr>
            </w:pPr>
            <w:r>
              <w:rPr>
                <w:rFonts w:hint="eastAsia" w:ascii="宋体" w:hAnsi="宋体" w:cs="宋体"/>
                <w:sz w:val="22"/>
                <w:szCs w:val="22"/>
              </w:rPr>
              <w:t>50</w:t>
            </w:r>
          </w:p>
        </w:tc>
        <w:tc>
          <w:tcPr>
            <w:tcW w:w="2031" w:type="dxa"/>
            <w:tcBorders>
              <w:top w:val="single" w:color="000000" w:sz="4" w:space="0"/>
              <w:left w:val="single" w:color="000000" w:sz="4" w:space="0"/>
              <w:bottom w:val="single" w:color="000000" w:sz="4" w:space="0"/>
              <w:right w:val="single" w:color="auto" w:sz="4" w:space="0"/>
            </w:tcBorders>
            <w:noWrap/>
            <w:vAlign w:val="center"/>
          </w:tcPr>
          <w:p w14:paraId="3988AD3C">
            <w:pPr>
              <w:rPr>
                <w:rFonts w:ascii="宋体" w:hAnsi="宋体" w:cs="宋体"/>
                <w:sz w:val="21"/>
                <w:szCs w:val="21"/>
              </w:rPr>
            </w:pPr>
            <w:r>
              <w:rPr>
                <w:rFonts w:hint="eastAsia" w:ascii="宋体" w:hAnsi="宋体" w:cs="宋体"/>
                <w:sz w:val="21"/>
                <w:szCs w:val="21"/>
              </w:rPr>
              <w:t>需满足东川区烟草制品零售点合理布局规划的其他规定</w:t>
            </w:r>
          </w:p>
        </w:tc>
        <w:tc>
          <w:tcPr>
            <w:tcW w:w="1347" w:type="dxa"/>
            <w:vMerge w:val="continue"/>
            <w:tcBorders>
              <w:left w:val="single" w:color="auto" w:sz="4" w:space="0"/>
              <w:right w:val="single" w:color="auto" w:sz="4" w:space="0"/>
            </w:tcBorders>
            <w:vAlign w:val="center"/>
          </w:tcPr>
          <w:p w14:paraId="6E7BAE7B">
            <w:pPr>
              <w:jc w:val="center"/>
              <w:rPr>
                <w:rFonts w:ascii="宋体" w:hAnsi="宋体" w:cs="宋体"/>
                <w:sz w:val="22"/>
                <w:szCs w:val="22"/>
              </w:rPr>
            </w:pPr>
          </w:p>
        </w:tc>
        <w:tc>
          <w:tcPr>
            <w:tcW w:w="2025" w:type="dxa"/>
            <w:vMerge w:val="continue"/>
            <w:tcBorders>
              <w:left w:val="single" w:color="auto" w:sz="4" w:space="0"/>
              <w:right w:val="single" w:color="auto" w:sz="4" w:space="0"/>
            </w:tcBorders>
            <w:vAlign w:val="center"/>
          </w:tcPr>
          <w:p w14:paraId="7CC923B5">
            <w:pPr>
              <w:rPr>
                <w:rFonts w:ascii="宋体" w:hAnsi="宋体" w:cs="宋体"/>
                <w:sz w:val="22"/>
                <w:szCs w:val="22"/>
              </w:rPr>
            </w:pPr>
          </w:p>
        </w:tc>
      </w:tr>
      <w:tr w14:paraId="164E4819">
        <w:tblPrEx>
          <w:tblCellMar>
            <w:top w:w="0" w:type="dxa"/>
            <w:left w:w="108" w:type="dxa"/>
            <w:bottom w:w="0" w:type="dxa"/>
            <w:right w:w="108" w:type="dxa"/>
          </w:tblCellMar>
        </w:tblPrEx>
        <w:trPr>
          <w:trHeight w:val="336" w:hRule="atLeast"/>
          <w:jc w:val="center"/>
        </w:trPr>
        <w:tc>
          <w:tcPr>
            <w:tcW w:w="904" w:type="dxa"/>
            <w:vMerge w:val="continue"/>
            <w:tcBorders>
              <w:left w:val="single" w:color="000000" w:sz="4" w:space="0"/>
              <w:right w:val="single" w:color="000000" w:sz="4" w:space="0"/>
            </w:tcBorders>
            <w:vAlign w:val="center"/>
          </w:tcPr>
          <w:p w14:paraId="47D1018D">
            <w:pPr>
              <w:jc w:val="center"/>
              <w:rPr>
                <w:rFonts w:ascii="宋体" w:hAnsi="宋体" w:cs="宋体"/>
                <w:sz w:val="22"/>
                <w:szCs w:val="22"/>
              </w:rPr>
            </w:pPr>
          </w:p>
        </w:tc>
        <w:tc>
          <w:tcPr>
            <w:tcW w:w="1317" w:type="dxa"/>
            <w:vMerge w:val="continue"/>
            <w:tcBorders>
              <w:left w:val="single" w:color="000000" w:sz="4" w:space="0"/>
              <w:right w:val="single" w:color="000000" w:sz="4" w:space="0"/>
            </w:tcBorders>
            <w:vAlign w:val="center"/>
          </w:tcPr>
          <w:p w14:paraId="330D5428">
            <w:pPr>
              <w:jc w:val="center"/>
              <w:rPr>
                <w:rFonts w:ascii="宋体" w:hAnsi="宋体" w:cs="宋体"/>
                <w:sz w:val="22"/>
                <w:szCs w:val="22"/>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71413">
            <w:pPr>
              <w:rPr>
                <w:rFonts w:ascii="宋体" w:hAnsi="宋体" w:cs="宋体"/>
                <w:sz w:val="21"/>
                <w:szCs w:val="21"/>
                <w:highlight w:val="none"/>
              </w:rPr>
            </w:pPr>
            <w:r>
              <w:rPr>
                <w:rFonts w:hint="eastAsia" w:ascii="宋体" w:hAnsi="宋体" w:cs="宋体"/>
                <w:sz w:val="21"/>
                <w:szCs w:val="21"/>
                <w:highlight w:val="none"/>
              </w:rPr>
              <w:t>政府所在地以外区域</w:t>
            </w:r>
          </w:p>
        </w:tc>
        <w:tc>
          <w:tcPr>
            <w:tcW w:w="1200" w:type="dxa"/>
            <w:tcBorders>
              <w:top w:val="single" w:color="000000" w:sz="4" w:space="0"/>
              <w:left w:val="single" w:color="000000" w:sz="4" w:space="0"/>
              <w:bottom w:val="single" w:color="000000" w:sz="4" w:space="0"/>
              <w:right w:val="single" w:color="000000" w:sz="4" w:space="0"/>
            </w:tcBorders>
            <w:vAlign w:val="center"/>
          </w:tcPr>
          <w:p w14:paraId="3A2F99CD">
            <w:pPr>
              <w:jc w:val="center"/>
              <w:rPr>
                <w:rFonts w:hint="default" w:ascii="宋体" w:hAnsi="宋体" w:eastAsia="宋体" w:cs="宋体"/>
                <w:sz w:val="22"/>
                <w:szCs w:val="22"/>
                <w:highlight w:val="none"/>
                <w:lang w:val="en-US" w:eastAsia="zh-CN"/>
              </w:rPr>
            </w:pPr>
            <w:r>
              <w:rPr>
                <w:rFonts w:hint="eastAsia" w:ascii="宋体" w:hAnsi="宋体" w:cs="宋体"/>
                <w:sz w:val="22"/>
                <w:szCs w:val="22"/>
                <w:highlight w:val="none"/>
                <w:lang w:val="en-US" w:eastAsia="zh-CN"/>
              </w:rPr>
              <w:t>44</w:t>
            </w:r>
          </w:p>
        </w:tc>
        <w:tc>
          <w:tcPr>
            <w:tcW w:w="1407" w:type="dxa"/>
            <w:tcBorders>
              <w:top w:val="single" w:color="000000" w:sz="4" w:space="0"/>
              <w:left w:val="single" w:color="000000" w:sz="4" w:space="0"/>
              <w:bottom w:val="single" w:color="000000" w:sz="4" w:space="0"/>
              <w:right w:val="single" w:color="000000" w:sz="4" w:space="0"/>
            </w:tcBorders>
            <w:vAlign w:val="center"/>
          </w:tcPr>
          <w:p w14:paraId="12F04AE1">
            <w:pPr>
              <w:jc w:val="center"/>
              <w:rPr>
                <w:rFonts w:hint="default" w:ascii="宋体" w:hAnsi="宋体" w:eastAsia="宋体" w:cs="宋体"/>
                <w:sz w:val="22"/>
                <w:szCs w:val="22"/>
                <w:highlight w:val="none"/>
                <w:lang w:val="en-US" w:eastAsia="zh-CN"/>
              </w:rPr>
            </w:pPr>
            <w:r>
              <w:rPr>
                <w:rFonts w:hint="eastAsia" w:ascii="宋体" w:hAnsi="宋体" w:cs="宋体"/>
                <w:sz w:val="22"/>
                <w:szCs w:val="22"/>
                <w:highlight w:val="none"/>
                <w:lang w:val="en-US" w:eastAsia="zh-CN"/>
              </w:rPr>
              <w:t>41</w:t>
            </w:r>
          </w:p>
        </w:tc>
        <w:tc>
          <w:tcPr>
            <w:tcW w:w="1082" w:type="dxa"/>
            <w:tcBorders>
              <w:top w:val="single" w:color="000000" w:sz="4" w:space="0"/>
              <w:left w:val="single" w:color="000000" w:sz="4" w:space="0"/>
              <w:bottom w:val="single" w:color="000000" w:sz="4" w:space="0"/>
              <w:right w:val="single" w:color="000000" w:sz="4" w:space="0"/>
            </w:tcBorders>
            <w:vAlign w:val="center"/>
          </w:tcPr>
          <w:p w14:paraId="051613AD">
            <w:pPr>
              <w:jc w:val="center"/>
              <w:rPr>
                <w:rFonts w:ascii="宋体" w:hAnsi="宋体" w:cs="宋体"/>
                <w:sz w:val="22"/>
                <w:szCs w:val="22"/>
                <w:highlight w:val="none"/>
              </w:rPr>
            </w:pPr>
            <w:r>
              <w:rPr>
                <w:rFonts w:hint="eastAsia" w:ascii="宋体" w:hAnsi="宋体" w:cs="宋体"/>
                <w:sz w:val="22"/>
                <w:szCs w:val="22"/>
                <w:highlight w:val="none"/>
              </w:rPr>
              <w:t>3</w:t>
            </w:r>
          </w:p>
        </w:tc>
        <w:tc>
          <w:tcPr>
            <w:tcW w:w="1318" w:type="dxa"/>
            <w:tcBorders>
              <w:top w:val="single" w:color="000000" w:sz="4" w:space="0"/>
              <w:left w:val="single" w:color="000000" w:sz="4" w:space="0"/>
              <w:bottom w:val="single" w:color="000000" w:sz="4" w:space="0"/>
              <w:right w:val="single" w:color="000000" w:sz="4" w:space="0"/>
            </w:tcBorders>
            <w:vAlign w:val="center"/>
          </w:tcPr>
          <w:p w14:paraId="04CC1B43">
            <w:pPr>
              <w:jc w:val="center"/>
              <w:rPr>
                <w:rFonts w:ascii="宋体" w:hAnsi="宋体" w:cs="宋体"/>
                <w:sz w:val="22"/>
                <w:szCs w:val="22"/>
              </w:rPr>
            </w:pPr>
          </w:p>
        </w:tc>
        <w:tc>
          <w:tcPr>
            <w:tcW w:w="2031" w:type="dxa"/>
            <w:tcBorders>
              <w:top w:val="single" w:color="000000" w:sz="4" w:space="0"/>
              <w:left w:val="single" w:color="000000" w:sz="4" w:space="0"/>
              <w:bottom w:val="single" w:color="000000" w:sz="4" w:space="0"/>
              <w:right w:val="single" w:color="auto" w:sz="4" w:space="0"/>
            </w:tcBorders>
            <w:noWrap/>
            <w:vAlign w:val="center"/>
          </w:tcPr>
          <w:p w14:paraId="3CD95212">
            <w:pPr>
              <w:rPr>
                <w:rFonts w:ascii="宋体" w:hAnsi="宋体" w:cs="宋体"/>
                <w:sz w:val="21"/>
                <w:szCs w:val="21"/>
              </w:rPr>
            </w:pPr>
            <w:r>
              <w:rPr>
                <w:rFonts w:hint="eastAsia" w:ascii="宋体" w:hAnsi="宋体" w:cs="宋体"/>
                <w:sz w:val="21"/>
                <w:szCs w:val="21"/>
              </w:rPr>
              <w:t>不受距离限制，但最小单元网格规划数限制</w:t>
            </w:r>
          </w:p>
        </w:tc>
        <w:tc>
          <w:tcPr>
            <w:tcW w:w="1347" w:type="dxa"/>
            <w:vMerge w:val="continue"/>
            <w:tcBorders>
              <w:left w:val="single" w:color="auto" w:sz="4" w:space="0"/>
              <w:right w:val="single" w:color="auto" w:sz="4" w:space="0"/>
            </w:tcBorders>
            <w:vAlign w:val="center"/>
          </w:tcPr>
          <w:p w14:paraId="671EA636">
            <w:pPr>
              <w:jc w:val="center"/>
              <w:rPr>
                <w:rFonts w:ascii="宋体" w:hAnsi="宋体" w:cs="宋体"/>
                <w:sz w:val="22"/>
                <w:szCs w:val="22"/>
              </w:rPr>
            </w:pPr>
          </w:p>
        </w:tc>
        <w:tc>
          <w:tcPr>
            <w:tcW w:w="2025" w:type="dxa"/>
            <w:vMerge w:val="continue"/>
            <w:tcBorders>
              <w:left w:val="single" w:color="auto" w:sz="4" w:space="0"/>
              <w:right w:val="single" w:color="auto" w:sz="4" w:space="0"/>
            </w:tcBorders>
            <w:vAlign w:val="center"/>
          </w:tcPr>
          <w:p w14:paraId="389F8C1C">
            <w:pPr>
              <w:rPr>
                <w:rFonts w:ascii="宋体" w:hAnsi="宋体" w:cs="宋体"/>
                <w:sz w:val="22"/>
                <w:szCs w:val="22"/>
              </w:rPr>
            </w:pPr>
          </w:p>
        </w:tc>
      </w:tr>
      <w:tr w14:paraId="67C16D58">
        <w:tblPrEx>
          <w:tblCellMar>
            <w:top w:w="0" w:type="dxa"/>
            <w:left w:w="108" w:type="dxa"/>
            <w:bottom w:w="0" w:type="dxa"/>
            <w:right w:w="108" w:type="dxa"/>
          </w:tblCellMar>
        </w:tblPrEx>
        <w:trPr>
          <w:trHeight w:val="336" w:hRule="atLeast"/>
          <w:jc w:val="center"/>
        </w:trPr>
        <w:tc>
          <w:tcPr>
            <w:tcW w:w="904" w:type="dxa"/>
            <w:vMerge w:val="continue"/>
            <w:tcBorders>
              <w:left w:val="single" w:color="000000" w:sz="4" w:space="0"/>
              <w:right w:val="single" w:color="000000" w:sz="4" w:space="0"/>
            </w:tcBorders>
            <w:vAlign w:val="center"/>
          </w:tcPr>
          <w:p w14:paraId="0E695AC2">
            <w:pPr>
              <w:jc w:val="center"/>
              <w:rPr>
                <w:rFonts w:ascii="宋体" w:hAnsi="宋体" w:cs="宋体"/>
                <w:sz w:val="22"/>
                <w:szCs w:val="22"/>
              </w:rPr>
            </w:pPr>
          </w:p>
        </w:tc>
        <w:tc>
          <w:tcPr>
            <w:tcW w:w="1317" w:type="dxa"/>
            <w:vMerge w:val="continue"/>
            <w:tcBorders>
              <w:left w:val="single" w:color="000000" w:sz="4" w:space="0"/>
              <w:bottom w:val="single" w:color="000000" w:sz="4" w:space="0"/>
              <w:right w:val="single" w:color="000000" w:sz="4" w:space="0"/>
            </w:tcBorders>
            <w:vAlign w:val="center"/>
          </w:tcPr>
          <w:p w14:paraId="6C15BE96">
            <w:pPr>
              <w:jc w:val="center"/>
              <w:rPr>
                <w:rFonts w:ascii="宋体" w:hAnsi="宋体" w:cs="宋体"/>
                <w:sz w:val="22"/>
                <w:szCs w:val="22"/>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A2C2B">
            <w:pPr>
              <w:rPr>
                <w:rFonts w:ascii="宋体" w:hAnsi="宋体" w:cs="宋体"/>
                <w:sz w:val="21"/>
                <w:szCs w:val="21"/>
                <w:highlight w:val="none"/>
              </w:rPr>
            </w:pPr>
            <w:r>
              <w:rPr>
                <w:rFonts w:hint="eastAsia" w:ascii="宋体" w:hAnsi="宋体" w:cs="宋体"/>
                <w:sz w:val="21"/>
                <w:szCs w:val="21"/>
                <w:highlight w:val="none"/>
              </w:rPr>
              <w:t>重点区域</w:t>
            </w:r>
          </w:p>
        </w:tc>
        <w:tc>
          <w:tcPr>
            <w:tcW w:w="1200" w:type="dxa"/>
            <w:tcBorders>
              <w:top w:val="single" w:color="000000" w:sz="4" w:space="0"/>
              <w:left w:val="single" w:color="000000" w:sz="4" w:space="0"/>
              <w:bottom w:val="single" w:color="000000" w:sz="4" w:space="0"/>
              <w:right w:val="single" w:color="000000" w:sz="4" w:space="0"/>
            </w:tcBorders>
            <w:vAlign w:val="center"/>
          </w:tcPr>
          <w:p w14:paraId="5119D261">
            <w:pPr>
              <w:jc w:val="center"/>
              <w:rPr>
                <w:rFonts w:ascii="宋体" w:hAnsi="宋体" w:cs="宋体"/>
                <w:sz w:val="22"/>
                <w:szCs w:val="22"/>
                <w:highlight w:val="none"/>
              </w:rPr>
            </w:pPr>
          </w:p>
        </w:tc>
        <w:tc>
          <w:tcPr>
            <w:tcW w:w="1407" w:type="dxa"/>
            <w:tcBorders>
              <w:top w:val="single" w:color="000000" w:sz="4" w:space="0"/>
              <w:left w:val="single" w:color="000000" w:sz="4" w:space="0"/>
              <w:bottom w:val="single" w:color="000000" w:sz="4" w:space="0"/>
              <w:right w:val="single" w:color="000000" w:sz="4" w:space="0"/>
            </w:tcBorders>
            <w:vAlign w:val="center"/>
          </w:tcPr>
          <w:p w14:paraId="2D547CA2">
            <w:pPr>
              <w:jc w:val="center"/>
              <w:rPr>
                <w:rFonts w:ascii="宋体" w:hAnsi="宋体" w:cs="宋体"/>
                <w:sz w:val="22"/>
                <w:szCs w:val="22"/>
                <w:highlight w:val="none"/>
              </w:rPr>
            </w:pPr>
          </w:p>
        </w:tc>
        <w:tc>
          <w:tcPr>
            <w:tcW w:w="1082" w:type="dxa"/>
            <w:tcBorders>
              <w:top w:val="single" w:color="000000" w:sz="4" w:space="0"/>
              <w:left w:val="single" w:color="000000" w:sz="4" w:space="0"/>
              <w:bottom w:val="single" w:color="000000" w:sz="4" w:space="0"/>
              <w:right w:val="single" w:color="000000" w:sz="4" w:space="0"/>
            </w:tcBorders>
            <w:vAlign w:val="center"/>
          </w:tcPr>
          <w:p w14:paraId="5DCA70AB">
            <w:pPr>
              <w:jc w:val="center"/>
              <w:rPr>
                <w:rFonts w:ascii="宋体" w:hAnsi="宋体" w:cs="宋体"/>
                <w:sz w:val="22"/>
                <w:szCs w:val="22"/>
                <w:highlight w:val="none"/>
              </w:rPr>
            </w:pPr>
          </w:p>
        </w:tc>
        <w:tc>
          <w:tcPr>
            <w:tcW w:w="1318" w:type="dxa"/>
            <w:tcBorders>
              <w:top w:val="single" w:color="000000" w:sz="4" w:space="0"/>
              <w:left w:val="single" w:color="000000" w:sz="4" w:space="0"/>
              <w:bottom w:val="single" w:color="000000" w:sz="4" w:space="0"/>
              <w:right w:val="single" w:color="000000" w:sz="4" w:space="0"/>
            </w:tcBorders>
            <w:vAlign w:val="center"/>
          </w:tcPr>
          <w:p w14:paraId="275EEB41">
            <w:pPr>
              <w:jc w:val="center"/>
              <w:rPr>
                <w:rFonts w:ascii="宋体" w:hAnsi="宋体" w:cs="宋体"/>
                <w:sz w:val="22"/>
                <w:szCs w:val="22"/>
              </w:rPr>
            </w:pPr>
          </w:p>
        </w:tc>
        <w:tc>
          <w:tcPr>
            <w:tcW w:w="2031" w:type="dxa"/>
            <w:tcBorders>
              <w:top w:val="single" w:color="000000" w:sz="4" w:space="0"/>
              <w:left w:val="single" w:color="000000" w:sz="4" w:space="0"/>
              <w:bottom w:val="single" w:color="000000" w:sz="4" w:space="0"/>
              <w:right w:val="single" w:color="auto" w:sz="4" w:space="0"/>
            </w:tcBorders>
            <w:noWrap/>
            <w:vAlign w:val="center"/>
          </w:tcPr>
          <w:p w14:paraId="778D47EA">
            <w:pPr>
              <w:rPr>
                <w:rFonts w:ascii="宋体" w:hAnsi="宋体" w:cs="宋体"/>
                <w:sz w:val="21"/>
                <w:szCs w:val="21"/>
              </w:rPr>
            </w:pPr>
            <w:r>
              <w:rPr>
                <w:rFonts w:hint="eastAsia" w:ascii="宋体" w:hAnsi="宋体" w:cs="宋体"/>
                <w:sz w:val="21"/>
                <w:szCs w:val="21"/>
              </w:rPr>
              <w:t>不受距离限制，但最小单元网格规划数限制</w:t>
            </w:r>
          </w:p>
        </w:tc>
        <w:tc>
          <w:tcPr>
            <w:tcW w:w="1347" w:type="dxa"/>
            <w:vMerge w:val="continue"/>
            <w:tcBorders>
              <w:left w:val="single" w:color="auto" w:sz="4" w:space="0"/>
              <w:right w:val="single" w:color="auto" w:sz="4" w:space="0"/>
            </w:tcBorders>
            <w:vAlign w:val="center"/>
          </w:tcPr>
          <w:p w14:paraId="47F7E0AA">
            <w:pPr>
              <w:jc w:val="center"/>
              <w:rPr>
                <w:rFonts w:ascii="宋体" w:hAnsi="宋体" w:cs="宋体"/>
                <w:sz w:val="22"/>
                <w:szCs w:val="22"/>
              </w:rPr>
            </w:pPr>
          </w:p>
        </w:tc>
        <w:tc>
          <w:tcPr>
            <w:tcW w:w="2025" w:type="dxa"/>
            <w:vMerge w:val="continue"/>
            <w:tcBorders>
              <w:left w:val="single" w:color="auto" w:sz="4" w:space="0"/>
              <w:right w:val="single" w:color="auto" w:sz="4" w:space="0"/>
            </w:tcBorders>
            <w:vAlign w:val="center"/>
          </w:tcPr>
          <w:p w14:paraId="682816A0">
            <w:pPr>
              <w:rPr>
                <w:rFonts w:ascii="宋体" w:hAnsi="宋体" w:cs="宋体"/>
                <w:sz w:val="22"/>
                <w:szCs w:val="22"/>
              </w:rPr>
            </w:pPr>
          </w:p>
        </w:tc>
      </w:tr>
      <w:tr w14:paraId="542D4463">
        <w:tblPrEx>
          <w:tblCellMar>
            <w:top w:w="0" w:type="dxa"/>
            <w:left w:w="108" w:type="dxa"/>
            <w:bottom w:w="0" w:type="dxa"/>
            <w:right w:w="108" w:type="dxa"/>
          </w:tblCellMar>
        </w:tblPrEx>
        <w:trPr>
          <w:trHeight w:val="336" w:hRule="atLeast"/>
          <w:jc w:val="center"/>
        </w:trPr>
        <w:tc>
          <w:tcPr>
            <w:tcW w:w="904" w:type="dxa"/>
            <w:vMerge w:val="continue"/>
            <w:tcBorders>
              <w:left w:val="single" w:color="000000" w:sz="4" w:space="0"/>
              <w:right w:val="single" w:color="000000" w:sz="4" w:space="0"/>
            </w:tcBorders>
            <w:vAlign w:val="center"/>
          </w:tcPr>
          <w:p w14:paraId="0815A374">
            <w:pPr>
              <w:jc w:val="center"/>
              <w:rPr>
                <w:rFonts w:ascii="宋体" w:hAnsi="宋体" w:cs="宋体"/>
                <w:sz w:val="22"/>
                <w:szCs w:val="22"/>
              </w:rPr>
            </w:pPr>
          </w:p>
        </w:tc>
        <w:tc>
          <w:tcPr>
            <w:tcW w:w="1317" w:type="dxa"/>
            <w:vMerge w:val="restart"/>
            <w:tcBorders>
              <w:top w:val="single" w:color="000000" w:sz="4" w:space="0"/>
              <w:left w:val="single" w:color="000000" w:sz="4" w:space="0"/>
              <w:right w:val="single" w:color="000000" w:sz="4" w:space="0"/>
            </w:tcBorders>
            <w:vAlign w:val="center"/>
          </w:tcPr>
          <w:p w14:paraId="642E4F1A">
            <w:pPr>
              <w:jc w:val="center"/>
              <w:rPr>
                <w:rFonts w:ascii="宋体" w:hAnsi="宋体" w:cs="宋体"/>
                <w:sz w:val="22"/>
                <w:szCs w:val="22"/>
              </w:rPr>
            </w:pPr>
            <w:r>
              <w:rPr>
                <w:rFonts w:hint="eastAsia" w:ascii="宋体" w:hAnsi="宋体" w:cs="宋体"/>
                <w:sz w:val="22"/>
                <w:szCs w:val="22"/>
              </w:rPr>
              <w:t>红土地</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2047">
            <w:pPr>
              <w:rPr>
                <w:rFonts w:hint="default" w:ascii="宋体" w:hAnsi="宋体" w:eastAsia="宋体" w:cs="宋体"/>
                <w:sz w:val="21"/>
                <w:szCs w:val="21"/>
                <w:highlight w:val="none"/>
                <w:lang w:val="en-US" w:eastAsia="zh-CN"/>
              </w:rPr>
            </w:pPr>
            <w:r>
              <w:rPr>
                <w:rFonts w:hint="eastAsia" w:ascii="宋体" w:hAnsi="宋体" w:cs="宋体"/>
                <w:sz w:val="21"/>
                <w:szCs w:val="21"/>
                <w:highlight w:val="none"/>
              </w:rPr>
              <w:t>政府所在地</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法者</w:t>
            </w:r>
          </w:p>
        </w:tc>
        <w:tc>
          <w:tcPr>
            <w:tcW w:w="1200" w:type="dxa"/>
            <w:tcBorders>
              <w:top w:val="single" w:color="000000" w:sz="4" w:space="0"/>
              <w:left w:val="single" w:color="000000" w:sz="4" w:space="0"/>
              <w:bottom w:val="single" w:color="000000" w:sz="4" w:space="0"/>
              <w:right w:val="single" w:color="000000" w:sz="4" w:space="0"/>
            </w:tcBorders>
            <w:vAlign w:val="center"/>
          </w:tcPr>
          <w:p w14:paraId="1317F5D0">
            <w:pPr>
              <w:jc w:val="center"/>
              <w:rPr>
                <w:rFonts w:hint="default" w:ascii="宋体" w:hAnsi="宋体" w:eastAsia="宋体" w:cs="宋体"/>
                <w:sz w:val="22"/>
                <w:szCs w:val="22"/>
                <w:highlight w:val="none"/>
                <w:lang w:val="en-US" w:eastAsia="zh-CN"/>
              </w:rPr>
            </w:pPr>
            <w:r>
              <w:rPr>
                <w:rFonts w:hint="eastAsia" w:ascii="宋体" w:hAnsi="宋体" w:cs="宋体"/>
                <w:sz w:val="22"/>
                <w:szCs w:val="22"/>
                <w:highlight w:val="none"/>
                <w:lang w:val="en-US" w:eastAsia="zh-CN"/>
              </w:rPr>
              <w:t>26</w:t>
            </w:r>
          </w:p>
        </w:tc>
        <w:tc>
          <w:tcPr>
            <w:tcW w:w="1407" w:type="dxa"/>
            <w:tcBorders>
              <w:top w:val="single" w:color="000000" w:sz="4" w:space="0"/>
              <w:left w:val="single" w:color="000000" w:sz="4" w:space="0"/>
              <w:bottom w:val="single" w:color="000000" w:sz="4" w:space="0"/>
              <w:right w:val="single" w:color="000000" w:sz="4" w:space="0"/>
            </w:tcBorders>
            <w:vAlign w:val="center"/>
          </w:tcPr>
          <w:p w14:paraId="7B385AEB">
            <w:pPr>
              <w:jc w:val="center"/>
              <w:rPr>
                <w:rFonts w:hint="default" w:ascii="宋体" w:hAnsi="宋体" w:eastAsia="宋体" w:cs="宋体"/>
                <w:sz w:val="22"/>
                <w:szCs w:val="22"/>
                <w:highlight w:val="none"/>
                <w:lang w:val="en-US" w:eastAsia="zh-CN"/>
              </w:rPr>
            </w:pPr>
            <w:r>
              <w:rPr>
                <w:rFonts w:hint="eastAsia" w:ascii="宋体" w:hAnsi="宋体" w:cs="宋体"/>
                <w:sz w:val="22"/>
                <w:szCs w:val="22"/>
                <w:highlight w:val="none"/>
                <w:lang w:val="en-US" w:eastAsia="zh-CN"/>
              </w:rPr>
              <w:t>26</w:t>
            </w:r>
          </w:p>
        </w:tc>
        <w:tc>
          <w:tcPr>
            <w:tcW w:w="1082" w:type="dxa"/>
            <w:tcBorders>
              <w:top w:val="single" w:color="000000" w:sz="4" w:space="0"/>
              <w:left w:val="single" w:color="000000" w:sz="4" w:space="0"/>
              <w:bottom w:val="single" w:color="000000" w:sz="4" w:space="0"/>
              <w:right w:val="single" w:color="000000" w:sz="4" w:space="0"/>
            </w:tcBorders>
            <w:vAlign w:val="center"/>
          </w:tcPr>
          <w:p w14:paraId="59108964">
            <w:pPr>
              <w:jc w:val="center"/>
              <w:rPr>
                <w:rFonts w:ascii="宋体" w:hAnsi="宋体" w:cs="宋体"/>
                <w:sz w:val="22"/>
                <w:szCs w:val="22"/>
                <w:highlight w:val="none"/>
              </w:rPr>
            </w:pPr>
          </w:p>
        </w:tc>
        <w:tc>
          <w:tcPr>
            <w:tcW w:w="1318" w:type="dxa"/>
            <w:tcBorders>
              <w:top w:val="single" w:color="000000" w:sz="4" w:space="0"/>
              <w:left w:val="single" w:color="000000" w:sz="4" w:space="0"/>
              <w:bottom w:val="single" w:color="000000" w:sz="4" w:space="0"/>
              <w:right w:val="single" w:color="000000" w:sz="4" w:space="0"/>
            </w:tcBorders>
            <w:vAlign w:val="center"/>
          </w:tcPr>
          <w:p w14:paraId="20AB59A3">
            <w:pPr>
              <w:jc w:val="center"/>
              <w:rPr>
                <w:rFonts w:ascii="宋体" w:hAnsi="宋体" w:cs="宋体"/>
                <w:sz w:val="22"/>
                <w:szCs w:val="22"/>
              </w:rPr>
            </w:pPr>
            <w:r>
              <w:rPr>
                <w:rFonts w:hint="eastAsia" w:ascii="宋体" w:hAnsi="宋体" w:cs="宋体"/>
                <w:sz w:val="22"/>
                <w:szCs w:val="22"/>
              </w:rPr>
              <w:t>50</w:t>
            </w:r>
          </w:p>
        </w:tc>
        <w:tc>
          <w:tcPr>
            <w:tcW w:w="2031" w:type="dxa"/>
            <w:tcBorders>
              <w:top w:val="single" w:color="000000" w:sz="4" w:space="0"/>
              <w:left w:val="single" w:color="000000" w:sz="4" w:space="0"/>
              <w:bottom w:val="single" w:color="000000" w:sz="4" w:space="0"/>
              <w:right w:val="single" w:color="auto" w:sz="4" w:space="0"/>
            </w:tcBorders>
            <w:noWrap/>
            <w:vAlign w:val="center"/>
          </w:tcPr>
          <w:p w14:paraId="6067E192">
            <w:pPr>
              <w:rPr>
                <w:rFonts w:ascii="宋体" w:hAnsi="宋体" w:cs="宋体"/>
                <w:sz w:val="21"/>
                <w:szCs w:val="21"/>
              </w:rPr>
            </w:pPr>
            <w:r>
              <w:rPr>
                <w:rFonts w:hint="eastAsia" w:ascii="宋体" w:hAnsi="宋体" w:cs="宋体"/>
                <w:sz w:val="21"/>
                <w:szCs w:val="21"/>
              </w:rPr>
              <w:t>需满足东川区烟草制品零售点合理布局规划的其他规定</w:t>
            </w:r>
          </w:p>
        </w:tc>
        <w:tc>
          <w:tcPr>
            <w:tcW w:w="1347" w:type="dxa"/>
            <w:vMerge w:val="continue"/>
            <w:tcBorders>
              <w:left w:val="single" w:color="auto" w:sz="4" w:space="0"/>
              <w:right w:val="single" w:color="auto" w:sz="4" w:space="0"/>
            </w:tcBorders>
            <w:vAlign w:val="center"/>
          </w:tcPr>
          <w:p w14:paraId="5784C67F">
            <w:pPr>
              <w:jc w:val="center"/>
              <w:rPr>
                <w:rFonts w:ascii="宋体" w:hAnsi="宋体" w:cs="宋体"/>
                <w:sz w:val="22"/>
                <w:szCs w:val="22"/>
              </w:rPr>
            </w:pPr>
          </w:p>
        </w:tc>
        <w:tc>
          <w:tcPr>
            <w:tcW w:w="2025" w:type="dxa"/>
            <w:vMerge w:val="continue"/>
            <w:tcBorders>
              <w:left w:val="single" w:color="auto" w:sz="4" w:space="0"/>
              <w:right w:val="single" w:color="auto" w:sz="4" w:space="0"/>
            </w:tcBorders>
            <w:vAlign w:val="center"/>
          </w:tcPr>
          <w:p w14:paraId="6EE0947F">
            <w:pPr>
              <w:rPr>
                <w:rFonts w:ascii="宋体" w:hAnsi="宋体" w:cs="宋体"/>
                <w:sz w:val="22"/>
                <w:szCs w:val="22"/>
              </w:rPr>
            </w:pPr>
          </w:p>
        </w:tc>
      </w:tr>
      <w:tr w14:paraId="5715C696">
        <w:tblPrEx>
          <w:tblCellMar>
            <w:top w:w="0" w:type="dxa"/>
            <w:left w:w="108" w:type="dxa"/>
            <w:bottom w:w="0" w:type="dxa"/>
            <w:right w:w="108" w:type="dxa"/>
          </w:tblCellMar>
        </w:tblPrEx>
        <w:trPr>
          <w:trHeight w:val="336" w:hRule="atLeast"/>
          <w:jc w:val="center"/>
        </w:trPr>
        <w:tc>
          <w:tcPr>
            <w:tcW w:w="904" w:type="dxa"/>
            <w:vMerge w:val="continue"/>
            <w:tcBorders>
              <w:left w:val="single" w:color="000000" w:sz="4" w:space="0"/>
              <w:right w:val="single" w:color="000000" w:sz="4" w:space="0"/>
            </w:tcBorders>
            <w:vAlign w:val="center"/>
          </w:tcPr>
          <w:p w14:paraId="3314683F">
            <w:pPr>
              <w:jc w:val="center"/>
              <w:rPr>
                <w:rFonts w:ascii="宋体" w:hAnsi="宋体" w:cs="宋体"/>
                <w:sz w:val="22"/>
                <w:szCs w:val="22"/>
              </w:rPr>
            </w:pPr>
          </w:p>
        </w:tc>
        <w:tc>
          <w:tcPr>
            <w:tcW w:w="1317" w:type="dxa"/>
            <w:vMerge w:val="continue"/>
            <w:tcBorders>
              <w:left w:val="single" w:color="000000" w:sz="4" w:space="0"/>
              <w:right w:val="single" w:color="000000" w:sz="4" w:space="0"/>
            </w:tcBorders>
            <w:vAlign w:val="center"/>
          </w:tcPr>
          <w:p w14:paraId="295DE83A">
            <w:pPr>
              <w:jc w:val="center"/>
              <w:rPr>
                <w:rFonts w:ascii="宋体" w:hAnsi="宋体" w:cs="宋体"/>
                <w:sz w:val="22"/>
                <w:szCs w:val="22"/>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89B10">
            <w:pPr>
              <w:rPr>
                <w:rFonts w:ascii="宋体" w:hAnsi="宋体" w:cs="宋体"/>
                <w:sz w:val="21"/>
                <w:szCs w:val="21"/>
                <w:highlight w:val="none"/>
              </w:rPr>
            </w:pPr>
            <w:r>
              <w:rPr>
                <w:rFonts w:hint="eastAsia" w:ascii="宋体" w:hAnsi="宋体" w:cs="宋体"/>
                <w:sz w:val="21"/>
                <w:szCs w:val="21"/>
                <w:highlight w:val="none"/>
              </w:rPr>
              <w:t>政府所在地以外区域</w:t>
            </w:r>
          </w:p>
        </w:tc>
        <w:tc>
          <w:tcPr>
            <w:tcW w:w="1200" w:type="dxa"/>
            <w:tcBorders>
              <w:top w:val="single" w:color="000000" w:sz="4" w:space="0"/>
              <w:left w:val="single" w:color="000000" w:sz="4" w:space="0"/>
              <w:bottom w:val="single" w:color="000000" w:sz="4" w:space="0"/>
              <w:right w:val="single" w:color="000000" w:sz="4" w:space="0"/>
            </w:tcBorders>
            <w:vAlign w:val="center"/>
          </w:tcPr>
          <w:p w14:paraId="6DDD0FC8">
            <w:pPr>
              <w:jc w:val="center"/>
              <w:rPr>
                <w:rFonts w:hint="default" w:ascii="宋体" w:hAnsi="宋体" w:eastAsia="宋体" w:cs="宋体"/>
                <w:sz w:val="22"/>
                <w:szCs w:val="22"/>
                <w:highlight w:val="none"/>
                <w:lang w:val="en-US" w:eastAsia="zh-CN"/>
              </w:rPr>
            </w:pPr>
            <w:r>
              <w:rPr>
                <w:rFonts w:hint="eastAsia" w:ascii="宋体" w:hAnsi="宋体" w:cs="宋体"/>
                <w:sz w:val="22"/>
                <w:szCs w:val="22"/>
                <w:highlight w:val="none"/>
                <w:lang w:val="en-US" w:eastAsia="zh-CN"/>
              </w:rPr>
              <w:t>38</w:t>
            </w:r>
          </w:p>
        </w:tc>
        <w:tc>
          <w:tcPr>
            <w:tcW w:w="1407" w:type="dxa"/>
            <w:tcBorders>
              <w:top w:val="single" w:color="000000" w:sz="4" w:space="0"/>
              <w:left w:val="single" w:color="000000" w:sz="4" w:space="0"/>
              <w:bottom w:val="single" w:color="000000" w:sz="4" w:space="0"/>
              <w:right w:val="single" w:color="000000" w:sz="4" w:space="0"/>
            </w:tcBorders>
            <w:vAlign w:val="center"/>
          </w:tcPr>
          <w:p w14:paraId="33C828BD">
            <w:pPr>
              <w:jc w:val="center"/>
              <w:rPr>
                <w:rFonts w:hint="default" w:ascii="宋体" w:hAnsi="宋体" w:eastAsia="宋体" w:cs="宋体"/>
                <w:sz w:val="22"/>
                <w:szCs w:val="22"/>
                <w:highlight w:val="none"/>
                <w:lang w:val="en-US" w:eastAsia="zh-CN"/>
              </w:rPr>
            </w:pPr>
            <w:r>
              <w:rPr>
                <w:rFonts w:hint="eastAsia" w:ascii="宋体" w:hAnsi="宋体" w:cs="宋体"/>
                <w:sz w:val="22"/>
                <w:szCs w:val="22"/>
                <w:highlight w:val="none"/>
                <w:lang w:val="en-US" w:eastAsia="zh-CN"/>
              </w:rPr>
              <w:t>36</w:t>
            </w:r>
          </w:p>
        </w:tc>
        <w:tc>
          <w:tcPr>
            <w:tcW w:w="1082" w:type="dxa"/>
            <w:tcBorders>
              <w:top w:val="single" w:color="000000" w:sz="4" w:space="0"/>
              <w:left w:val="single" w:color="000000" w:sz="4" w:space="0"/>
              <w:bottom w:val="single" w:color="000000" w:sz="4" w:space="0"/>
              <w:right w:val="single" w:color="000000" w:sz="4" w:space="0"/>
            </w:tcBorders>
            <w:vAlign w:val="center"/>
          </w:tcPr>
          <w:p w14:paraId="09519DA3">
            <w:pPr>
              <w:jc w:val="center"/>
              <w:rPr>
                <w:rFonts w:ascii="宋体" w:hAnsi="宋体" w:cs="宋体"/>
                <w:sz w:val="22"/>
                <w:szCs w:val="22"/>
                <w:highlight w:val="none"/>
              </w:rPr>
            </w:pPr>
            <w:r>
              <w:rPr>
                <w:rFonts w:hint="eastAsia" w:ascii="宋体" w:hAnsi="宋体" w:cs="宋体"/>
                <w:sz w:val="22"/>
                <w:szCs w:val="22"/>
                <w:highlight w:val="none"/>
              </w:rPr>
              <w:t>2</w:t>
            </w:r>
          </w:p>
        </w:tc>
        <w:tc>
          <w:tcPr>
            <w:tcW w:w="1318" w:type="dxa"/>
            <w:tcBorders>
              <w:top w:val="single" w:color="000000" w:sz="4" w:space="0"/>
              <w:left w:val="single" w:color="000000" w:sz="4" w:space="0"/>
              <w:bottom w:val="single" w:color="000000" w:sz="4" w:space="0"/>
              <w:right w:val="single" w:color="000000" w:sz="4" w:space="0"/>
            </w:tcBorders>
            <w:vAlign w:val="center"/>
          </w:tcPr>
          <w:p w14:paraId="735F7A11">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50</w:t>
            </w:r>
          </w:p>
        </w:tc>
        <w:tc>
          <w:tcPr>
            <w:tcW w:w="2031" w:type="dxa"/>
            <w:tcBorders>
              <w:top w:val="single" w:color="000000" w:sz="4" w:space="0"/>
              <w:left w:val="single" w:color="000000" w:sz="4" w:space="0"/>
              <w:bottom w:val="single" w:color="000000" w:sz="4" w:space="0"/>
              <w:right w:val="single" w:color="auto" w:sz="4" w:space="0"/>
            </w:tcBorders>
            <w:noWrap/>
            <w:vAlign w:val="center"/>
          </w:tcPr>
          <w:p w14:paraId="6F14C5D3">
            <w:pPr>
              <w:rPr>
                <w:rFonts w:ascii="宋体" w:hAnsi="宋体" w:cs="宋体"/>
                <w:sz w:val="21"/>
                <w:szCs w:val="21"/>
              </w:rPr>
            </w:pPr>
            <w:r>
              <w:rPr>
                <w:rFonts w:hint="eastAsia" w:ascii="宋体" w:hAnsi="宋体" w:cs="宋体"/>
                <w:sz w:val="21"/>
                <w:szCs w:val="21"/>
              </w:rPr>
              <w:t>需满足东川区烟草制品零售点合理布局规划的其他规定</w:t>
            </w:r>
          </w:p>
        </w:tc>
        <w:tc>
          <w:tcPr>
            <w:tcW w:w="1347" w:type="dxa"/>
            <w:vMerge w:val="continue"/>
            <w:tcBorders>
              <w:left w:val="single" w:color="auto" w:sz="4" w:space="0"/>
              <w:right w:val="single" w:color="auto" w:sz="4" w:space="0"/>
            </w:tcBorders>
            <w:vAlign w:val="center"/>
          </w:tcPr>
          <w:p w14:paraId="691CC0CD">
            <w:pPr>
              <w:jc w:val="center"/>
              <w:rPr>
                <w:rFonts w:ascii="宋体" w:hAnsi="宋体" w:cs="宋体"/>
                <w:sz w:val="22"/>
                <w:szCs w:val="22"/>
              </w:rPr>
            </w:pPr>
          </w:p>
        </w:tc>
        <w:tc>
          <w:tcPr>
            <w:tcW w:w="2025" w:type="dxa"/>
            <w:vMerge w:val="continue"/>
            <w:tcBorders>
              <w:left w:val="single" w:color="auto" w:sz="4" w:space="0"/>
              <w:right w:val="single" w:color="auto" w:sz="4" w:space="0"/>
            </w:tcBorders>
            <w:vAlign w:val="center"/>
          </w:tcPr>
          <w:p w14:paraId="68273792">
            <w:pPr>
              <w:rPr>
                <w:rFonts w:ascii="宋体" w:hAnsi="宋体" w:cs="宋体"/>
                <w:sz w:val="22"/>
                <w:szCs w:val="22"/>
              </w:rPr>
            </w:pPr>
          </w:p>
        </w:tc>
      </w:tr>
      <w:tr w14:paraId="760D357D">
        <w:tblPrEx>
          <w:tblCellMar>
            <w:top w:w="0" w:type="dxa"/>
            <w:left w:w="108" w:type="dxa"/>
            <w:bottom w:w="0" w:type="dxa"/>
            <w:right w:w="108" w:type="dxa"/>
          </w:tblCellMar>
        </w:tblPrEx>
        <w:trPr>
          <w:trHeight w:val="336" w:hRule="atLeast"/>
          <w:jc w:val="center"/>
        </w:trPr>
        <w:tc>
          <w:tcPr>
            <w:tcW w:w="904" w:type="dxa"/>
            <w:vMerge w:val="continue"/>
            <w:tcBorders>
              <w:left w:val="single" w:color="000000" w:sz="4" w:space="0"/>
              <w:right w:val="single" w:color="000000" w:sz="4" w:space="0"/>
            </w:tcBorders>
            <w:vAlign w:val="center"/>
          </w:tcPr>
          <w:p w14:paraId="4632DDB8">
            <w:pPr>
              <w:jc w:val="center"/>
              <w:rPr>
                <w:rFonts w:ascii="宋体" w:hAnsi="宋体" w:cs="宋体"/>
                <w:sz w:val="22"/>
                <w:szCs w:val="22"/>
              </w:rPr>
            </w:pPr>
          </w:p>
        </w:tc>
        <w:tc>
          <w:tcPr>
            <w:tcW w:w="1317" w:type="dxa"/>
            <w:vMerge w:val="continue"/>
            <w:tcBorders>
              <w:left w:val="single" w:color="000000" w:sz="4" w:space="0"/>
              <w:bottom w:val="single" w:color="000000" w:sz="4" w:space="0"/>
              <w:right w:val="single" w:color="000000" w:sz="4" w:space="0"/>
            </w:tcBorders>
            <w:vAlign w:val="center"/>
          </w:tcPr>
          <w:p w14:paraId="2D8E0915">
            <w:pPr>
              <w:jc w:val="center"/>
              <w:rPr>
                <w:rFonts w:ascii="宋体" w:hAnsi="宋体" w:cs="宋体"/>
                <w:sz w:val="22"/>
                <w:szCs w:val="22"/>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CF34">
            <w:pPr>
              <w:rPr>
                <w:rFonts w:ascii="宋体" w:hAnsi="宋体" w:cs="宋体"/>
                <w:sz w:val="21"/>
                <w:szCs w:val="21"/>
              </w:rPr>
            </w:pPr>
            <w:r>
              <w:rPr>
                <w:rFonts w:hint="eastAsia" w:ascii="宋体" w:hAnsi="宋体" w:cs="宋体"/>
                <w:sz w:val="21"/>
                <w:szCs w:val="21"/>
              </w:rPr>
              <w:t>重点区域</w:t>
            </w:r>
          </w:p>
        </w:tc>
        <w:tc>
          <w:tcPr>
            <w:tcW w:w="1200" w:type="dxa"/>
            <w:tcBorders>
              <w:top w:val="single" w:color="000000" w:sz="4" w:space="0"/>
              <w:left w:val="single" w:color="000000" w:sz="4" w:space="0"/>
              <w:bottom w:val="single" w:color="000000" w:sz="4" w:space="0"/>
              <w:right w:val="single" w:color="000000" w:sz="4" w:space="0"/>
            </w:tcBorders>
            <w:vAlign w:val="center"/>
          </w:tcPr>
          <w:p w14:paraId="3DA7420F">
            <w:pPr>
              <w:jc w:val="center"/>
              <w:rPr>
                <w:rFonts w:ascii="宋体" w:hAnsi="宋体" w:cs="宋体"/>
                <w:sz w:val="22"/>
                <w:szCs w:val="22"/>
              </w:rPr>
            </w:pPr>
          </w:p>
        </w:tc>
        <w:tc>
          <w:tcPr>
            <w:tcW w:w="1407" w:type="dxa"/>
            <w:tcBorders>
              <w:top w:val="single" w:color="000000" w:sz="4" w:space="0"/>
              <w:left w:val="single" w:color="000000" w:sz="4" w:space="0"/>
              <w:bottom w:val="single" w:color="000000" w:sz="4" w:space="0"/>
              <w:right w:val="single" w:color="000000" w:sz="4" w:space="0"/>
            </w:tcBorders>
            <w:vAlign w:val="center"/>
          </w:tcPr>
          <w:p w14:paraId="1EA63DCD">
            <w:pPr>
              <w:jc w:val="center"/>
              <w:rPr>
                <w:rFonts w:ascii="宋体" w:hAnsi="宋体" w:cs="宋体"/>
                <w:sz w:val="22"/>
                <w:szCs w:val="22"/>
              </w:rPr>
            </w:pPr>
          </w:p>
        </w:tc>
        <w:tc>
          <w:tcPr>
            <w:tcW w:w="1082" w:type="dxa"/>
            <w:tcBorders>
              <w:top w:val="single" w:color="000000" w:sz="4" w:space="0"/>
              <w:left w:val="single" w:color="000000" w:sz="4" w:space="0"/>
              <w:bottom w:val="single" w:color="000000" w:sz="4" w:space="0"/>
              <w:right w:val="single" w:color="000000" w:sz="4" w:space="0"/>
            </w:tcBorders>
            <w:vAlign w:val="center"/>
          </w:tcPr>
          <w:p w14:paraId="52F99A9E">
            <w:pPr>
              <w:jc w:val="center"/>
              <w:rPr>
                <w:rFonts w:ascii="宋体" w:hAnsi="宋体" w:cs="宋体"/>
                <w:sz w:val="22"/>
                <w:szCs w:val="22"/>
              </w:rPr>
            </w:pPr>
          </w:p>
        </w:tc>
        <w:tc>
          <w:tcPr>
            <w:tcW w:w="1318" w:type="dxa"/>
            <w:tcBorders>
              <w:top w:val="single" w:color="000000" w:sz="4" w:space="0"/>
              <w:left w:val="single" w:color="000000" w:sz="4" w:space="0"/>
              <w:bottom w:val="single" w:color="000000" w:sz="4" w:space="0"/>
              <w:right w:val="single" w:color="000000" w:sz="4" w:space="0"/>
            </w:tcBorders>
            <w:vAlign w:val="center"/>
          </w:tcPr>
          <w:p w14:paraId="6C0A25A9">
            <w:pPr>
              <w:jc w:val="center"/>
              <w:rPr>
                <w:rFonts w:ascii="宋体" w:hAnsi="宋体" w:cs="宋体"/>
                <w:sz w:val="22"/>
                <w:szCs w:val="22"/>
              </w:rPr>
            </w:pPr>
          </w:p>
        </w:tc>
        <w:tc>
          <w:tcPr>
            <w:tcW w:w="2031" w:type="dxa"/>
            <w:tcBorders>
              <w:top w:val="single" w:color="000000" w:sz="4" w:space="0"/>
              <w:left w:val="single" w:color="000000" w:sz="4" w:space="0"/>
              <w:bottom w:val="single" w:color="000000" w:sz="4" w:space="0"/>
              <w:right w:val="single" w:color="auto" w:sz="4" w:space="0"/>
            </w:tcBorders>
            <w:noWrap/>
            <w:vAlign w:val="center"/>
          </w:tcPr>
          <w:p w14:paraId="7ABA9E40">
            <w:pPr>
              <w:rPr>
                <w:rFonts w:ascii="宋体" w:hAnsi="宋体" w:cs="宋体"/>
                <w:sz w:val="21"/>
                <w:szCs w:val="21"/>
              </w:rPr>
            </w:pPr>
            <w:r>
              <w:rPr>
                <w:rFonts w:hint="eastAsia" w:ascii="宋体" w:hAnsi="宋体" w:cs="宋体"/>
                <w:sz w:val="21"/>
                <w:szCs w:val="21"/>
              </w:rPr>
              <w:t>不受距离限制，但最小单元网格规划数限制</w:t>
            </w:r>
          </w:p>
        </w:tc>
        <w:tc>
          <w:tcPr>
            <w:tcW w:w="1347" w:type="dxa"/>
            <w:vMerge w:val="continue"/>
            <w:tcBorders>
              <w:left w:val="single" w:color="auto" w:sz="4" w:space="0"/>
              <w:right w:val="single" w:color="auto" w:sz="4" w:space="0"/>
            </w:tcBorders>
            <w:vAlign w:val="center"/>
          </w:tcPr>
          <w:p w14:paraId="27B5CC8D">
            <w:pPr>
              <w:jc w:val="center"/>
              <w:rPr>
                <w:rFonts w:ascii="宋体" w:hAnsi="宋体" w:cs="宋体"/>
                <w:sz w:val="22"/>
                <w:szCs w:val="22"/>
              </w:rPr>
            </w:pPr>
          </w:p>
        </w:tc>
        <w:tc>
          <w:tcPr>
            <w:tcW w:w="2025" w:type="dxa"/>
            <w:vMerge w:val="continue"/>
            <w:tcBorders>
              <w:left w:val="single" w:color="auto" w:sz="4" w:space="0"/>
              <w:right w:val="single" w:color="auto" w:sz="4" w:space="0"/>
            </w:tcBorders>
            <w:vAlign w:val="center"/>
          </w:tcPr>
          <w:p w14:paraId="612F57BC">
            <w:pPr>
              <w:rPr>
                <w:rFonts w:ascii="宋体" w:hAnsi="宋体" w:cs="宋体"/>
                <w:sz w:val="22"/>
                <w:szCs w:val="22"/>
              </w:rPr>
            </w:pPr>
          </w:p>
        </w:tc>
      </w:tr>
      <w:tr w14:paraId="4546C0D1">
        <w:tblPrEx>
          <w:tblCellMar>
            <w:top w:w="0" w:type="dxa"/>
            <w:left w:w="108" w:type="dxa"/>
            <w:bottom w:w="0" w:type="dxa"/>
            <w:right w:w="108" w:type="dxa"/>
          </w:tblCellMar>
        </w:tblPrEx>
        <w:trPr>
          <w:trHeight w:val="332" w:hRule="atLeast"/>
          <w:jc w:val="center"/>
        </w:trPr>
        <w:tc>
          <w:tcPr>
            <w:tcW w:w="904" w:type="dxa"/>
            <w:vMerge w:val="continue"/>
            <w:tcBorders>
              <w:left w:val="single" w:color="000000" w:sz="4" w:space="0"/>
              <w:right w:val="single" w:color="000000" w:sz="4" w:space="0"/>
            </w:tcBorders>
            <w:vAlign w:val="center"/>
          </w:tcPr>
          <w:p w14:paraId="6BF128E9">
            <w:pPr>
              <w:jc w:val="center"/>
              <w:rPr>
                <w:rFonts w:ascii="宋体" w:hAnsi="宋体" w:cs="宋体"/>
                <w:sz w:val="22"/>
                <w:szCs w:val="22"/>
              </w:rPr>
            </w:pPr>
          </w:p>
        </w:tc>
        <w:tc>
          <w:tcPr>
            <w:tcW w:w="1317" w:type="dxa"/>
            <w:vMerge w:val="restart"/>
            <w:tcBorders>
              <w:top w:val="single" w:color="000000" w:sz="4" w:space="0"/>
              <w:left w:val="single" w:color="000000" w:sz="4" w:space="0"/>
              <w:right w:val="single" w:color="000000" w:sz="4" w:space="0"/>
            </w:tcBorders>
            <w:vAlign w:val="center"/>
          </w:tcPr>
          <w:p w14:paraId="2168CAB0">
            <w:pPr>
              <w:jc w:val="center"/>
              <w:rPr>
                <w:rFonts w:ascii="宋体" w:hAnsi="宋体" w:cs="宋体"/>
                <w:sz w:val="22"/>
                <w:szCs w:val="22"/>
              </w:rPr>
            </w:pPr>
            <w:r>
              <w:rPr>
                <w:rFonts w:hint="eastAsia" w:ascii="宋体" w:hAnsi="宋体" w:cs="宋体"/>
                <w:sz w:val="22"/>
                <w:szCs w:val="22"/>
              </w:rPr>
              <w:t>拖布卡</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A78F9">
            <w:pPr>
              <w:rPr>
                <w:rFonts w:ascii="宋体" w:hAnsi="宋体" w:cs="宋体"/>
                <w:sz w:val="21"/>
                <w:szCs w:val="21"/>
                <w:highlight w:val="none"/>
              </w:rPr>
            </w:pPr>
            <w:r>
              <w:rPr>
                <w:rFonts w:hint="eastAsia" w:ascii="宋体" w:hAnsi="宋体" w:cs="宋体"/>
                <w:sz w:val="21"/>
                <w:szCs w:val="21"/>
                <w:highlight w:val="none"/>
              </w:rPr>
              <w:t>政府所在地、播卡、临港</w:t>
            </w:r>
          </w:p>
        </w:tc>
        <w:tc>
          <w:tcPr>
            <w:tcW w:w="1200" w:type="dxa"/>
            <w:tcBorders>
              <w:top w:val="single" w:color="000000" w:sz="4" w:space="0"/>
              <w:left w:val="single" w:color="000000" w:sz="4" w:space="0"/>
              <w:bottom w:val="single" w:color="000000" w:sz="4" w:space="0"/>
              <w:right w:val="single" w:color="000000" w:sz="4" w:space="0"/>
            </w:tcBorders>
            <w:vAlign w:val="center"/>
          </w:tcPr>
          <w:p w14:paraId="6053F2A4">
            <w:pPr>
              <w:jc w:val="center"/>
              <w:rPr>
                <w:rFonts w:hint="default" w:ascii="宋体" w:hAnsi="宋体" w:eastAsia="宋体" w:cs="宋体"/>
                <w:sz w:val="22"/>
                <w:szCs w:val="22"/>
                <w:highlight w:val="none"/>
                <w:lang w:val="en-US" w:eastAsia="zh-CN"/>
              </w:rPr>
            </w:pPr>
            <w:r>
              <w:rPr>
                <w:rFonts w:hint="eastAsia" w:ascii="宋体" w:hAnsi="宋体" w:cs="宋体"/>
                <w:sz w:val="22"/>
                <w:szCs w:val="22"/>
                <w:highlight w:val="none"/>
                <w:lang w:val="en-US" w:eastAsia="zh-CN"/>
              </w:rPr>
              <w:t>93</w:t>
            </w:r>
          </w:p>
        </w:tc>
        <w:tc>
          <w:tcPr>
            <w:tcW w:w="1407" w:type="dxa"/>
            <w:tcBorders>
              <w:top w:val="single" w:color="000000" w:sz="4" w:space="0"/>
              <w:left w:val="single" w:color="000000" w:sz="4" w:space="0"/>
              <w:bottom w:val="single" w:color="000000" w:sz="4" w:space="0"/>
              <w:right w:val="single" w:color="000000" w:sz="4" w:space="0"/>
            </w:tcBorders>
            <w:vAlign w:val="center"/>
          </w:tcPr>
          <w:p w14:paraId="3768D7A1">
            <w:pPr>
              <w:ind w:firstLine="440" w:firstLineChars="200"/>
              <w:jc w:val="both"/>
              <w:rPr>
                <w:rFonts w:hint="default" w:ascii="宋体" w:hAnsi="宋体" w:eastAsia="宋体" w:cs="宋体"/>
                <w:sz w:val="22"/>
                <w:szCs w:val="22"/>
                <w:highlight w:val="none"/>
                <w:lang w:val="en-US" w:eastAsia="zh-CN"/>
              </w:rPr>
            </w:pPr>
            <w:r>
              <w:rPr>
                <w:rFonts w:hint="eastAsia" w:ascii="宋体" w:hAnsi="宋体" w:cs="宋体"/>
                <w:sz w:val="22"/>
                <w:szCs w:val="22"/>
                <w:highlight w:val="none"/>
                <w:lang w:val="en-US" w:eastAsia="zh-CN"/>
              </w:rPr>
              <w:t>123</w:t>
            </w:r>
          </w:p>
        </w:tc>
        <w:tc>
          <w:tcPr>
            <w:tcW w:w="1082" w:type="dxa"/>
            <w:tcBorders>
              <w:top w:val="single" w:color="000000" w:sz="4" w:space="0"/>
              <w:left w:val="single" w:color="000000" w:sz="4" w:space="0"/>
              <w:bottom w:val="single" w:color="000000" w:sz="4" w:space="0"/>
              <w:right w:val="single" w:color="000000" w:sz="4" w:space="0"/>
            </w:tcBorders>
            <w:vAlign w:val="center"/>
          </w:tcPr>
          <w:p w14:paraId="2E3E431B">
            <w:pPr>
              <w:jc w:val="center"/>
              <w:rPr>
                <w:rFonts w:ascii="宋体" w:hAnsi="宋体" w:cs="宋体"/>
                <w:sz w:val="22"/>
                <w:szCs w:val="22"/>
                <w:highlight w:val="none"/>
              </w:rPr>
            </w:pPr>
            <w:r>
              <w:rPr>
                <w:rFonts w:hint="eastAsia" w:ascii="宋体" w:hAnsi="宋体" w:cs="宋体"/>
                <w:sz w:val="22"/>
                <w:szCs w:val="22"/>
                <w:highlight w:val="none"/>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27F344C2">
            <w:pPr>
              <w:jc w:val="center"/>
              <w:rPr>
                <w:rFonts w:ascii="宋体" w:hAnsi="宋体" w:cs="宋体"/>
                <w:sz w:val="22"/>
                <w:szCs w:val="22"/>
                <w:highlight w:val="none"/>
              </w:rPr>
            </w:pPr>
            <w:r>
              <w:rPr>
                <w:rFonts w:hint="eastAsia" w:ascii="宋体" w:hAnsi="宋体" w:cs="宋体"/>
                <w:sz w:val="22"/>
                <w:szCs w:val="22"/>
                <w:highlight w:val="none"/>
              </w:rPr>
              <w:t>50</w:t>
            </w:r>
          </w:p>
        </w:tc>
        <w:tc>
          <w:tcPr>
            <w:tcW w:w="2031" w:type="dxa"/>
            <w:tcBorders>
              <w:top w:val="single" w:color="000000" w:sz="4" w:space="0"/>
              <w:left w:val="single" w:color="000000" w:sz="4" w:space="0"/>
              <w:bottom w:val="single" w:color="000000" w:sz="4" w:space="0"/>
              <w:right w:val="single" w:color="auto" w:sz="4" w:space="0"/>
            </w:tcBorders>
            <w:noWrap/>
            <w:vAlign w:val="center"/>
          </w:tcPr>
          <w:p w14:paraId="28EF3CAE">
            <w:pPr>
              <w:rPr>
                <w:rFonts w:ascii="宋体" w:hAnsi="宋体" w:cs="宋体"/>
                <w:sz w:val="21"/>
                <w:szCs w:val="21"/>
                <w:highlight w:val="none"/>
              </w:rPr>
            </w:pPr>
            <w:r>
              <w:rPr>
                <w:rFonts w:hint="eastAsia" w:ascii="宋体" w:hAnsi="宋体" w:cs="宋体"/>
                <w:sz w:val="21"/>
                <w:szCs w:val="21"/>
                <w:highlight w:val="none"/>
              </w:rPr>
              <w:t>该区域许可证数量已饱和，到达规划数采取“退一进一”的管理模式。</w:t>
            </w:r>
          </w:p>
        </w:tc>
        <w:tc>
          <w:tcPr>
            <w:tcW w:w="1347" w:type="dxa"/>
            <w:vMerge w:val="continue"/>
            <w:tcBorders>
              <w:left w:val="single" w:color="auto" w:sz="4" w:space="0"/>
              <w:right w:val="single" w:color="auto" w:sz="4" w:space="0"/>
            </w:tcBorders>
            <w:vAlign w:val="center"/>
          </w:tcPr>
          <w:p w14:paraId="3F7897C9">
            <w:pPr>
              <w:jc w:val="center"/>
              <w:rPr>
                <w:rFonts w:ascii="宋体" w:hAnsi="宋体" w:cs="宋体"/>
                <w:sz w:val="22"/>
                <w:szCs w:val="22"/>
              </w:rPr>
            </w:pPr>
          </w:p>
        </w:tc>
        <w:tc>
          <w:tcPr>
            <w:tcW w:w="2025" w:type="dxa"/>
            <w:vMerge w:val="continue"/>
            <w:tcBorders>
              <w:left w:val="single" w:color="auto" w:sz="4" w:space="0"/>
              <w:right w:val="single" w:color="auto" w:sz="4" w:space="0"/>
            </w:tcBorders>
            <w:vAlign w:val="center"/>
          </w:tcPr>
          <w:p w14:paraId="2BC3580F">
            <w:pPr>
              <w:rPr>
                <w:rFonts w:ascii="宋体" w:hAnsi="宋体" w:cs="宋体"/>
                <w:sz w:val="22"/>
                <w:szCs w:val="22"/>
              </w:rPr>
            </w:pPr>
          </w:p>
        </w:tc>
      </w:tr>
      <w:tr w14:paraId="72DEA9C3">
        <w:tblPrEx>
          <w:tblCellMar>
            <w:top w:w="0" w:type="dxa"/>
            <w:left w:w="108" w:type="dxa"/>
            <w:bottom w:w="0" w:type="dxa"/>
            <w:right w:w="108" w:type="dxa"/>
          </w:tblCellMar>
        </w:tblPrEx>
        <w:trPr>
          <w:trHeight w:val="332" w:hRule="atLeast"/>
          <w:jc w:val="center"/>
        </w:trPr>
        <w:tc>
          <w:tcPr>
            <w:tcW w:w="904" w:type="dxa"/>
            <w:vMerge w:val="continue"/>
            <w:tcBorders>
              <w:left w:val="single" w:color="000000" w:sz="4" w:space="0"/>
              <w:right w:val="single" w:color="000000" w:sz="4" w:space="0"/>
            </w:tcBorders>
            <w:vAlign w:val="center"/>
          </w:tcPr>
          <w:p w14:paraId="6451BCC1">
            <w:pPr>
              <w:jc w:val="center"/>
              <w:rPr>
                <w:rFonts w:ascii="宋体" w:hAnsi="宋体" w:cs="宋体"/>
                <w:sz w:val="22"/>
                <w:szCs w:val="22"/>
              </w:rPr>
            </w:pPr>
          </w:p>
        </w:tc>
        <w:tc>
          <w:tcPr>
            <w:tcW w:w="1317" w:type="dxa"/>
            <w:vMerge w:val="continue"/>
            <w:tcBorders>
              <w:left w:val="single" w:color="000000" w:sz="4" w:space="0"/>
              <w:right w:val="single" w:color="000000" w:sz="4" w:space="0"/>
            </w:tcBorders>
            <w:vAlign w:val="center"/>
          </w:tcPr>
          <w:p w14:paraId="40933294">
            <w:pPr>
              <w:jc w:val="center"/>
              <w:rPr>
                <w:rFonts w:ascii="宋体" w:hAnsi="宋体" w:cs="宋体"/>
                <w:sz w:val="22"/>
                <w:szCs w:val="22"/>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3FB17">
            <w:pPr>
              <w:rPr>
                <w:rFonts w:ascii="宋体" w:hAnsi="宋体" w:cs="宋体"/>
                <w:sz w:val="21"/>
                <w:szCs w:val="21"/>
              </w:rPr>
            </w:pPr>
            <w:r>
              <w:rPr>
                <w:rFonts w:hint="eastAsia" w:ascii="宋体" w:hAnsi="宋体" w:cs="宋体"/>
                <w:sz w:val="21"/>
                <w:szCs w:val="21"/>
              </w:rPr>
              <w:t>政府所在地、播卡、临港以外区域</w:t>
            </w:r>
          </w:p>
        </w:tc>
        <w:tc>
          <w:tcPr>
            <w:tcW w:w="1200" w:type="dxa"/>
            <w:tcBorders>
              <w:top w:val="single" w:color="000000" w:sz="4" w:space="0"/>
              <w:left w:val="single" w:color="000000" w:sz="4" w:space="0"/>
              <w:bottom w:val="single" w:color="000000" w:sz="4" w:space="0"/>
              <w:right w:val="single" w:color="000000" w:sz="4" w:space="0"/>
            </w:tcBorders>
            <w:vAlign w:val="center"/>
          </w:tcPr>
          <w:p w14:paraId="04AA5E11">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57</w:t>
            </w:r>
          </w:p>
        </w:tc>
        <w:tc>
          <w:tcPr>
            <w:tcW w:w="1407" w:type="dxa"/>
            <w:tcBorders>
              <w:top w:val="single" w:color="000000" w:sz="4" w:space="0"/>
              <w:left w:val="single" w:color="000000" w:sz="4" w:space="0"/>
              <w:bottom w:val="single" w:color="000000" w:sz="4" w:space="0"/>
              <w:right w:val="single" w:color="000000" w:sz="4" w:space="0"/>
            </w:tcBorders>
            <w:vAlign w:val="center"/>
          </w:tcPr>
          <w:p w14:paraId="51312F65">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57</w:t>
            </w:r>
          </w:p>
        </w:tc>
        <w:tc>
          <w:tcPr>
            <w:tcW w:w="1082" w:type="dxa"/>
            <w:tcBorders>
              <w:top w:val="single" w:color="000000" w:sz="4" w:space="0"/>
              <w:left w:val="single" w:color="000000" w:sz="4" w:space="0"/>
              <w:bottom w:val="single" w:color="000000" w:sz="4" w:space="0"/>
              <w:right w:val="single" w:color="000000" w:sz="4" w:space="0"/>
            </w:tcBorders>
            <w:vAlign w:val="center"/>
          </w:tcPr>
          <w:p w14:paraId="7C287998">
            <w:pPr>
              <w:jc w:val="center"/>
              <w:rPr>
                <w:rFonts w:hint="eastAsia" w:ascii="宋体" w:hAnsi="宋体" w:eastAsia="宋体" w:cs="宋体"/>
                <w:sz w:val="22"/>
                <w:szCs w:val="22"/>
                <w:lang w:val="en-US" w:eastAsia="zh-CN"/>
              </w:rPr>
            </w:pPr>
            <w:r>
              <w:rPr>
                <w:rFonts w:hint="eastAsia" w:ascii="宋体" w:hAnsi="宋体" w:cs="宋体"/>
                <w:sz w:val="22"/>
                <w:szCs w:val="22"/>
                <w:lang w:val="en-US" w:eastAsia="zh-CN"/>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4B270E15">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50</w:t>
            </w:r>
          </w:p>
        </w:tc>
        <w:tc>
          <w:tcPr>
            <w:tcW w:w="2031" w:type="dxa"/>
            <w:tcBorders>
              <w:top w:val="single" w:color="000000" w:sz="4" w:space="0"/>
              <w:left w:val="single" w:color="000000" w:sz="4" w:space="0"/>
              <w:bottom w:val="single" w:color="000000" w:sz="4" w:space="0"/>
              <w:right w:val="single" w:color="auto" w:sz="4" w:space="0"/>
            </w:tcBorders>
            <w:noWrap/>
            <w:vAlign w:val="center"/>
          </w:tcPr>
          <w:p w14:paraId="3D0F5E8E">
            <w:pPr>
              <w:rPr>
                <w:rFonts w:ascii="宋体" w:hAnsi="宋体" w:cs="宋体"/>
                <w:sz w:val="21"/>
                <w:szCs w:val="21"/>
              </w:rPr>
            </w:pPr>
            <w:r>
              <w:rPr>
                <w:rFonts w:hint="eastAsia" w:ascii="宋体" w:hAnsi="宋体" w:cs="宋体"/>
                <w:sz w:val="21"/>
                <w:szCs w:val="21"/>
              </w:rPr>
              <w:t>需满足东川区烟草制品零售点合理布局规划的其他规定</w:t>
            </w:r>
          </w:p>
        </w:tc>
        <w:tc>
          <w:tcPr>
            <w:tcW w:w="1347" w:type="dxa"/>
            <w:vMerge w:val="continue"/>
            <w:tcBorders>
              <w:left w:val="single" w:color="auto" w:sz="4" w:space="0"/>
              <w:right w:val="single" w:color="auto" w:sz="4" w:space="0"/>
            </w:tcBorders>
            <w:vAlign w:val="center"/>
          </w:tcPr>
          <w:p w14:paraId="5E874B83">
            <w:pPr>
              <w:jc w:val="center"/>
              <w:rPr>
                <w:rFonts w:ascii="宋体" w:hAnsi="宋体" w:cs="宋体"/>
                <w:sz w:val="22"/>
                <w:szCs w:val="22"/>
              </w:rPr>
            </w:pPr>
          </w:p>
        </w:tc>
        <w:tc>
          <w:tcPr>
            <w:tcW w:w="2025" w:type="dxa"/>
            <w:vMerge w:val="continue"/>
            <w:tcBorders>
              <w:left w:val="single" w:color="auto" w:sz="4" w:space="0"/>
              <w:right w:val="single" w:color="auto" w:sz="4" w:space="0"/>
            </w:tcBorders>
            <w:vAlign w:val="center"/>
          </w:tcPr>
          <w:p w14:paraId="5DCF0478">
            <w:pPr>
              <w:rPr>
                <w:rFonts w:ascii="宋体" w:hAnsi="宋体" w:cs="宋体"/>
                <w:sz w:val="22"/>
                <w:szCs w:val="22"/>
              </w:rPr>
            </w:pPr>
          </w:p>
        </w:tc>
      </w:tr>
      <w:tr w14:paraId="56436098">
        <w:tblPrEx>
          <w:tblCellMar>
            <w:top w:w="0" w:type="dxa"/>
            <w:left w:w="108" w:type="dxa"/>
            <w:bottom w:w="0" w:type="dxa"/>
            <w:right w:w="108" w:type="dxa"/>
          </w:tblCellMar>
        </w:tblPrEx>
        <w:trPr>
          <w:trHeight w:val="332" w:hRule="atLeast"/>
          <w:jc w:val="center"/>
        </w:trPr>
        <w:tc>
          <w:tcPr>
            <w:tcW w:w="904" w:type="dxa"/>
            <w:vMerge w:val="continue"/>
            <w:tcBorders>
              <w:left w:val="single" w:color="000000" w:sz="4" w:space="0"/>
              <w:right w:val="single" w:color="000000" w:sz="4" w:space="0"/>
            </w:tcBorders>
            <w:vAlign w:val="center"/>
          </w:tcPr>
          <w:p w14:paraId="79287CC1">
            <w:pPr>
              <w:jc w:val="center"/>
              <w:rPr>
                <w:rFonts w:ascii="宋体" w:hAnsi="宋体" w:cs="宋体"/>
                <w:sz w:val="22"/>
                <w:szCs w:val="22"/>
              </w:rPr>
            </w:pPr>
          </w:p>
        </w:tc>
        <w:tc>
          <w:tcPr>
            <w:tcW w:w="1317" w:type="dxa"/>
            <w:vMerge w:val="continue"/>
            <w:tcBorders>
              <w:left w:val="single" w:color="000000" w:sz="4" w:space="0"/>
              <w:bottom w:val="single" w:color="000000" w:sz="4" w:space="0"/>
              <w:right w:val="single" w:color="000000" w:sz="4" w:space="0"/>
            </w:tcBorders>
            <w:vAlign w:val="center"/>
          </w:tcPr>
          <w:p w14:paraId="274D13A3">
            <w:pPr>
              <w:jc w:val="center"/>
              <w:rPr>
                <w:rFonts w:ascii="宋体" w:hAnsi="宋体" w:cs="宋体"/>
                <w:sz w:val="22"/>
                <w:szCs w:val="22"/>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94CE3">
            <w:pPr>
              <w:rPr>
                <w:rFonts w:ascii="宋体" w:hAnsi="宋体" w:cs="宋体"/>
                <w:sz w:val="21"/>
                <w:szCs w:val="21"/>
              </w:rPr>
            </w:pPr>
            <w:r>
              <w:rPr>
                <w:rFonts w:hint="eastAsia" w:ascii="宋体" w:hAnsi="宋体" w:cs="宋体"/>
                <w:sz w:val="21"/>
                <w:szCs w:val="21"/>
              </w:rPr>
              <w:t>重点区域</w:t>
            </w:r>
          </w:p>
        </w:tc>
        <w:tc>
          <w:tcPr>
            <w:tcW w:w="1200" w:type="dxa"/>
            <w:tcBorders>
              <w:top w:val="single" w:color="000000" w:sz="4" w:space="0"/>
              <w:left w:val="single" w:color="000000" w:sz="4" w:space="0"/>
              <w:bottom w:val="single" w:color="000000" w:sz="4" w:space="0"/>
              <w:right w:val="single" w:color="000000" w:sz="4" w:space="0"/>
            </w:tcBorders>
            <w:vAlign w:val="center"/>
          </w:tcPr>
          <w:p w14:paraId="0FDF6673">
            <w:pPr>
              <w:jc w:val="center"/>
              <w:rPr>
                <w:rFonts w:ascii="宋体" w:hAnsi="宋体" w:cs="宋体"/>
                <w:sz w:val="22"/>
                <w:szCs w:val="22"/>
              </w:rPr>
            </w:pPr>
          </w:p>
        </w:tc>
        <w:tc>
          <w:tcPr>
            <w:tcW w:w="1407" w:type="dxa"/>
            <w:tcBorders>
              <w:top w:val="single" w:color="000000" w:sz="4" w:space="0"/>
              <w:left w:val="single" w:color="000000" w:sz="4" w:space="0"/>
              <w:bottom w:val="single" w:color="000000" w:sz="4" w:space="0"/>
              <w:right w:val="single" w:color="000000" w:sz="4" w:space="0"/>
            </w:tcBorders>
            <w:vAlign w:val="center"/>
          </w:tcPr>
          <w:p w14:paraId="301AA3D6">
            <w:pPr>
              <w:jc w:val="center"/>
              <w:rPr>
                <w:rFonts w:ascii="宋体" w:hAnsi="宋体" w:cs="宋体"/>
                <w:sz w:val="22"/>
                <w:szCs w:val="22"/>
              </w:rPr>
            </w:pPr>
          </w:p>
        </w:tc>
        <w:tc>
          <w:tcPr>
            <w:tcW w:w="1082" w:type="dxa"/>
            <w:tcBorders>
              <w:top w:val="single" w:color="000000" w:sz="4" w:space="0"/>
              <w:left w:val="single" w:color="000000" w:sz="4" w:space="0"/>
              <w:bottom w:val="single" w:color="000000" w:sz="4" w:space="0"/>
              <w:right w:val="single" w:color="000000" w:sz="4" w:space="0"/>
            </w:tcBorders>
            <w:vAlign w:val="center"/>
          </w:tcPr>
          <w:p w14:paraId="01EE5651">
            <w:pPr>
              <w:jc w:val="center"/>
              <w:rPr>
                <w:rFonts w:ascii="宋体" w:hAnsi="宋体" w:cs="宋体"/>
                <w:sz w:val="22"/>
                <w:szCs w:val="22"/>
              </w:rPr>
            </w:pPr>
          </w:p>
        </w:tc>
        <w:tc>
          <w:tcPr>
            <w:tcW w:w="1318" w:type="dxa"/>
            <w:tcBorders>
              <w:top w:val="single" w:color="000000" w:sz="4" w:space="0"/>
              <w:left w:val="single" w:color="000000" w:sz="4" w:space="0"/>
              <w:bottom w:val="single" w:color="000000" w:sz="4" w:space="0"/>
              <w:right w:val="single" w:color="000000" w:sz="4" w:space="0"/>
            </w:tcBorders>
            <w:vAlign w:val="center"/>
          </w:tcPr>
          <w:p w14:paraId="7F2635CC">
            <w:pPr>
              <w:jc w:val="center"/>
              <w:rPr>
                <w:rFonts w:ascii="宋体" w:hAnsi="宋体" w:cs="宋体"/>
                <w:sz w:val="22"/>
                <w:szCs w:val="22"/>
              </w:rPr>
            </w:pPr>
          </w:p>
        </w:tc>
        <w:tc>
          <w:tcPr>
            <w:tcW w:w="2031" w:type="dxa"/>
            <w:tcBorders>
              <w:top w:val="single" w:color="000000" w:sz="4" w:space="0"/>
              <w:left w:val="single" w:color="000000" w:sz="4" w:space="0"/>
              <w:bottom w:val="single" w:color="000000" w:sz="4" w:space="0"/>
              <w:right w:val="single" w:color="auto" w:sz="4" w:space="0"/>
            </w:tcBorders>
            <w:noWrap/>
            <w:vAlign w:val="center"/>
          </w:tcPr>
          <w:p w14:paraId="69F44D1B">
            <w:pPr>
              <w:rPr>
                <w:rFonts w:ascii="宋体" w:hAnsi="宋体" w:cs="宋体"/>
                <w:sz w:val="21"/>
                <w:szCs w:val="21"/>
              </w:rPr>
            </w:pPr>
            <w:r>
              <w:rPr>
                <w:rFonts w:hint="eastAsia" w:ascii="宋体" w:hAnsi="宋体" w:cs="宋体"/>
                <w:sz w:val="21"/>
                <w:szCs w:val="21"/>
              </w:rPr>
              <w:t>不受距离限制，但最小单元网格规划数限制</w:t>
            </w:r>
          </w:p>
        </w:tc>
        <w:tc>
          <w:tcPr>
            <w:tcW w:w="1347" w:type="dxa"/>
            <w:vMerge w:val="continue"/>
            <w:tcBorders>
              <w:left w:val="single" w:color="auto" w:sz="4" w:space="0"/>
              <w:right w:val="single" w:color="auto" w:sz="4" w:space="0"/>
            </w:tcBorders>
            <w:vAlign w:val="center"/>
          </w:tcPr>
          <w:p w14:paraId="719B0262">
            <w:pPr>
              <w:jc w:val="center"/>
              <w:rPr>
                <w:rFonts w:ascii="宋体" w:hAnsi="宋体" w:cs="宋体"/>
                <w:sz w:val="22"/>
                <w:szCs w:val="22"/>
              </w:rPr>
            </w:pPr>
          </w:p>
        </w:tc>
        <w:tc>
          <w:tcPr>
            <w:tcW w:w="2025" w:type="dxa"/>
            <w:vMerge w:val="continue"/>
            <w:tcBorders>
              <w:left w:val="single" w:color="auto" w:sz="4" w:space="0"/>
              <w:right w:val="single" w:color="auto" w:sz="4" w:space="0"/>
            </w:tcBorders>
            <w:vAlign w:val="center"/>
          </w:tcPr>
          <w:p w14:paraId="300FAB43">
            <w:pPr>
              <w:rPr>
                <w:rFonts w:ascii="宋体" w:hAnsi="宋体" w:cs="宋体"/>
                <w:sz w:val="22"/>
                <w:szCs w:val="22"/>
              </w:rPr>
            </w:pPr>
          </w:p>
        </w:tc>
      </w:tr>
      <w:tr w14:paraId="4FE0E0D5">
        <w:tblPrEx>
          <w:tblCellMar>
            <w:top w:w="0" w:type="dxa"/>
            <w:left w:w="108" w:type="dxa"/>
            <w:bottom w:w="0" w:type="dxa"/>
            <w:right w:w="108" w:type="dxa"/>
          </w:tblCellMar>
        </w:tblPrEx>
        <w:trPr>
          <w:trHeight w:val="336" w:hRule="atLeast"/>
          <w:jc w:val="center"/>
        </w:trPr>
        <w:tc>
          <w:tcPr>
            <w:tcW w:w="904" w:type="dxa"/>
            <w:vMerge w:val="continue"/>
            <w:tcBorders>
              <w:left w:val="single" w:color="000000" w:sz="4" w:space="0"/>
              <w:right w:val="single" w:color="000000" w:sz="4" w:space="0"/>
            </w:tcBorders>
            <w:vAlign w:val="center"/>
          </w:tcPr>
          <w:p w14:paraId="6BFC5068">
            <w:pPr>
              <w:jc w:val="center"/>
              <w:rPr>
                <w:rFonts w:ascii="宋体" w:hAnsi="宋体" w:cs="宋体"/>
                <w:sz w:val="22"/>
                <w:szCs w:val="22"/>
              </w:rPr>
            </w:pPr>
          </w:p>
        </w:tc>
        <w:tc>
          <w:tcPr>
            <w:tcW w:w="1317" w:type="dxa"/>
            <w:vMerge w:val="restart"/>
            <w:tcBorders>
              <w:top w:val="single" w:color="000000" w:sz="4" w:space="0"/>
              <w:left w:val="single" w:color="000000" w:sz="4" w:space="0"/>
              <w:right w:val="single" w:color="000000" w:sz="4" w:space="0"/>
            </w:tcBorders>
            <w:vAlign w:val="center"/>
          </w:tcPr>
          <w:p w14:paraId="329975AA">
            <w:pPr>
              <w:jc w:val="center"/>
              <w:rPr>
                <w:rFonts w:ascii="宋体" w:hAnsi="宋体" w:cs="宋体"/>
                <w:sz w:val="22"/>
                <w:szCs w:val="22"/>
              </w:rPr>
            </w:pPr>
            <w:r>
              <w:rPr>
                <w:rFonts w:hint="eastAsia" w:ascii="宋体" w:hAnsi="宋体" w:cs="宋体"/>
                <w:sz w:val="22"/>
                <w:szCs w:val="22"/>
              </w:rPr>
              <w:t>乌龙镇</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32C51">
            <w:pPr>
              <w:rPr>
                <w:rFonts w:hint="default" w:ascii="宋体" w:hAnsi="宋体" w:eastAsia="宋体" w:cs="宋体"/>
                <w:sz w:val="21"/>
                <w:szCs w:val="21"/>
                <w:lang w:val="en-US" w:eastAsia="zh-CN"/>
              </w:rPr>
            </w:pPr>
            <w:r>
              <w:rPr>
                <w:rFonts w:hint="eastAsia" w:ascii="宋体" w:hAnsi="宋体" w:cs="宋体"/>
                <w:sz w:val="21"/>
                <w:szCs w:val="21"/>
              </w:rPr>
              <w:t>政府所在地</w:t>
            </w:r>
            <w:r>
              <w:rPr>
                <w:rFonts w:hint="eastAsia" w:ascii="宋体" w:hAnsi="宋体" w:cs="宋体"/>
                <w:sz w:val="21"/>
                <w:szCs w:val="21"/>
                <w:lang w:eastAsia="zh-CN"/>
              </w:rPr>
              <w:t>：碑棋、</w:t>
            </w:r>
            <w:r>
              <w:rPr>
                <w:rFonts w:hint="eastAsia" w:ascii="宋体" w:hAnsi="宋体" w:cs="宋体"/>
                <w:sz w:val="21"/>
                <w:szCs w:val="21"/>
                <w:lang w:val="en-US" w:eastAsia="zh-CN"/>
              </w:rPr>
              <w:t>店房</w:t>
            </w:r>
          </w:p>
        </w:tc>
        <w:tc>
          <w:tcPr>
            <w:tcW w:w="1200" w:type="dxa"/>
            <w:tcBorders>
              <w:top w:val="single" w:color="000000" w:sz="4" w:space="0"/>
              <w:left w:val="single" w:color="000000" w:sz="4" w:space="0"/>
              <w:bottom w:val="single" w:color="000000" w:sz="4" w:space="0"/>
              <w:right w:val="single" w:color="000000" w:sz="4" w:space="0"/>
            </w:tcBorders>
            <w:vAlign w:val="center"/>
          </w:tcPr>
          <w:p w14:paraId="3C8EED58">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45</w:t>
            </w:r>
          </w:p>
        </w:tc>
        <w:tc>
          <w:tcPr>
            <w:tcW w:w="1407" w:type="dxa"/>
            <w:tcBorders>
              <w:top w:val="single" w:color="000000" w:sz="4" w:space="0"/>
              <w:left w:val="single" w:color="000000" w:sz="4" w:space="0"/>
              <w:bottom w:val="single" w:color="000000" w:sz="4" w:space="0"/>
              <w:right w:val="single" w:color="000000" w:sz="4" w:space="0"/>
            </w:tcBorders>
            <w:vAlign w:val="center"/>
          </w:tcPr>
          <w:p w14:paraId="11335EC6">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45</w:t>
            </w:r>
          </w:p>
        </w:tc>
        <w:tc>
          <w:tcPr>
            <w:tcW w:w="1082" w:type="dxa"/>
            <w:tcBorders>
              <w:top w:val="single" w:color="000000" w:sz="4" w:space="0"/>
              <w:left w:val="single" w:color="000000" w:sz="4" w:space="0"/>
              <w:bottom w:val="single" w:color="000000" w:sz="4" w:space="0"/>
              <w:right w:val="single" w:color="000000" w:sz="4" w:space="0"/>
            </w:tcBorders>
            <w:vAlign w:val="center"/>
          </w:tcPr>
          <w:p w14:paraId="0EF426E0">
            <w:pPr>
              <w:jc w:val="center"/>
              <w:rPr>
                <w:rFonts w:ascii="宋体" w:hAnsi="宋体" w:cs="宋体"/>
                <w:sz w:val="22"/>
                <w:szCs w:val="22"/>
              </w:rPr>
            </w:pPr>
            <w:r>
              <w:rPr>
                <w:rFonts w:hint="eastAsia" w:ascii="宋体" w:hAnsi="宋体" w:cs="宋体"/>
                <w:sz w:val="22"/>
                <w:szCs w:val="22"/>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76D9148F">
            <w:pPr>
              <w:jc w:val="center"/>
              <w:rPr>
                <w:rFonts w:ascii="宋体" w:hAnsi="宋体" w:cs="宋体"/>
                <w:sz w:val="22"/>
                <w:szCs w:val="22"/>
              </w:rPr>
            </w:pPr>
            <w:r>
              <w:rPr>
                <w:rFonts w:hint="eastAsia" w:ascii="宋体" w:hAnsi="宋体" w:cs="宋体"/>
                <w:sz w:val="22"/>
                <w:szCs w:val="22"/>
              </w:rPr>
              <w:t>50</w:t>
            </w:r>
          </w:p>
        </w:tc>
        <w:tc>
          <w:tcPr>
            <w:tcW w:w="2031" w:type="dxa"/>
            <w:tcBorders>
              <w:top w:val="single" w:color="000000" w:sz="4" w:space="0"/>
              <w:left w:val="single" w:color="000000" w:sz="4" w:space="0"/>
              <w:bottom w:val="single" w:color="000000" w:sz="4" w:space="0"/>
              <w:right w:val="single" w:color="auto" w:sz="4" w:space="0"/>
            </w:tcBorders>
            <w:noWrap/>
            <w:vAlign w:val="center"/>
          </w:tcPr>
          <w:p w14:paraId="47A97E0F">
            <w:pPr>
              <w:rPr>
                <w:rFonts w:ascii="宋体" w:hAnsi="宋体" w:cs="宋体"/>
                <w:sz w:val="21"/>
                <w:szCs w:val="21"/>
              </w:rPr>
            </w:pPr>
            <w:r>
              <w:rPr>
                <w:rFonts w:hint="eastAsia" w:ascii="宋体" w:hAnsi="宋体" w:cs="宋体"/>
                <w:sz w:val="21"/>
                <w:szCs w:val="21"/>
              </w:rPr>
              <w:t>需满足东川区烟草制品零售点合理布局规划的其他规定</w:t>
            </w:r>
          </w:p>
        </w:tc>
        <w:tc>
          <w:tcPr>
            <w:tcW w:w="1347" w:type="dxa"/>
            <w:vMerge w:val="continue"/>
            <w:tcBorders>
              <w:left w:val="single" w:color="auto" w:sz="4" w:space="0"/>
              <w:right w:val="single" w:color="auto" w:sz="4" w:space="0"/>
            </w:tcBorders>
            <w:vAlign w:val="center"/>
          </w:tcPr>
          <w:p w14:paraId="38AB2DAC">
            <w:pPr>
              <w:jc w:val="center"/>
              <w:rPr>
                <w:rFonts w:ascii="宋体" w:hAnsi="宋体" w:cs="宋体"/>
                <w:sz w:val="22"/>
                <w:szCs w:val="22"/>
              </w:rPr>
            </w:pPr>
          </w:p>
        </w:tc>
        <w:tc>
          <w:tcPr>
            <w:tcW w:w="2025" w:type="dxa"/>
            <w:vMerge w:val="continue"/>
            <w:tcBorders>
              <w:left w:val="single" w:color="auto" w:sz="4" w:space="0"/>
              <w:right w:val="single" w:color="auto" w:sz="4" w:space="0"/>
            </w:tcBorders>
            <w:vAlign w:val="center"/>
          </w:tcPr>
          <w:p w14:paraId="327F1065">
            <w:pPr>
              <w:rPr>
                <w:rFonts w:ascii="宋体" w:hAnsi="宋体" w:cs="宋体"/>
                <w:sz w:val="22"/>
                <w:szCs w:val="22"/>
              </w:rPr>
            </w:pPr>
          </w:p>
        </w:tc>
      </w:tr>
      <w:tr w14:paraId="14A9B81D">
        <w:tblPrEx>
          <w:tblCellMar>
            <w:top w:w="0" w:type="dxa"/>
            <w:left w:w="108" w:type="dxa"/>
            <w:bottom w:w="0" w:type="dxa"/>
            <w:right w:w="108" w:type="dxa"/>
          </w:tblCellMar>
        </w:tblPrEx>
        <w:trPr>
          <w:trHeight w:val="336" w:hRule="atLeast"/>
          <w:jc w:val="center"/>
        </w:trPr>
        <w:tc>
          <w:tcPr>
            <w:tcW w:w="904" w:type="dxa"/>
            <w:vMerge w:val="continue"/>
            <w:tcBorders>
              <w:left w:val="single" w:color="000000" w:sz="4" w:space="0"/>
              <w:right w:val="single" w:color="000000" w:sz="4" w:space="0"/>
            </w:tcBorders>
            <w:vAlign w:val="center"/>
          </w:tcPr>
          <w:p w14:paraId="096135C9">
            <w:pPr>
              <w:jc w:val="center"/>
              <w:rPr>
                <w:rFonts w:ascii="宋体" w:hAnsi="宋体" w:cs="宋体"/>
                <w:sz w:val="22"/>
                <w:szCs w:val="22"/>
              </w:rPr>
            </w:pPr>
          </w:p>
        </w:tc>
        <w:tc>
          <w:tcPr>
            <w:tcW w:w="1317" w:type="dxa"/>
            <w:vMerge w:val="continue"/>
            <w:tcBorders>
              <w:left w:val="single" w:color="000000" w:sz="4" w:space="0"/>
              <w:right w:val="single" w:color="000000" w:sz="4" w:space="0"/>
            </w:tcBorders>
            <w:vAlign w:val="center"/>
          </w:tcPr>
          <w:p w14:paraId="797F9E10">
            <w:pPr>
              <w:jc w:val="center"/>
              <w:rPr>
                <w:rFonts w:ascii="宋体" w:hAnsi="宋体" w:cs="宋体"/>
                <w:sz w:val="22"/>
                <w:szCs w:val="22"/>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F7B8E">
            <w:pPr>
              <w:rPr>
                <w:rFonts w:ascii="宋体" w:hAnsi="宋体" w:cs="宋体"/>
                <w:sz w:val="21"/>
                <w:szCs w:val="21"/>
              </w:rPr>
            </w:pPr>
            <w:r>
              <w:rPr>
                <w:rFonts w:hint="eastAsia" w:ascii="宋体" w:hAnsi="宋体" w:cs="宋体"/>
                <w:sz w:val="21"/>
                <w:szCs w:val="21"/>
              </w:rPr>
              <w:t>政府所在地以外区域</w:t>
            </w:r>
          </w:p>
        </w:tc>
        <w:tc>
          <w:tcPr>
            <w:tcW w:w="1200" w:type="dxa"/>
            <w:tcBorders>
              <w:top w:val="single" w:color="000000" w:sz="4" w:space="0"/>
              <w:left w:val="single" w:color="000000" w:sz="4" w:space="0"/>
              <w:bottom w:val="single" w:color="000000" w:sz="4" w:space="0"/>
              <w:right w:val="single" w:color="000000" w:sz="4" w:space="0"/>
            </w:tcBorders>
            <w:vAlign w:val="center"/>
          </w:tcPr>
          <w:p w14:paraId="3520C777">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29</w:t>
            </w:r>
          </w:p>
        </w:tc>
        <w:tc>
          <w:tcPr>
            <w:tcW w:w="1407" w:type="dxa"/>
            <w:tcBorders>
              <w:top w:val="single" w:color="000000" w:sz="4" w:space="0"/>
              <w:left w:val="single" w:color="000000" w:sz="4" w:space="0"/>
              <w:bottom w:val="single" w:color="000000" w:sz="4" w:space="0"/>
              <w:right w:val="single" w:color="000000" w:sz="4" w:space="0"/>
            </w:tcBorders>
            <w:vAlign w:val="center"/>
          </w:tcPr>
          <w:p w14:paraId="7215FBA5">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29</w:t>
            </w:r>
          </w:p>
        </w:tc>
        <w:tc>
          <w:tcPr>
            <w:tcW w:w="1082" w:type="dxa"/>
            <w:tcBorders>
              <w:top w:val="single" w:color="000000" w:sz="4" w:space="0"/>
              <w:left w:val="single" w:color="000000" w:sz="4" w:space="0"/>
              <w:bottom w:val="single" w:color="000000" w:sz="4" w:space="0"/>
              <w:right w:val="single" w:color="000000" w:sz="4" w:space="0"/>
            </w:tcBorders>
            <w:vAlign w:val="center"/>
          </w:tcPr>
          <w:p w14:paraId="448DDAE3">
            <w:pPr>
              <w:jc w:val="center"/>
              <w:rPr>
                <w:rFonts w:hint="eastAsia" w:ascii="宋体" w:hAnsi="宋体" w:eastAsia="宋体" w:cs="宋体"/>
                <w:sz w:val="22"/>
                <w:szCs w:val="22"/>
                <w:lang w:val="en-US" w:eastAsia="zh-CN"/>
              </w:rPr>
            </w:pPr>
            <w:r>
              <w:rPr>
                <w:rFonts w:hint="eastAsia" w:ascii="宋体" w:hAnsi="宋体" w:cs="宋体"/>
                <w:sz w:val="22"/>
                <w:szCs w:val="22"/>
                <w:lang w:val="en-US" w:eastAsia="zh-CN"/>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580E76AE">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50</w:t>
            </w:r>
          </w:p>
        </w:tc>
        <w:tc>
          <w:tcPr>
            <w:tcW w:w="2031" w:type="dxa"/>
            <w:tcBorders>
              <w:top w:val="single" w:color="000000" w:sz="4" w:space="0"/>
              <w:left w:val="single" w:color="000000" w:sz="4" w:space="0"/>
              <w:bottom w:val="single" w:color="000000" w:sz="4" w:space="0"/>
              <w:right w:val="single" w:color="auto" w:sz="4" w:space="0"/>
            </w:tcBorders>
            <w:noWrap/>
            <w:vAlign w:val="center"/>
          </w:tcPr>
          <w:p w14:paraId="03856884">
            <w:pPr>
              <w:rPr>
                <w:rFonts w:ascii="宋体" w:hAnsi="宋体" w:cs="宋体"/>
                <w:sz w:val="21"/>
                <w:szCs w:val="21"/>
              </w:rPr>
            </w:pPr>
            <w:r>
              <w:rPr>
                <w:rFonts w:hint="eastAsia" w:ascii="宋体" w:hAnsi="宋体" w:cs="宋体"/>
                <w:sz w:val="21"/>
                <w:szCs w:val="21"/>
              </w:rPr>
              <w:t>需满足东川区烟草制品零售点合理布局规划的其他规定</w:t>
            </w:r>
          </w:p>
        </w:tc>
        <w:tc>
          <w:tcPr>
            <w:tcW w:w="1347" w:type="dxa"/>
            <w:vMerge w:val="continue"/>
            <w:tcBorders>
              <w:left w:val="single" w:color="auto" w:sz="4" w:space="0"/>
              <w:right w:val="single" w:color="auto" w:sz="4" w:space="0"/>
            </w:tcBorders>
            <w:vAlign w:val="center"/>
          </w:tcPr>
          <w:p w14:paraId="22FD2320">
            <w:pPr>
              <w:jc w:val="center"/>
              <w:rPr>
                <w:rFonts w:ascii="宋体" w:hAnsi="宋体" w:cs="宋体"/>
                <w:sz w:val="22"/>
                <w:szCs w:val="22"/>
              </w:rPr>
            </w:pPr>
          </w:p>
        </w:tc>
        <w:tc>
          <w:tcPr>
            <w:tcW w:w="2025" w:type="dxa"/>
            <w:vMerge w:val="continue"/>
            <w:tcBorders>
              <w:left w:val="single" w:color="auto" w:sz="4" w:space="0"/>
              <w:right w:val="single" w:color="auto" w:sz="4" w:space="0"/>
            </w:tcBorders>
            <w:vAlign w:val="center"/>
          </w:tcPr>
          <w:p w14:paraId="400E84D8">
            <w:pPr>
              <w:rPr>
                <w:rFonts w:ascii="宋体" w:hAnsi="宋体" w:cs="宋体"/>
                <w:sz w:val="22"/>
                <w:szCs w:val="22"/>
              </w:rPr>
            </w:pPr>
          </w:p>
        </w:tc>
      </w:tr>
      <w:tr w14:paraId="1589FB54">
        <w:tblPrEx>
          <w:tblCellMar>
            <w:top w:w="0" w:type="dxa"/>
            <w:left w:w="108" w:type="dxa"/>
            <w:bottom w:w="0" w:type="dxa"/>
            <w:right w:w="108" w:type="dxa"/>
          </w:tblCellMar>
        </w:tblPrEx>
        <w:trPr>
          <w:trHeight w:val="336" w:hRule="atLeast"/>
          <w:jc w:val="center"/>
        </w:trPr>
        <w:tc>
          <w:tcPr>
            <w:tcW w:w="904" w:type="dxa"/>
            <w:vMerge w:val="continue"/>
            <w:tcBorders>
              <w:left w:val="single" w:color="000000" w:sz="4" w:space="0"/>
              <w:bottom w:val="single" w:color="000000" w:sz="4" w:space="0"/>
              <w:right w:val="single" w:color="000000" w:sz="4" w:space="0"/>
            </w:tcBorders>
            <w:vAlign w:val="center"/>
          </w:tcPr>
          <w:p w14:paraId="172DA91A">
            <w:pPr>
              <w:jc w:val="center"/>
              <w:rPr>
                <w:rFonts w:ascii="宋体" w:hAnsi="宋体" w:cs="宋体"/>
                <w:sz w:val="22"/>
                <w:szCs w:val="22"/>
              </w:rPr>
            </w:pPr>
          </w:p>
        </w:tc>
        <w:tc>
          <w:tcPr>
            <w:tcW w:w="1317" w:type="dxa"/>
            <w:vMerge w:val="continue"/>
            <w:tcBorders>
              <w:left w:val="single" w:color="000000" w:sz="4" w:space="0"/>
              <w:bottom w:val="single" w:color="000000" w:sz="4" w:space="0"/>
              <w:right w:val="single" w:color="000000" w:sz="4" w:space="0"/>
            </w:tcBorders>
            <w:vAlign w:val="center"/>
          </w:tcPr>
          <w:p w14:paraId="2C1BCF97">
            <w:pPr>
              <w:jc w:val="center"/>
              <w:rPr>
                <w:rFonts w:ascii="宋体" w:hAnsi="宋体" w:cs="宋体"/>
                <w:sz w:val="22"/>
                <w:szCs w:val="22"/>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5686A">
            <w:pPr>
              <w:rPr>
                <w:rFonts w:ascii="宋体" w:hAnsi="宋体" w:cs="宋体"/>
                <w:sz w:val="21"/>
                <w:szCs w:val="21"/>
              </w:rPr>
            </w:pPr>
            <w:r>
              <w:rPr>
                <w:rFonts w:hint="eastAsia" w:ascii="宋体" w:hAnsi="宋体" w:cs="宋体"/>
                <w:sz w:val="21"/>
                <w:szCs w:val="21"/>
              </w:rPr>
              <w:t>重点区域</w:t>
            </w:r>
          </w:p>
        </w:tc>
        <w:tc>
          <w:tcPr>
            <w:tcW w:w="1200" w:type="dxa"/>
            <w:tcBorders>
              <w:top w:val="single" w:color="000000" w:sz="4" w:space="0"/>
              <w:left w:val="single" w:color="000000" w:sz="4" w:space="0"/>
              <w:bottom w:val="single" w:color="000000" w:sz="4" w:space="0"/>
              <w:right w:val="single" w:color="000000" w:sz="4" w:space="0"/>
            </w:tcBorders>
            <w:vAlign w:val="center"/>
          </w:tcPr>
          <w:p w14:paraId="4A54A791">
            <w:pPr>
              <w:jc w:val="center"/>
              <w:rPr>
                <w:rFonts w:ascii="宋体" w:hAnsi="宋体" w:cs="宋体"/>
                <w:sz w:val="22"/>
                <w:szCs w:val="22"/>
              </w:rPr>
            </w:pPr>
          </w:p>
        </w:tc>
        <w:tc>
          <w:tcPr>
            <w:tcW w:w="1407" w:type="dxa"/>
            <w:tcBorders>
              <w:top w:val="single" w:color="000000" w:sz="4" w:space="0"/>
              <w:left w:val="single" w:color="000000" w:sz="4" w:space="0"/>
              <w:bottom w:val="single" w:color="000000" w:sz="4" w:space="0"/>
              <w:right w:val="single" w:color="000000" w:sz="4" w:space="0"/>
            </w:tcBorders>
            <w:vAlign w:val="center"/>
          </w:tcPr>
          <w:p w14:paraId="0BBDD040">
            <w:pPr>
              <w:jc w:val="center"/>
              <w:rPr>
                <w:rFonts w:ascii="宋体" w:hAnsi="宋体" w:cs="宋体"/>
                <w:sz w:val="22"/>
                <w:szCs w:val="22"/>
              </w:rPr>
            </w:pPr>
          </w:p>
        </w:tc>
        <w:tc>
          <w:tcPr>
            <w:tcW w:w="1082" w:type="dxa"/>
            <w:tcBorders>
              <w:top w:val="single" w:color="000000" w:sz="4" w:space="0"/>
              <w:left w:val="single" w:color="000000" w:sz="4" w:space="0"/>
              <w:bottom w:val="single" w:color="000000" w:sz="4" w:space="0"/>
              <w:right w:val="single" w:color="000000" w:sz="4" w:space="0"/>
            </w:tcBorders>
            <w:vAlign w:val="center"/>
          </w:tcPr>
          <w:p w14:paraId="2EDFABD9">
            <w:pPr>
              <w:jc w:val="center"/>
              <w:rPr>
                <w:rFonts w:ascii="宋体" w:hAnsi="宋体" w:cs="宋体"/>
                <w:sz w:val="22"/>
                <w:szCs w:val="22"/>
              </w:rPr>
            </w:pPr>
          </w:p>
        </w:tc>
        <w:tc>
          <w:tcPr>
            <w:tcW w:w="1318" w:type="dxa"/>
            <w:tcBorders>
              <w:top w:val="single" w:color="000000" w:sz="4" w:space="0"/>
              <w:left w:val="single" w:color="000000" w:sz="4" w:space="0"/>
              <w:bottom w:val="single" w:color="000000" w:sz="4" w:space="0"/>
              <w:right w:val="single" w:color="000000" w:sz="4" w:space="0"/>
            </w:tcBorders>
            <w:vAlign w:val="center"/>
          </w:tcPr>
          <w:p w14:paraId="063F97D6">
            <w:pPr>
              <w:jc w:val="center"/>
              <w:rPr>
                <w:rFonts w:ascii="宋体" w:hAnsi="宋体" w:cs="宋体"/>
                <w:sz w:val="22"/>
                <w:szCs w:val="22"/>
              </w:rPr>
            </w:pPr>
          </w:p>
        </w:tc>
        <w:tc>
          <w:tcPr>
            <w:tcW w:w="2031" w:type="dxa"/>
            <w:tcBorders>
              <w:top w:val="single" w:color="000000" w:sz="4" w:space="0"/>
              <w:left w:val="single" w:color="000000" w:sz="4" w:space="0"/>
              <w:bottom w:val="single" w:color="000000" w:sz="4" w:space="0"/>
              <w:right w:val="single" w:color="auto" w:sz="4" w:space="0"/>
            </w:tcBorders>
            <w:noWrap/>
            <w:vAlign w:val="center"/>
          </w:tcPr>
          <w:p w14:paraId="276F964B">
            <w:pPr>
              <w:rPr>
                <w:rFonts w:ascii="宋体" w:hAnsi="宋体" w:cs="宋体"/>
                <w:sz w:val="21"/>
                <w:szCs w:val="21"/>
              </w:rPr>
            </w:pPr>
            <w:r>
              <w:rPr>
                <w:rFonts w:hint="eastAsia" w:ascii="宋体" w:hAnsi="宋体" w:cs="宋体"/>
                <w:sz w:val="21"/>
                <w:szCs w:val="21"/>
              </w:rPr>
              <w:t>不受距离限制，但最小单元网格规划数限制</w:t>
            </w:r>
          </w:p>
        </w:tc>
        <w:tc>
          <w:tcPr>
            <w:tcW w:w="1347" w:type="dxa"/>
            <w:vMerge w:val="continue"/>
            <w:tcBorders>
              <w:left w:val="single" w:color="auto" w:sz="4" w:space="0"/>
              <w:bottom w:val="single" w:color="auto" w:sz="4" w:space="0"/>
              <w:right w:val="single" w:color="auto" w:sz="4" w:space="0"/>
            </w:tcBorders>
            <w:vAlign w:val="center"/>
          </w:tcPr>
          <w:p w14:paraId="5656648D">
            <w:pPr>
              <w:jc w:val="center"/>
              <w:rPr>
                <w:rFonts w:ascii="宋体" w:hAnsi="宋体" w:cs="宋体"/>
                <w:sz w:val="22"/>
                <w:szCs w:val="22"/>
              </w:rPr>
            </w:pPr>
          </w:p>
        </w:tc>
        <w:tc>
          <w:tcPr>
            <w:tcW w:w="2025" w:type="dxa"/>
            <w:vMerge w:val="continue"/>
            <w:tcBorders>
              <w:left w:val="single" w:color="auto" w:sz="4" w:space="0"/>
              <w:bottom w:val="single" w:color="auto" w:sz="4" w:space="0"/>
              <w:right w:val="single" w:color="auto" w:sz="4" w:space="0"/>
            </w:tcBorders>
            <w:vAlign w:val="center"/>
          </w:tcPr>
          <w:p w14:paraId="61C8F630">
            <w:pPr>
              <w:rPr>
                <w:rFonts w:ascii="宋体" w:hAnsi="宋体" w:cs="宋体"/>
                <w:sz w:val="22"/>
                <w:szCs w:val="22"/>
              </w:rPr>
            </w:pPr>
          </w:p>
        </w:tc>
      </w:tr>
    </w:tbl>
    <w:p w14:paraId="755C4457">
      <w:pPr>
        <w:spacing w:before="42" w:line="219" w:lineRule="auto"/>
        <w:ind w:right="-101" w:rightChars="-48"/>
        <w:rPr>
          <w:rFonts w:ascii="宋体" w:hAnsi="宋体" w:cs="宋体"/>
          <w:spacing w:val="-1"/>
        </w:rPr>
      </w:pPr>
      <w:r>
        <w:rPr>
          <w:rFonts w:hint="eastAsia" w:ascii="宋体" w:hAnsi="宋体" w:cs="宋体"/>
          <w:spacing w:val="-1"/>
        </w:rPr>
        <w:t>备注：1.本公示表的数据根据本县（市、区）零售点布局规划实行定期评价、动态管理。</w:t>
      </w:r>
    </w:p>
    <w:p w14:paraId="393016C6">
      <w:pPr>
        <w:spacing w:before="42" w:line="219" w:lineRule="auto"/>
        <w:ind w:firstLine="624" w:firstLineChars="300"/>
        <w:rPr>
          <w:rFonts w:ascii="宋体" w:hAnsi="宋体" w:cs="宋体"/>
          <w:spacing w:val="-1"/>
        </w:rPr>
      </w:pPr>
      <w:r>
        <w:rPr>
          <w:rFonts w:hint="eastAsia" w:ascii="宋体" w:hAnsi="宋体" w:cs="宋体"/>
          <w:spacing w:val="-1"/>
        </w:rPr>
        <w:t>2.每季度根据经济发展、城乡建设、市场形势等变化情况对本表中的数据进行动态调整，规划数相应进行动态更新，以每季度最后一次公示的数据为准。</w:t>
      </w:r>
    </w:p>
    <w:p w14:paraId="7D325B5E">
      <w:pPr>
        <w:spacing w:before="42" w:line="219" w:lineRule="auto"/>
        <w:ind w:firstLine="624" w:firstLineChars="300"/>
        <w:rPr>
          <w:rFonts w:ascii="方正小标宋简体" w:eastAsia="方正小标宋简体"/>
          <w:sz w:val="32"/>
          <w:szCs w:val="32"/>
        </w:rPr>
      </w:pPr>
      <w:r>
        <w:rPr>
          <w:rFonts w:hint="eastAsia" w:ascii="宋体" w:hAnsi="宋体" w:cs="宋体"/>
          <w:spacing w:val="-1"/>
        </w:rPr>
        <w:t>3.本数据由东川区烟草专卖局负责解释，咨询电话：62123035。</w:t>
      </w:r>
    </w:p>
    <w:p w14:paraId="703095E1">
      <w:pPr>
        <w:spacing w:after="0" w:line="360" w:lineRule="auto"/>
        <w:ind w:right="2"/>
        <w:jc w:val="left"/>
        <w:rPr>
          <w:rFonts w:ascii="仿宋_GB2312" w:hAnsi="仿宋_GB2312" w:eastAsia="仿宋_GB2312" w:cs="仿宋_GB2312"/>
          <w:spacing w:val="10"/>
          <w:sz w:val="32"/>
          <w:szCs w:val="32"/>
        </w:rPr>
        <w:sectPr>
          <w:footerReference r:id="rId5" w:type="default"/>
          <w:pgSz w:w="16838" w:h="11906" w:orient="landscape"/>
          <w:pgMar w:top="1463" w:right="1440" w:bottom="1800" w:left="1440" w:header="851" w:footer="992" w:gutter="0"/>
          <w:pgNumType w:fmt="numberInDash"/>
          <w:cols w:space="720" w:num="1"/>
          <w:docGrid w:type="lines" w:linePitch="312" w:charSpace="0"/>
        </w:sectPr>
      </w:pPr>
    </w:p>
    <w:p w14:paraId="491ABB52"/>
    <w:p w14:paraId="1ED9A2D9">
      <w:pPr>
        <w:spacing w:before="104" w:line="224" w:lineRule="auto"/>
        <w:outlineLvl w:val="0"/>
        <w:rPr>
          <w:rFonts w:ascii="黑体" w:hAnsi="黑体" w:eastAsia="黑体" w:cs="黑体"/>
          <w:spacing w:val="8"/>
          <w:sz w:val="32"/>
          <w:szCs w:val="32"/>
        </w:rPr>
      </w:pPr>
      <w:r>
        <w:rPr>
          <w:rFonts w:hint="eastAsia" w:ascii="黑体" w:hAnsi="黑体" w:eastAsia="黑体" w:cs="黑体"/>
          <w:spacing w:val="8"/>
          <w:sz w:val="32"/>
          <w:szCs w:val="32"/>
        </w:rPr>
        <w:t>附件3</w:t>
      </w:r>
    </w:p>
    <w:p w14:paraId="24808DCF">
      <w:pPr>
        <w:spacing w:before="42" w:line="317" w:lineRule="auto"/>
        <w:jc w:val="center"/>
        <w:rPr>
          <w:rFonts w:ascii="方正小标宋简体" w:eastAsia="方正小标宋简体"/>
          <w:sz w:val="44"/>
          <w:szCs w:val="44"/>
        </w:rPr>
      </w:pPr>
      <w:r>
        <w:rPr>
          <w:rFonts w:hint="eastAsia" w:ascii="方正小标宋简体" w:eastAsia="方正小标宋简体"/>
          <w:sz w:val="44"/>
          <w:szCs w:val="44"/>
        </w:rPr>
        <w:t>云南省昆明市东川区烟草专卖局雪茄烟专营店零售点</w:t>
      </w:r>
    </w:p>
    <w:p w14:paraId="6BD20347">
      <w:pPr>
        <w:spacing w:before="42" w:line="317" w:lineRule="auto"/>
        <w:jc w:val="center"/>
        <w:rPr>
          <w:rFonts w:ascii="方正小标宋简体" w:eastAsia="方正小标宋简体"/>
          <w:sz w:val="44"/>
          <w:szCs w:val="44"/>
        </w:rPr>
      </w:pPr>
      <w:r>
        <w:rPr>
          <w:rFonts w:hint="eastAsia" w:ascii="方正小标宋简体" w:eastAsia="方正小标宋简体"/>
          <w:sz w:val="44"/>
          <w:szCs w:val="44"/>
        </w:rPr>
        <w:t>合理布局公示表</w:t>
      </w:r>
    </w:p>
    <w:p w14:paraId="30E30CDE">
      <w:pPr>
        <w:ind w:firstLine="420" w:firstLineChars="200"/>
      </w:pPr>
      <w:r>
        <w:rPr>
          <w:rFonts w:hint="eastAsia"/>
        </w:rPr>
        <w:t>单位：云南省昆明市东川区</w:t>
      </w:r>
      <w:r>
        <w:rPr>
          <w:rFonts w:hint="eastAsia" w:ascii="宋体" w:hAnsi="宋体" w:cs="宋体"/>
        </w:rPr>
        <w:t>烟草专卖局</w:t>
      </w:r>
      <w:r>
        <w:rPr>
          <w:rFonts w:hint="eastAsia"/>
        </w:rPr>
        <w:t>（盖章）                                      公示时间：</w:t>
      </w:r>
      <w:r>
        <w:t>XX年XX月XX日</w:t>
      </w:r>
      <w:r>
        <w:rPr>
          <w:rFonts w:hint="eastAsia"/>
        </w:rPr>
        <w:t>-</w:t>
      </w:r>
      <w:r>
        <w:t>XX年XX月XX日</w:t>
      </w:r>
    </w:p>
    <w:tbl>
      <w:tblPr>
        <w:tblStyle w:val="10"/>
        <w:tblpPr w:leftFromText="180" w:rightFromText="180" w:vertAnchor="text" w:horzAnchor="page" w:tblpX="1789" w:tblpY="151"/>
        <w:tblOverlap w:val="never"/>
        <w:tblW w:w="471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21"/>
        <w:gridCol w:w="2571"/>
        <w:gridCol w:w="1764"/>
        <w:gridCol w:w="1313"/>
        <w:gridCol w:w="2289"/>
        <w:gridCol w:w="1558"/>
        <w:gridCol w:w="2664"/>
      </w:tblGrid>
      <w:tr w14:paraId="4B363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387" w:type="pct"/>
            <w:vMerge w:val="restart"/>
            <w:tcBorders>
              <w:top w:val="single" w:color="auto" w:sz="4" w:space="0"/>
              <w:left w:val="single" w:color="auto" w:sz="4" w:space="0"/>
              <w:bottom w:val="nil"/>
            </w:tcBorders>
            <w:shd w:val="clear" w:color="auto" w:fill="auto"/>
            <w:vAlign w:val="center"/>
          </w:tcPr>
          <w:p w14:paraId="3480C125">
            <w:pPr>
              <w:jc w:val="center"/>
              <w:rPr>
                <w:rFonts w:ascii="宋体" w:hAnsi="宋体" w:cs="宋体"/>
                <w:sz w:val="22"/>
                <w:szCs w:val="22"/>
              </w:rPr>
            </w:pPr>
            <w:r>
              <w:rPr>
                <w:rFonts w:hint="eastAsia" w:ascii="宋体" w:hAnsi="宋体" w:cs="宋体"/>
                <w:sz w:val="22"/>
                <w:szCs w:val="22"/>
              </w:rPr>
              <w:t>东川区</w:t>
            </w:r>
          </w:p>
        </w:tc>
        <w:tc>
          <w:tcPr>
            <w:tcW w:w="2142" w:type="pct"/>
            <w:gridSpan w:val="3"/>
            <w:tcBorders>
              <w:top w:val="single" w:color="auto" w:sz="4" w:space="0"/>
            </w:tcBorders>
            <w:shd w:val="clear" w:color="auto" w:fill="auto"/>
            <w:vAlign w:val="center"/>
          </w:tcPr>
          <w:p w14:paraId="18905E52">
            <w:pPr>
              <w:ind w:left="241" w:hanging="241" w:hangingChars="100"/>
              <w:jc w:val="center"/>
              <w:rPr>
                <w:rFonts w:ascii="宋体" w:hAnsi="宋体" w:cs="宋体"/>
                <w:b/>
                <w:bCs/>
                <w:sz w:val="24"/>
              </w:rPr>
            </w:pPr>
            <w:r>
              <w:rPr>
                <w:rFonts w:hint="eastAsia" w:ascii="宋体" w:hAnsi="宋体" w:cs="宋体"/>
                <w:b/>
                <w:bCs/>
                <w:sz w:val="24"/>
              </w:rPr>
              <w:t>数量情况</w:t>
            </w:r>
          </w:p>
        </w:tc>
        <w:tc>
          <w:tcPr>
            <w:tcW w:w="1459" w:type="pct"/>
            <w:gridSpan w:val="2"/>
            <w:tcBorders>
              <w:top w:val="single" w:color="auto" w:sz="4" w:space="0"/>
            </w:tcBorders>
            <w:shd w:val="clear" w:color="auto" w:fill="auto"/>
            <w:vAlign w:val="center"/>
          </w:tcPr>
          <w:p w14:paraId="5E5C7648">
            <w:pPr>
              <w:ind w:left="241" w:hanging="241" w:hangingChars="100"/>
              <w:jc w:val="center"/>
              <w:rPr>
                <w:rFonts w:ascii="宋体" w:hAnsi="宋体" w:cs="宋体"/>
                <w:b/>
                <w:bCs/>
                <w:sz w:val="24"/>
              </w:rPr>
            </w:pPr>
            <w:r>
              <w:rPr>
                <w:rFonts w:hint="eastAsia" w:ascii="宋体" w:hAnsi="宋体" w:cs="宋体"/>
                <w:b/>
                <w:bCs/>
                <w:sz w:val="24"/>
              </w:rPr>
              <w:t>其他情况</w:t>
            </w:r>
          </w:p>
        </w:tc>
        <w:tc>
          <w:tcPr>
            <w:tcW w:w="1010" w:type="pct"/>
            <w:vMerge w:val="restart"/>
            <w:tcBorders>
              <w:top w:val="single" w:color="auto" w:sz="4" w:space="0"/>
              <w:right w:val="single" w:color="auto" w:sz="4" w:space="0"/>
            </w:tcBorders>
            <w:shd w:val="clear" w:color="auto" w:fill="auto"/>
            <w:vAlign w:val="center"/>
          </w:tcPr>
          <w:p w14:paraId="72E62055">
            <w:pPr>
              <w:ind w:left="19" w:right="80" w:rightChars="38" w:hanging="19" w:hangingChars="8"/>
              <w:jc w:val="center"/>
              <w:rPr>
                <w:rFonts w:ascii="宋体" w:hAnsi="宋体" w:cs="宋体"/>
                <w:b/>
                <w:bCs/>
                <w:spacing w:val="-1"/>
                <w:sz w:val="24"/>
              </w:rPr>
            </w:pPr>
            <w:r>
              <w:rPr>
                <w:rFonts w:hint="eastAsia" w:ascii="宋体" w:hAnsi="宋体" w:cs="宋体"/>
                <w:b/>
                <w:bCs/>
                <w:spacing w:val="-1"/>
                <w:sz w:val="24"/>
              </w:rPr>
              <w:t>备注</w:t>
            </w:r>
          </w:p>
        </w:tc>
      </w:tr>
      <w:tr w14:paraId="05BB62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387" w:type="pct"/>
            <w:vMerge w:val="continue"/>
            <w:tcBorders>
              <w:top w:val="nil"/>
              <w:left w:val="single" w:color="auto" w:sz="4" w:space="0"/>
              <w:bottom w:val="nil"/>
            </w:tcBorders>
            <w:shd w:val="clear" w:color="auto" w:fill="auto"/>
            <w:vAlign w:val="center"/>
          </w:tcPr>
          <w:p w14:paraId="5CB8AF74">
            <w:pPr>
              <w:jc w:val="center"/>
              <w:rPr>
                <w:rFonts w:ascii="宋体" w:hAnsi="宋体" w:cs="宋体"/>
                <w:sz w:val="22"/>
                <w:szCs w:val="22"/>
              </w:rPr>
            </w:pPr>
          </w:p>
        </w:tc>
        <w:tc>
          <w:tcPr>
            <w:tcW w:w="975" w:type="pct"/>
            <w:shd w:val="clear" w:color="auto" w:fill="auto"/>
            <w:vAlign w:val="center"/>
          </w:tcPr>
          <w:p w14:paraId="73ACCADF">
            <w:pPr>
              <w:jc w:val="center"/>
              <w:rPr>
                <w:rFonts w:ascii="宋体" w:hAnsi="宋体" w:cs="宋体"/>
                <w:sz w:val="22"/>
                <w:szCs w:val="22"/>
              </w:rPr>
            </w:pPr>
            <w:r>
              <w:rPr>
                <w:rFonts w:hint="eastAsia" w:ascii="宋体" w:hAnsi="宋体" w:cs="宋体"/>
                <w:sz w:val="22"/>
                <w:szCs w:val="22"/>
              </w:rPr>
              <w:t>总量规划数</w:t>
            </w:r>
          </w:p>
          <w:p w14:paraId="7E0A8F79">
            <w:pPr>
              <w:jc w:val="center"/>
              <w:rPr>
                <w:rFonts w:ascii="宋体" w:hAnsi="宋体" w:cs="宋体"/>
                <w:sz w:val="22"/>
                <w:szCs w:val="22"/>
              </w:rPr>
            </w:pPr>
            <w:r>
              <w:rPr>
                <w:rFonts w:hint="eastAsia" w:ascii="宋体" w:hAnsi="宋体" w:cs="宋体"/>
                <w:spacing w:val="-1"/>
                <w:sz w:val="22"/>
                <w:szCs w:val="22"/>
              </w:rPr>
              <w:t>（个）</w:t>
            </w:r>
          </w:p>
        </w:tc>
        <w:tc>
          <w:tcPr>
            <w:tcW w:w="669" w:type="pct"/>
            <w:shd w:val="clear" w:color="auto" w:fill="auto"/>
            <w:vAlign w:val="center"/>
          </w:tcPr>
          <w:p w14:paraId="47A7D7C7">
            <w:pPr>
              <w:jc w:val="center"/>
              <w:rPr>
                <w:rFonts w:ascii="宋体" w:hAnsi="宋体" w:cs="宋体"/>
                <w:sz w:val="22"/>
                <w:szCs w:val="22"/>
              </w:rPr>
            </w:pPr>
            <w:r>
              <w:rPr>
                <w:rFonts w:hint="eastAsia" w:ascii="宋体" w:hAnsi="宋体" w:cs="宋体"/>
                <w:sz w:val="22"/>
                <w:szCs w:val="22"/>
              </w:rPr>
              <w:t>当前实际数</w:t>
            </w:r>
          </w:p>
          <w:p w14:paraId="25B92185">
            <w:pPr>
              <w:jc w:val="center"/>
              <w:rPr>
                <w:rFonts w:ascii="宋体" w:hAnsi="宋体" w:cs="宋体"/>
                <w:sz w:val="22"/>
                <w:szCs w:val="22"/>
              </w:rPr>
            </w:pPr>
            <w:r>
              <w:rPr>
                <w:rFonts w:hint="eastAsia" w:ascii="宋体" w:hAnsi="宋体" w:cs="宋体"/>
                <w:sz w:val="22"/>
                <w:szCs w:val="22"/>
              </w:rPr>
              <w:t>（个）</w:t>
            </w:r>
          </w:p>
        </w:tc>
        <w:tc>
          <w:tcPr>
            <w:tcW w:w="496" w:type="pct"/>
            <w:shd w:val="clear" w:color="auto" w:fill="auto"/>
            <w:vAlign w:val="center"/>
          </w:tcPr>
          <w:p w14:paraId="459FB615">
            <w:pPr>
              <w:jc w:val="center"/>
              <w:rPr>
                <w:rFonts w:ascii="宋体" w:hAnsi="宋体" w:cs="宋体"/>
                <w:sz w:val="22"/>
                <w:szCs w:val="22"/>
              </w:rPr>
            </w:pPr>
            <w:r>
              <w:rPr>
                <w:rFonts w:hint="eastAsia" w:ascii="宋体" w:hAnsi="宋体" w:cs="宋体"/>
                <w:sz w:val="22"/>
                <w:szCs w:val="22"/>
              </w:rPr>
              <w:t>当前余量</w:t>
            </w:r>
          </w:p>
          <w:p w14:paraId="6C1C5388">
            <w:pPr>
              <w:jc w:val="center"/>
              <w:rPr>
                <w:rFonts w:ascii="宋体" w:hAnsi="宋体" w:cs="宋体"/>
                <w:sz w:val="22"/>
                <w:szCs w:val="22"/>
              </w:rPr>
            </w:pPr>
            <w:r>
              <w:rPr>
                <w:rFonts w:hint="eastAsia" w:ascii="宋体" w:hAnsi="宋体" w:cs="宋体"/>
                <w:sz w:val="22"/>
                <w:szCs w:val="22"/>
              </w:rPr>
              <w:t>（个）</w:t>
            </w:r>
          </w:p>
        </w:tc>
        <w:tc>
          <w:tcPr>
            <w:tcW w:w="868" w:type="pct"/>
            <w:shd w:val="clear" w:color="auto" w:fill="auto"/>
            <w:vAlign w:val="center"/>
          </w:tcPr>
          <w:p w14:paraId="7DA73C63">
            <w:pPr>
              <w:jc w:val="center"/>
              <w:rPr>
                <w:rFonts w:ascii="宋体" w:hAnsi="宋体" w:cs="宋体"/>
                <w:sz w:val="22"/>
                <w:szCs w:val="22"/>
              </w:rPr>
            </w:pPr>
            <w:r>
              <w:rPr>
                <w:rFonts w:hint="eastAsia" w:ascii="宋体" w:hAnsi="宋体" w:cs="宋体"/>
                <w:sz w:val="22"/>
                <w:szCs w:val="22"/>
              </w:rPr>
              <w:t>零售点间距（米）</w:t>
            </w:r>
          </w:p>
        </w:tc>
        <w:tc>
          <w:tcPr>
            <w:tcW w:w="590" w:type="pct"/>
            <w:shd w:val="clear" w:color="auto" w:fill="auto"/>
            <w:vAlign w:val="center"/>
          </w:tcPr>
          <w:p w14:paraId="0FC6C1A2">
            <w:pPr>
              <w:jc w:val="center"/>
              <w:rPr>
                <w:rFonts w:ascii="宋体" w:hAnsi="宋体" w:cs="宋体"/>
                <w:sz w:val="22"/>
                <w:szCs w:val="22"/>
              </w:rPr>
            </w:pPr>
            <w:r>
              <w:rPr>
                <w:rFonts w:hint="eastAsia" w:ascii="宋体" w:hAnsi="宋体" w:cs="宋体"/>
                <w:sz w:val="22"/>
                <w:szCs w:val="22"/>
              </w:rPr>
              <w:t>其他条件描述</w:t>
            </w:r>
          </w:p>
        </w:tc>
        <w:tc>
          <w:tcPr>
            <w:tcW w:w="1010" w:type="pct"/>
            <w:vMerge w:val="continue"/>
            <w:tcBorders>
              <w:right w:val="single" w:color="auto" w:sz="4" w:space="0"/>
            </w:tcBorders>
            <w:shd w:val="clear" w:color="auto" w:fill="auto"/>
            <w:vAlign w:val="center"/>
          </w:tcPr>
          <w:p w14:paraId="44FA96E8">
            <w:pPr>
              <w:rPr>
                <w:rFonts w:ascii="宋体" w:hAnsi="宋体" w:cs="宋体"/>
                <w:sz w:val="22"/>
                <w:szCs w:val="22"/>
              </w:rPr>
            </w:pPr>
          </w:p>
        </w:tc>
      </w:tr>
      <w:tr w14:paraId="05D6E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387" w:type="pct"/>
            <w:vMerge w:val="continue"/>
            <w:tcBorders>
              <w:top w:val="nil"/>
              <w:left w:val="single" w:color="auto" w:sz="4" w:space="0"/>
              <w:bottom w:val="single" w:color="auto" w:sz="4" w:space="0"/>
            </w:tcBorders>
            <w:shd w:val="clear" w:color="auto" w:fill="auto"/>
            <w:vAlign w:val="center"/>
          </w:tcPr>
          <w:p w14:paraId="73AB0A2C">
            <w:pPr>
              <w:jc w:val="center"/>
              <w:rPr>
                <w:rFonts w:ascii="宋体" w:hAnsi="宋体" w:cs="宋体"/>
                <w:sz w:val="22"/>
                <w:szCs w:val="22"/>
              </w:rPr>
            </w:pPr>
          </w:p>
        </w:tc>
        <w:tc>
          <w:tcPr>
            <w:tcW w:w="975" w:type="pct"/>
            <w:tcBorders>
              <w:bottom w:val="single" w:color="auto" w:sz="4" w:space="0"/>
            </w:tcBorders>
            <w:shd w:val="clear" w:color="auto" w:fill="auto"/>
            <w:vAlign w:val="center"/>
          </w:tcPr>
          <w:p w14:paraId="260E7E67">
            <w:pPr>
              <w:jc w:val="center"/>
              <w:rPr>
                <w:rFonts w:ascii="宋体" w:hAnsi="宋体" w:cs="宋体"/>
                <w:sz w:val="22"/>
                <w:szCs w:val="22"/>
              </w:rPr>
            </w:pPr>
          </w:p>
        </w:tc>
        <w:tc>
          <w:tcPr>
            <w:tcW w:w="669" w:type="pct"/>
            <w:tcBorders>
              <w:bottom w:val="single" w:color="auto" w:sz="4" w:space="0"/>
            </w:tcBorders>
            <w:shd w:val="clear" w:color="auto" w:fill="auto"/>
            <w:vAlign w:val="center"/>
          </w:tcPr>
          <w:p w14:paraId="4CF767DB">
            <w:pPr>
              <w:jc w:val="center"/>
              <w:rPr>
                <w:rFonts w:ascii="宋体" w:hAnsi="宋体" w:cs="宋体"/>
                <w:sz w:val="22"/>
                <w:szCs w:val="22"/>
              </w:rPr>
            </w:pPr>
          </w:p>
        </w:tc>
        <w:tc>
          <w:tcPr>
            <w:tcW w:w="496" w:type="pct"/>
            <w:tcBorders>
              <w:bottom w:val="single" w:color="auto" w:sz="4" w:space="0"/>
            </w:tcBorders>
            <w:shd w:val="clear" w:color="auto" w:fill="auto"/>
            <w:vAlign w:val="center"/>
          </w:tcPr>
          <w:p w14:paraId="2351F637">
            <w:pPr>
              <w:jc w:val="center"/>
              <w:rPr>
                <w:rFonts w:ascii="宋体" w:hAnsi="宋体" w:cs="宋体"/>
                <w:sz w:val="22"/>
                <w:szCs w:val="22"/>
              </w:rPr>
            </w:pPr>
          </w:p>
        </w:tc>
        <w:tc>
          <w:tcPr>
            <w:tcW w:w="868" w:type="pct"/>
            <w:tcBorders>
              <w:bottom w:val="single" w:color="auto" w:sz="4" w:space="0"/>
            </w:tcBorders>
            <w:shd w:val="clear" w:color="auto" w:fill="auto"/>
            <w:vAlign w:val="center"/>
          </w:tcPr>
          <w:p w14:paraId="4F5E875E">
            <w:pPr>
              <w:jc w:val="center"/>
              <w:rPr>
                <w:rFonts w:ascii="宋体" w:hAnsi="宋体" w:cs="宋体"/>
                <w:sz w:val="22"/>
                <w:szCs w:val="22"/>
              </w:rPr>
            </w:pPr>
            <w:r>
              <w:rPr>
                <w:rFonts w:hint="eastAsia" w:ascii="宋体" w:hAnsi="宋体" w:cs="宋体"/>
                <w:sz w:val="22"/>
                <w:szCs w:val="22"/>
              </w:rPr>
              <w:t>雪茄烟专营零售点设置不做店间距离限制，也不作为其它烟草制品零售点、电子烟零售点设置过程中店间距离测量的参照基准。</w:t>
            </w:r>
          </w:p>
        </w:tc>
        <w:tc>
          <w:tcPr>
            <w:tcW w:w="590" w:type="pct"/>
            <w:tcBorders>
              <w:bottom w:val="single" w:color="auto" w:sz="4" w:space="0"/>
            </w:tcBorders>
            <w:shd w:val="clear" w:color="auto" w:fill="auto"/>
            <w:vAlign w:val="center"/>
          </w:tcPr>
          <w:p w14:paraId="6705CD48">
            <w:pPr>
              <w:jc w:val="center"/>
              <w:rPr>
                <w:rFonts w:ascii="宋体" w:hAnsi="宋体" w:cs="宋体"/>
                <w:sz w:val="22"/>
                <w:szCs w:val="22"/>
              </w:rPr>
            </w:pPr>
          </w:p>
        </w:tc>
        <w:tc>
          <w:tcPr>
            <w:tcW w:w="1010" w:type="pct"/>
            <w:tcBorders>
              <w:bottom w:val="single" w:color="auto" w:sz="4" w:space="0"/>
              <w:right w:val="single" w:color="auto" w:sz="4" w:space="0"/>
            </w:tcBorders>
            <w:shd w:val="clear" w:color="auto" w:fill="auto"/>
            <w:vAlign w:val="center"/>
          </w:tcPr>
          <w:p w14:paraId="2ED5F412">
            <w:pPr>
              <w:jc w:val="center"/>
              <w:rPr>
                <w:rFonts w:ascii="宋体" w:hAnsi="宋体" w:cs="宋体"/>
                <w:sz w:val="22"/>
                <w:szCs w:val="22"/>
              </w:rPr>
            </w:pPr>
          </w:p>
        </w:tc>
      </w:tr>
    </w:tbl>
    <w:p w14:paraId="355704B8">
      <w:pPr>
        <w:spacing w:before="42" w:line="219" w:lineRule="auto"/>
        <w:ind w:firstLine="416" w:firstLineChars="200"/>
        <w:rPr>
          <w:rFonts w:ascii="宋体" w:hAnsi="宋体" w:cs="宋体"/>
          <w:spacing w:val="-1"/>
        </w:rPr>
      </w:pPr>
      <w:r>
        <w:rPr>
          <w:rFonts w:ascii="宋体" w:hAnsi="宋体" w:cs="宋体"/>
          <w:spacing w:val="-1"/>
        </w:rPr>
        <w:t>备注：</w:t>
      </w:r>
      <w:r>
        <w:rPr>
          <w:rFonts w:hint="eastAsia" w:ascii="宋体" w:hAnsi="宋体" w:cs="宋体"/>
          <w:spacing w:val="-1"/>
        </w:rPr>
        <w:t>1.本公示表的数据根据本区零售点布局规划实行定期评价、动态管理。</w:t>
      </w:r>
    </w:p>
    <w:p w14:paraId="561FF3CF">
      <w:pPr>
        <w:spacing w:before="42" w:line="219" w:lineRule="auto"/>
        <w:ind w:left="420" w:leftChars="200" w:firstLine="624" w:firstLineChars="300"/>
        <w:jc w:val="left"/>
        <w:rPr>
          <w:rFonts w:ascii="宋体" w:hAnsi="宋体" w:cs="宋体"/>
          <w:spacing w:val="-1"/>
        </w:rPr>
      </w:pPr>
      <w:r>
        <w:rPr>
          <w:rFonts w:hint="eastAsia" w:ascii="宋体" w:hAnsi="宋体" w:cs="宋体"/>
          <w:spacing w:val="-1"/>
        </w:rPr>
        <w:t>2.每半年根据经济发展、城市和乡村建设、市场形势等变化情况对本表中的数据进行动态调整，规划数相应进行动态更新，以每半年最后一次公示的数据为准。</w:t>
      </w:r>
    </w:p>
    <w:p w14:paraId="715BBE20">
      <w:pPr>
        <w:spacing w:before="42" w:line="219" w:lineRule="auto"/>
        <w:ind w:firstLine="1040" w:firstLineChars="500"/>
        <w:rPr>
          <w:rFonts w:ascii="仿宋_GB2312" w:hAnsi="仿宋_GB2312" w:eastAsia="仿宋_GB2312" w:cs="仿宋_GB2312"/>
          <w:spacing w:val="10"/>
          <w:sz w:val="32"/>
          <w:szCs w:val="32"/>
        </w:rPr>
        <w:sectPr>
          <w:footerReference r:id="rId6" w:type="default"/>
          <w:pgSz w:w="16838" w:h="11906" w:orient="landscape"/>
          <w:pgMar w:top="1463" w:right="1440" w:bottom="1800" w:left="1440" w:header="851" w:footer="992" w:gutter="0"/>
          <w:pgNumType w:fmt="numberInDash"/>
          <w:cols w:space="720" w:num="1"/>
          <w:docGrid w:type="lines" w:linePitch="312" w:charSpace="0"/>
        </w:sectPr>
      </w:pPr>
      <w:r>
        <w:rPr>
          <w:rFonts w:hint="eastAsia" w:ascii="宋体" w:hAnsi="宋体" w:cs="宋体"/>
          <w:spacing w:val="-1"/>
        </w:rPr>
        <w:t>3.本数据由东川区烟草专卖局负责解释，咨询电话：62123035。</w:t>
      </w:r>
    </w:p>
    <w:p w14:paraId="0E23FC5F">
      <w:pPr>
        <w:spacing w:before="104" w:line="224" w:lineRule="auto"/>
        <w:outlineLvl w:val="0"/>
        <w:rPr>
          <w:rFonts w:ascii="黑体" w:hAnsi="黑体" w:eastAsia="黑体" w:cs="黑体"/>
          <w:spacing w:val="8"/>
          <w:sz w:val="32"/>
          <w:szCs w:val="32"/>
        </w:rPr>
      </w:pPr>
      <w:r>
        <w:rPr>
          <w:rFonts w:hint="eastAsia" w:ascii="黑体" w:hAnsi="黑体" w:eastAsia="黑体" w:cs="黑体"/>
          <w:spacing w:val="8"/>
          <w:sz w:val="32"/>
          <w:szCs w:val="32"/>
        </w:rPr>
        <w:t>附件4</w:t>
      </w:r>
    </w:p>
    <w:p w14:paraId="59D20A4B">
      <w:pPr>
        <w:snapToGrid w:val="0"/>
        <w:spacing w:line="317" w:lineRule="auto"/>
        <w:jc w:val="center"/>
        <w:rPr>
          <w:rFonts w:ascii="方正小标宋简体" w:eastAsia="方正小标宋简体"/>
          <w:color w:val="000000"/>
          <w:sz w:val="44"/>
          <w:szCs w:val="44"/>
        </w:rPr>
      </w:pPr>
      <w:r>
        <w:rPr>
          <w:rFonts w:hint="eastAsia" w:ascii="方正小标宋简体" w:eastAsia="方正小标宋简体"/>
          <w:color w:val="000000"/>
          <w:sz w:val="44"/>
          <w:szCs w:val="44"/>
        </w:rPr>
        <w:t>云南省昆明市东川区烟草制品零售点</w:t>
      </w:r>
    </w:p>
    <w:p w14:paraId="23E3998C">
      <w:pPr>
        <w:snapToGrid w:val="0"/>
        <w:spacing w:line="317" w:lineRule="auto"/>
        <w:jc w:val="center"/>
        <w:rPr>
          <w:rFonts w:ascii="方正小标宋简体" w:eastAsia="方正小标宋简体"/>
          <w:color w:val="FF0000"/>
          <w:sz w:val="44"/>
          <w:szCs w:val="44"/>
        </w:rPr>
      </w:pPr>
      <w:r>
        <w:rPr>
          <w:rFonts w:hint="eastAsia" w:ascii="方正小标宋简体" w:eastAsia="方正小标宋简体"/>
          <w:color w:val="000000"/>
          <w:sz w:val="44"/>
          <w:szCs w:val="44"/>
        </w:rPr>
        <w:t>不予发放烟草专卖零售许可证的情形</w:t>
      </w:r>
    </w:p>
    <w:p w14:paraId="4B166464">
      <w:pPr>
        <w:pStyle w:val="16"/>
        <w:widowControl/>
        <w:numPr>
          <w:ilvl w:val="0"/>
          <w:numId w:val="4"/>
        </w:numPr>
        <w:spacing w:before="86" w:line="360" w:lineRule="auto"/>
        <w:ind w:firstLine="624" w:firstLineChars="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申请人为无民事行为能力人或者限制行为能力人的；</w:t>
      </w:r>
    </w:p>
    <w:p w14:paraId="0584D23C">
      <w:pPr>
        <w:widowControl/>
        <w:numPr>
          <w:ilvl w:val="0"/>
          <w:numId w:val="4"/>
        </w:numPr>
        <w:spacing w:before="86" w:line="360" w:lineRule="auto"/>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取消从事烟草专卖业务资格不满三年的</w:t>
      </w:r>
      <w:r>
        <w:rPr>
          <w:rFonts w:hint="eastAsia" w:ascii="仿宋_GB2312" w:hAnsi="仿宋_GB2312" w:eastAsia="仿宋_GB2312" w:cs="仿宋_GB2312"/>
          <w:sz w:val="32"/>
          <w:szCs w:val="32"/>
        </w:rPr>
        <w:t>；</w:t>
      </w:r>
    </w:p>
    <w:p w14:paraId="14F3A76D">
      <w:pPr>
        <w:widowControl/>
        <w:numPr>
          <w:ilvl w:val="0"/>
          <w:numId w:val="4"/>
        </w:numPr>
        <w:spacing w:before="86" w:line="360" w:lineRule="auto"/>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因申请人隐瞒有关情况或者提供虚假材料，烟草专卖局作出不予受理或者不予发证决定后，申请人一年内再次提出申请的</w:t>
      </w:r>
      <w:r>
        <w:rPr>
          <w:rFonts w:hint="eastAsia" w:ascii="仿宋_GB2312" w:hAnsi="仿宋_GB2312" w:eastAsia="仿宋_GB2312" w:cs="仿宋_GB2312"/>
          <w:sz w:val="32"/>
          <w:szCs w:val="32"/>
        </w:rPr>
        <w:t>；</w:t>
      </w:r>
    </w:p>
    <w:p w14:paraId="683E981F">
      <w:pPr>
        <w:widowControl/>
        <w:numPr>
          <w:ilvl w:val="0"/>
          <w:numId w:val="4"/>
        </w:numPr>
        <w:spacing w:before="86" w:line="360" w:lineRule="auto"/>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申请人以欺骗、贿赂等不正当手段取得的烟草专卖许可证被撤销后，申请人三年内再次提出申请的</w:t>
      </w:r>
      <w:r>
        <w:rPr>
          <w:rFonts w:hint="eastAsia" w:ascii="仿宋_GB2312" w:hAnsi="仿宋_GB2312" w:eastAsia="仿宋_GB2312" w:cs="仿宋_GB2312"/>
          <w:sz w:val="32"/>
          <w:szCs w:val="32"/>
        </w:rPr>
        <w:t>；</w:t>
      </w:r>
    </w:p>
    <w:p w14:paraId="2EFFFE4B">
      <w:pPr>
        <w:widowControl/>
        <w:numPr>
          <w:ilvl w:val="0"/>
          <w:numId w:val="4"/>
        </w:numPr>
        <w:spacing w:before="86" w:line="360" w:lineRule="auto"/>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未领取烟草专卖零售许可证经营烟草专卖品业务，并且一年内被执法机关处罚两次以上，在三年内申请领取烟草专卖零售许可证的</w:t>
      </w:r>
      <w:r>
        <w:rPr>
          <w:rFonts w:hint="eastAsia" w:ascii="仿宋_GB2312" w:hAnsi="仿宋_GB2312" w:eastAsia="仿宋_GB2312" w:cs="仿宋_GB2312"/>
          <w:sz w:val="32"/>
          <w:szCs w:val="32"/>
        </w:rPr>
        <w:t>；</w:t>
      </w:r>
    </w:p>
    <w:p w14:paraId="095E0723">
      <w:pPr>
        <w:widowControl/>
        <w:numPr>
          <w:ilvl w:val="0"/>
          <w:numId w:val="4"/>
        </w:numPr>
        <w:spacing w:before="86" w:line="360" w:lineRule="auto"/>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外商投资的商业企业或者个体工商户，或者外商投资的商业企业或者个体工商户以特许、吸纳加盟店及其他再投资等形式变相从事烟草专卖品经营业务的</w:t>
      </w:r>
      <w:r>
        <w:rPr>
          <w:rFonts w:hint="eastAsia" w:ascii="仿宋_GB2312" w:hAnsi="仿宋_GB2312" w:eastAsia="仿宋_GB2312" w:cs="仿宋_GB2312"/>
          <w:sz w:val="32"/>
          <w:szCs w:val="32"/>
        </w:rPr>
        <w:t>；</w:t>
      </w:r>
    </w:p>
    <w:p w14:paraId="00E04590">
      <w:pPr>
        <w:widowControl/>
        <w:numPr>
          <w:ilvl w:val="0"/>
          <w:numId w:val="4"/>
        </w:numPr>
        <w:spacing w:before="86" w:line="360" w:lineRule="auto"/>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未领取烟草专卖零售许可证经营烟草专卖品业务被追究刑事责任，在三年内申请领取烟草专卖零售许可证的</w:t>
      </w:r>
      <w:r>
        <w:rPr>
          <w:rFonts w:hint="eastAsia" w:ascii="仿宋_GB2312" w:hAnsi="仿宋_GB2312" w:eastAsia="仿宋_GB2312" w:cs="仿宋_GB2312"/>
          <w:sz w:val="32"/>
          <w:szCs w:val="32"/>
        </w:rPr>
        <w:t>；</w:t>
      </w:r>
    </w:p>
    <w:p w14:paraId="1DA966D8">
      <w:pPr>
        <w:widowControl/>
        <w:numPr>
          <w:ilvl w:val="0"/>
          <w:numId w:val="4"/>
        </w:numPr>
        <w:spacing w:before="86"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w:t>
      </w:r>
      <w:r>
        <w:rPr>
          <w:rFonts w:ascii="仿宋_GB2312" w:hAnsi="仿宋_GB2312" w:eastAsia="仿宋_GB2312" w:cs="仿宋_GB2312"/>
          <w:sz w:val="32"/>
          <w:szCs w:val="32"/>
        </w:rPr>
        <w:t>隐瞒有关情况或提供虚假材料的</w:t>
      </w:r>
      <w:r>
        <w:rPr>
          <w:rFonts w:hint="eastAsia" w:ascii="仿宋_GB2312" w:hAnsi="仿宋_GB2312" w:eastAsia="仿宋_GB2312" w:cs="仿宋_GB2312"/>
          <w:sz w:val="32"/>
          <w:szCs w:val="32"/>
        </w:rPr>
        <w:t>；</w:t>
      </w:r>
    </w:p>
    <w:p w14:paraId="40C9D493">
      <w:pPr>
        <w:widowControl/>
        <w:numPr>
          <w:ilvl w:val="0"/>
          <w:numId w:val="4"/>
        </w:numPr>
        <w:spacing w:before="86" w:line="360" w:lineRule="auto"/>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经营场所基于安全因素不适宜经营卷烟的</w:t>
      </w:r>
      <w:r>
        <w:rPr>
          <w:rFonts w:hint="eastAsia" w:ascii="仿宋_GB2312" w:hAnsi="仿宋_GB2312" w:eastAsia="仿宋_GB2312" w:cs="仿宋_GB2312"/>
          <w:sz w:val="32"/>
          <w:szCs w:val="32"/>
        </w:rPr>
        <w:t>；</w:t>
      </w:r>
    </w:p>
    <w:p w14:paraId="4D31E347">
      <w:pPr>
        <w:widowControl/>
        <w:numPr>
          <w:ilvl w:val="0"/>
          <w:numId w:val="4"/>
        </w:numPr>
        <w:spacing w:before="86" w:line="360" w:lineRule="auto"/>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经营场所位于中小学校、幼儿园周围</w:t>
      </w:r>
      <w:r>
        <w:rPr>
          <w:rFonts w:hint="eastAsia" w:ascii="仿宋_GB2312" w:hAnsi="仿宋_GB2312" w:eastAsia="仿宋_GB2312" w:cs="仿宋_GB2312"/>
          <w:sz w:val="32"/>
          <w:szCs w:val="32"/>
        </w:rPr>
        <w:t>；</w:t>
      </w:r>
    </w:p>
    <w:p w14:paraId="1D5C59E8">
      <w:pPr>
        <w:widowControl/>
        <w:numPr>
          <w:ilvl w:val="0"/>
          <w:numId w:val="4"/>
        </w:numPr>
        <w:spacing w:before="86"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w:t>
      </w:r>
      <w:r>
        <w:rPr>
          <w:rFonts w:ascii="仿宋_GB2312" w:hAnsi="仿宋_GB2312" w:eastAsia="仿宋_GB2312" w:cs="仿宋_GB2312"/>
          <w:sz w:val="32"/>
          <w:szCs w:val="32"/>
        </w:rPr>
        <w:t>利用自动售货机或者其他自动售货形式，销售或者变相销售烟草制品的</w:t>
      </w:r>
      <w:r>
        <w:rPr>
          <w:rFonts w:hint="eastAsia" w:ascii="仿宋_GB2312" w:hAnsi="仿宋_GB2312" w:eastAsia="仿宋_GB2312" w:cs="仿宋_GB2312"/>
          <w:sz w:val="32"/>
          <w:szCs w:val="32"/>
        </w:rPr>
        <w:t>；</w:t>
      </w:r>
    </w:p>
    <w:p w14:paraId="558A6370">
      <w:pPr>
        <w:widowControl/>
        <w:numPr>
          <w:ilvl w:val="0"/>
          <w:numId w:val="4"/>
        </w:numPr>
        <w:spacing w:before="86"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w:t>
      </w:r>
      <w:r>
        <w:rPr>
          <w:rFonts w:ascii="仿宋_GB2312" w:hAnsi="仿宋_GB2312" w:eastAsia="仿宋_GB2312" w:cs="仿宋_GB2312"/>
          <w:sz w:val="32"/>
          <w:szCs w:val="32"/>
        </w:rPr>
        <w:t>通过信息网络销售烟草专卖品的</w:t>
      </w:r>
      <w:r>
        <w:rPr>
          <w:rFonts w:hint="eastAsia" w:ascii="仿宋_GB2312" w:hAnsi="仿宋_GB2312" w:eastAsia="仿宋_GB2312" w:cs="仿宋_GB2312"/>
          <w:sz w:val="32"/>
          <w:szCs w:val="32"/>
        </w:rPr>
        <w:t>；</w:t>
      </w:r>
    </w:p>
    <w:p w14:paraId="2F3DAE90">
      <w:pPr>
        <w:widowControl/>
        <w:numPr>
          <w:ilvl w:val="0"/>
          <w:numId w:val="4"/>
        </w:numPr>
        <w:spacing w:before="86" w:line="360" w:lineRule="auto"/>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经营场所位于党政机关内部的</w:t>
      </w:r>
      <w:r>
        <w:rPr>
          <w:rFonts w:hint="eastAsia" w:ascii="仿宋_GB2312" w:hAnsi="仿宋_GB2312" w:eastAsia="仿宋_GB2312" w:cs="仿宋_GB2312"/>
          <w:sz w:val="32"/>
          <w:szCs w:val="32"/>
        </w:rPr>
        <w:t>；</w:t>
      </w:r>
    </w:p>
    <w:p w14:paraId="3962156A">
      <w:pPr>
        <w:widowControl/>
        <w:numPr>
          <w:ilvl w:val="0"/>
          <w:numId w:val="4"/>
        </w:numPr>
        <w:spacing w:before="86" w:line="360" w:lineRule="auto"/>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经营场所已经办理了仍在有效期内的烟草专卖零售许可证的</w:t>
      </w:r>
      <w:r>
        <w:rPr>
          <w:rFonts w:hint="eastAsia" w:ascii="仿宋_GB2312" w:hAnsi="仿宋_GB2312" w:eastAsia="仿宋_GB2312" w:cs="仿宋_GB2312"/>
          <w:sz w:val="32"/>
          <w:szCs w:val="32"/>
        </w:rPr>
        <w:t>；</w:t>
      </w:r>
    </w:p>
    <w:p w14:paraId="6214D6E2">
      <w:pPr>
        <w:widowControl/>
        <w:numPr>
          <w:ilvl w:val="0"/>
          <w:numId w:val="4"/>
        </w:numPr>
        <w:spacing w:before="86"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国家烟草专卖局规定的其他不予发证的情形；</w:t>
      </w:r>
    </w:p>
    <w:p w14:paraId="6DFEC62D">
      <w:pPr>
        <w:widowControl/>
        <w:numPr>
          <w:ilvl w:val="0"/>
          <w:numId w:val="4"/>
        </w:numPr>
        <w:spacing w:before="86"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法律、法规、规章、规范性文件等规定的其他不予许可的情形。</w:t>
      </w:r>
    </w:p>
    <w:p w14:paraId="51169AC5">
      <w:pPr>
        <w:widowControl/>
        <w:spacing w:before="86" w:line="360" w:lineRule="auto"/>
        <w:ind w:left="640"/>
        <w:jc w:val="left"/>
        <w:rPr>
          <w:rFonts w:ascii="仿宋_GB2312" w:hAnsi="仿宋_GB2312" w:eastAsia="仿宋_GB2312" w:cs="仿宋_GB2312"/>
          <w:sz w:val="32"/>
          <w:szCs w:val="32"/>
        </w:rPr>
      </w:pPr>
    </w:p>
    <w:p w14:paraId="6EBE0812"/>
    <w:p w14:paraId="6344AF3E">
      <w:pPr>
        <w:pStyle w:val="2"/>
      </w:pPr>
    </w:p>
    <w:p w14:paraId="0B6459A6">
      <w:pPr>
        <w:pStyle w:val="2"/>
      </w:pPr>
    </w:p>
    <w:p w14:paraId="2951736A">
      <w:pPr>
        <w:pStyle w:val="2"/>
      </w:pPr>
    </w:p>
    <w:p w14:paraId="486220A8">
      <w:pPr>
        <w:pStyle w:val="2"/>
      </w:pPr>
    </w:p>
    <w:p w14:paraId="677B5AE5">
      <w:pPr>
        <w:pStyle w:val="2"/>
      </w:pPr>
    </w:p>
    <w:p w14:paraId="6ACE7546">
      <w:pPr>
        <w:pStyle w:val="2"/>
      </w:pPr>
    </w:p>
    <w:p w14:paraId="34D5187F">
      <w:pPr>
        <w:pStyle w:val="2"/>
      </w:pPr>
    </w:p>
    <w:p w14:paraId="13A7F43F">
      <w:pPr>
        <w:pStyle w:val="2"/>
      </w:pPr>
    </w:p>
    <w:p w14:paraId="0A4F639E">
      <w:pPr>
        <w:pStyle w:val="2"/>
      </w:pPr>
    </w:p>
    <w:p w14:paraId="6D8EA78E">
      <w:pPr>
        <w:pStyle w:val="2"/>
      </w:pPr>
    </w:p>
    <w:p w14:paraId="1B3771CD">
      <w:pPr>
        <w:pStyle w:val="2"/>
      </w:pPr>
    </w:p>
    <w:p w14:paraId="79733FE4">
      <w:pPr>
        <w:pStyle w:val="2"/>
      </w:pPr>
    </w:p>
    <w:p w14:paraId="0FF60596">
      <w:pPr>
        <w:pStyle w:val="2"/>
      </w:pPr>
    </w:p>
    <w:p w14:paraId="30322BF8">
      <w:pPr>
        <w:pStyle w:val="2"/>
      </w:pPr>
    </w:p>
    <w:p w14:paraId="33693B5A">
      <w:pPr>
        <w:pStyle w:val="2"/>
      </w:pPr>
    </w:p>
    <w:p w14:paraId="6AD1F0D2">
      <w:pPr>
        <w:spacing w:before="104" w:line="224" w:lineRule="auto"/>
        <w:outlineLvl w:val="0"/>
        <w:rPr>
          <w:rFonts w:ascii="黑体" w:hAnsi="黑体" w:eastAsia="黑体" w:cs="黑体"/>
          <w:spacing w:val="8"/>
          <w:sz w:val="32"/>
          <w:szCs w:val="32"/>
        </w:rPr>
      </w:pPr>
      <w:r>
        <w:rPr>
          <w:rFonts w:hint="eastAsia" w:ascii="黑体" w:hAnsi="黑体" w:eastAsia="黑体" w:cs="黑体"/>
          <w:spacing w:val="8"/>
          <w:sz w:val="32"/>
          <w:szCs w:val="32"/>
        </w:rPr>
        <w:t>附件5</w:t>
      </w:r>
    </w:p>
    <w:p w14:paraId="7055D90A">
      <w:pPr>
        <w:snapToGrid w:val="0"/>
        <w:spacing w:line="317" w:lineRule="auto"/>
        <w:jc w:val="center"/>
        <w:rPr>
          <w:rFonts w:ascii="仿宋_GB2312" w:hAnsi="仿宋_GB2312" w:eastAsia="仿宋_GB2312" w:cs="仿宋_GB2312"/>
          <w:sz w:val="32"/>
          <w:szCs w:val="32"/>
        </w:rPr>
      </w:pPr>
      <w:r>
        <w:rPr>
          <w:rFonts w:hint="eastAsia" w:ascii="方正小标宋简体" w:hAnsi="Calibri" w:eastAsia="方正小标宋简体"/>
          <w:sz w:val="44"/>
          <w:szCs w:val="44"/>
        </w:rPr>
        <w:t>云南省昆明市东川区烟草专卖局烟草制品零售点集中摇号制度</w:t>
      </w:r>
    </w:p>
    <w:p w14:paraId="22F8B9A7">
      <w:pPr>
        <w:numPr>
          <w:ilvl w:val="0"/>
          <w:numId w:val="5"/>
        </w:numPr>
        <w:spacing w:before="312" w:beforeLines="100" w:after="312" w:afterLines="100" w:line="360" w:lineRule="auto"/>
        <w:ind w:firstLine="403"/>
        <w:jc w:val="center"/>
        <w:rPr>
          <w:rFonts w:ascii="黑体" w:hAnsi="黑体" w:eastAsia="黑体" w:cs="黑体"/>
          <w:sz w:val="32"/>
          <w:szCs w:val="32"/>
        </w:rPr>
      </w:pPr>
      <w:r>
        <w:rPr>
          <w:rFonts w:hint="eastAsia" w:ascii="黑体" w:hAnsi="黑体" w:eastAsia="黑体" w:cs="黑体"/>
          <w:sz w:val="32"/>
          <w:szCs w:val="32"/>
        </w:rPr>
        <w:t>总则</w:t>
      </w:r>
    </w:p>
    <w:p w14:paraId="3C047224">
      <w:pPr>
        <w:numPr>
          <w:ilvl w:val="2"/>
          <w:numId w:val="6"/>
        </w:num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为坚持公平、公正、公开原则，规范实施《云南省昆明市东川区烟草制品零售点合理布局规划》，根据《中华人民共和国行政许可法》《烟草专卖许可证管理办法》《烟草专卖许可证管理办法实施细则》等法律法规和规章的规定，结合东川区实际，制定本制度。</w:t>
      </w:r>
    </w:p>
    <w:p w14:paraId="1C549C2B">
      <w:pPr>
        <w:numPr>
          <w:ilvl w:val="2"/>
          <w:numId w:val="6"/>
        </w:num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本制度适用于云南省昆明市东川区行政辖区烟草制品零售点新办申请事项的集中摇号管理。</w:t>
      </w:r>
    </w:p>
    <w:p w14:paraId="292192D4">
      <w:pPr>
        <w:numPr>
          <w:ilvl w:val="2"/>
          <w:numId w:val="6"/>
        </w:numPr>
        <w:spacing w:line="360" w:lineRule="auto"/>
        <w:rPr>
          <w:rFonts w:ascii="仿宋_GB2312" w:hAnsi="仿宋_GB2312" w:eastAsia="仿宋_GB2312" w:cs="仿宋_GB2312"/>
          <w:kern w:val="28"/>
          <w:sz w:val="32"/>
          <w:szCs w:val="32"/>
        </w:rPr>
      </w:pPr>
      <w:r>
        <w:rPr>
          <w:rFonts w:hint="eastAsia" w:ascii="仿宋_GB2312" w:hAnsi="仿宋_GB2312" w:eastAsia="仿宋_GB2312" w:cs="仿宋_GB2312"/>
          <w:kern w:val="28"/>
          <w:sz w:val="32"/>
          <w:szCs w:val="32"/>
        </w:rPr>
        <w:t>本区</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rPr>
        <w:t>最小单元网格内的零售点实际数量大于或等于合理容量时不再设新的零售点。行政辖区内的零售点实际数量小于合理容量时，新办申请人应按本制度首先提出集中摇号申请，再按照集中摇号的结果顺序通过预审核后，依次提交新办申请。</w:t>
      </w:r>
    </w:p>
    <w:p w14:paraId="1E66C9CA">
      <w:pPr>
        <w:numPr>
          <w:ilvl w:val="0"/>
          <w:numId w:val="5"/>
        </w:numPr>
        <w:spacing w:before="312" w:beforeLines="100" w:after="312" w:afterLines="100" w:line="360" w:lineRule="auto"/>
        <w:ind w:firstLine="403"/>
        <w:jc w:val="center"/>
        <w:rPr>
          <w:rFonts w:ascii="黑体" w:hAnsi="黑体" w:eastAsia="黑体" w:cs="黑体"/>
          <w:sz w:val="32"/>
          <w:szCs w:val="32"/>
        </w:rPr>
      </w:pPr>
      <w:r>
        <w:rPr>
          <w:rFonts w:hint="eastAsia" w:ascii="黑体" w:hAnsi="黑体" w:eastAsia="黑体" w:cs="黑体"/>
          <w:sz w:val="32"/>
          <w:szCs w:val="32"/>
        </w:rPr>
        <w:t>程序及要求</w:t>
      </w:r>
    </w:p>
    <w:p w14:paraId="36E8EE4E">
      <w:pPr>
        <w:numPr>
          <w:ilvl w:val="2"/>
          <w:numId w:val="6"/>
        </w:numPr>
        <w:spacing w:line="360" w:lineRule="auto"/>
        <w:rPr>
          <w:rFonts w:ascii="楷体" w:hAnsi="楷体" w:eastAsia="楷体" w:cs="楷体"/>
          <w:sz w:val="32"/>
          <w:szCs w:val="32"/>
        </w:rPr>
      </w:pPr>
      <w:r>
        <w:rPr>
          <w:rFonts w:hint="eastAsia" w:ascii="仿宋_GB2312" w:hAnsi="黑体" w:eastAsia="仿宋_GB2312"/>
          <w:sz w:val="32"/>
          <w:szCs w:val="32"/>
        </w:rPr>
        <w:t>本制度仅对当期可新增零售点的最小单元网格</w:t>
      </w:r>
      <w:r>
        <w:rPr>
          <w:rFonts w:hint="eastAsia" w:ascii="仿宋_GB2312" w:hAnsi="仿宋_GB2312" w:eastAsia="仿宋_GB2312" w:cs="仿宋_GB2312"/>
          <w:kern w:val="28"/>
          <w:sz w:val="32"/>
          <w:szCs w:val="32"/>
        </w:rPr>
        <w:t>开展集中摇号管理。</w:t>
      </w:r>
    </w:p>
    <w:p w14:paraId="58805322">
      <w:pPr>
        <w:numPr>
          <w:ilvl w:val="2"/>
          <w:numId w:val="6"/>
        </w:numPr>
        <w:spacing w:line="360" w:lineRule="auto"/>
        <w:rPr>
          <w:rFonts w:ascii="仿宋_GB2312" w:hAnsi="仿宋_GB2312" w:eastAsia="仿宋_GB2312" w:cs="仿宋_GB2312"/>
          <w:kern w:val="28"/>
          <w:sz w:val="32"/>
          <w:szCs w:val="32"/>
        </w:rPr>
      </w:pPr>
      <w:r>
        <w:rPr>
          <w:rFonts w:hint="eastAsia" w:ascii="仿宋_GB2312" w:hAnsi="仿宋_GB2312" w:eastAsia="仿宋_GB2312" w:cs="仿宋_GB2312"/>
          <w:kern w:val="28"/>
          <w:sz w:val="32"/>
          <w:szCs w:val="32"/>
        </w:rPr>
        <w:t>集中摇号按照“提前申请—集中公证摇号—公示摇号结果”的程序进行。集中摇号结束后，按照摇号顺序进行预审核，通过预审核的，按照顺序依次受理新办申请资料，发证机关安排实地核查，直至满足当期可新增零售点的最小单元网格合理容量。</w:t>
      </w:r>
    </w:p>
    <w:p w14:paraId="63EC428C">
      <w:pPr>
        <w:numPr>
          <w:ilvl w:val="2"/>
          <w:numId w:val="6"/>
        </w:numPr>
        <w:spacing w:line="360" w:lineRule="auto"/>
      </w:pPr>
      <w:r>
        <w:rPr>
          <w:rFonts w:hint="eastAsia" w:ascii="仿宋_GB2312" w:hAnsi="仿宋_GB2312" w:eastAsia="仿宋_GB2312" w:cs="仿宋_GB2312"/>
          <w:kern w:val="28"/>
          <w:sz w:val="32"/>
          <w:szCs w:val="32"/>
        </w:rPr>
        <w:t>申请人应当依据当期最小单元网格动态调整的公示情况，按发证机关对外发布的集中摇号的报名地点、时间，</w:t>
      </w:r>
      <w:r>
        <w:rPr>
          <w:rFonts w:hint="eastAsia" w:ascii="仿宋_GB2312" w:hAnsi="仿宋_GB2312" w:eastAsia="仿宋_GB2312" w:cs="仿宋_GB2312"/>
          <w:sz w:val="32"/>
          <w:szCs w:val="32"/>
        </w:rPr>
        <w:t>自愿填写并提交《云南省昆明市东川区烟草专卖局烟草制品零售点集中摇号申请表》（详见附表）。</w:t>
      </w:r>
    </w:p>
    <w:p w14:paraId="22D1F612">
      <w:pPr>
        <w:numPr>
          <w:ilvl w:val="2"/>
          <w:numId w:val="6"/>
        </w:numPr>
        <w:spacing w:line="360" w:lineRule="auto"/>
      </w:pPr>
      <w:r>
        <w:rPr>
          <w:rFonts w:hint="eastAsia" w:ascii="仿宋_GB2312" w:hAnsi="仿宋_GB2312" w:eastAsia="仿宋_GB2312" w:cs="仿宋_GB2312"/>
          <w:sz w:val="32"/>
          <w:szCs w:val="32"/>
        </w:rPr>
        <w:t>申请人提交的办证申请信息应与集中摇号填报信息一致。出现信息不一致、</w:t>
      </w:r>
      <w:r>
        <w:rPr>
          <w:rFonts w:hint="eastAsia" w:ascii="仿宋_GB2312" w:hAnsi="仿宋_GB2312" w:eastAsia="仿宋_GB2312" w:cs="仿宋_GB2312"/>
          <w:sz w:val="32"/>
          <w:szCs w:val="32"/>
          <w:lang w:val="zh-CN"/>
        </w:rPr>
        <w:t>隐瞒有关情况或者提供虚假材料的</w:t>
      </w:r>
      <w:r>
        <w:rPr>
          <w:rFonts w:hint="eastAsia" w:ascii="仿宋_GB2312" w:hAnsi="仿宋_GB2312" w:eastAsia="仿宋_GB2312" w:cs="仿宋_GB2312"/>
          <w:sz w:val="32"/>
          <w:szCs w:val="32"/>
        </w:rPr>
        <w:t>，申请人集中摇号结果作废。</w:t>
      </w:r>
    </w:p>
    <w:p w14:paraId="13D868C2">
      <w:pPr>
        <w:numPr>
          <w:ilvl w:val="2"/>
          <w:numId w:val="6"/>
        </w:numPr>
        <w:spacing w:line="360" w:lineRule="auto"/>
      </w:pPr>
      <w:r>
        <w:rPr>
          <w:rFonts w:hint="eastAsia" w:ascii="仿宋_GB2312" w:hAnsi="仿宋_GB2312" w:eastAsia="仿宋_GB2312" w:cs="仿宋_GB2312"/>
          <w:sz w:val="32"/>
          <w:szCs w:val="32"/>
        </w:rPr>
        <w:t>申请人依据当期最小单元网格动态调整的公示情况，未在当期对外发布的报名地点、时间内参与集中摇号的，按照提交新办申请资料的时间顺序依次排在当期参加集中摇号的顺序之后。</w:t>
      </w:r>
    </w:p>
    <w:p w14:paraId="77C248C4">
      <w:pPr>
        <w:numPr>
          <w:ilvl w:val="0"/>
          <w:numId w:val="5"/>
        </w:numPr>
        <w:spacing w:before="312" w:beforeLines="100" w:after="312" w:afterLines="100" w:line="360" w:lineRule="auto"/>
        <w:ind w:firstLine="403"/>
        <w:jc w:val="center"/>
        <w:rPr>
          <w:rFonts w:ascii="黑体" w:hAnsi="黑体" w:eastAsia="黑体" w:cs="黑体"/>
          <w:sz w:val="32"/>
          <w:szCs w:val="32"/>
        </w:rPr>
      </w:pPr>
      <w:r>
        <w:rPr>
          <w:rFonts w:hint="eastAsia" w:ascii="黑体" w:hAnsi="黑体" w:eastAsia="黑体" w:cs="黑体"/>
          <w:sz w:val="32"/>
          <w:szCs w:val="32"/>
        </w:rPr>
        <w:t>监督检查</w:t>
      </w:r>
    </w:p>
    <w:p w14:paraId="5913A534">
      <w:pPr>
        <w:numPr>
          <w:ilvl w:val="2"/>
          <w:numId w:val="6"/>
        </w:num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东川区烟草专卖局每年年底向上一级烟草专卖局报告本年度烟草制品零售点集中摇号管理工作情况。</w:t>
      </w:r>
    </w:p>
    <w:p w14:paraId="2FAD9EB9">
      <w:pPr>
        <w:numPr>
          <w:ilvl w:val="2"/>
          <w:numId w:val="6"/>
        </w:num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东川区烟草专卖局接受广大群众监督，防范违法违规行为的发生，监督电话：62123035。</w:t>
      </w:r>
    </w:p>
    <w:p w14:paraId="64F32B15">
      <w:pPr>
        <w:pStyle w:val="2"/>
      </w:pPr>
    </w:p>
    <w:p w14:paraId="277721DA">
      <w:pPr>
        <w:numPr>
          <w:ilvl w:val="2"/>
          <w:numId w:val="6"/>
        </w:numPr>
        <w:spacing w:line="360" w:lineRule="auto"/>
        <w:rPr>
          <w:rFonts w:ascii="黑体" w:hAnsi="黑体" w:eastAsia="黑体" w:cs="黑体"/>
          <w:sz w:val="32"/>
          <w:szCs w:val="32"/>
        </w:rPr>
      </w:pPr>
      <w:r>
        <w:rPr>
          <w:rFonts w:hint="eastAsia" w:ascii="仿宋_GB2312" w:hAnsi="仿宋_GB2312" w:eastAsia="仿宋_GB2312" w:cs="仿宋_GB2312"/>
          <w:sz w:val="32"/>
          <w:szCs w:val="32"/>
        </w:rPr>
        <w:t>发证机关接收和办理集中摇号业务，不得收取任何费用。</w:t>
      </w:r>
    </w:p>
    <w:p w14:paraId="28F63E16">
      <w:pPr>
        <w:numPr>
          <w:ilvl w:val="0"/>
          <w:numId w:val="5"/>
        </w:numPr>
        <w:spacing w:before="312" w:beforeLines="100" w:after="312" w:afterLines="100" w:line="360" w:lineRule="auto"/>
        <w:ind w:firstLine="403"/>
        <w:jc w:val="center"/>
        <w:rPr>
          <w:rFonts w:ascii="黑体" w:hAnsi="黑体" w:eastAsia="黑体" w:cs="黑体"/>
          <w:sz w:val="32"/>
          <w:szCs w:val="32"/>
        </w:rPr>
      </w:pPr>
      <w:r>
        <w:rPr>
          <w:rFonts w:hint="eastAsia" w:ascii="黑体" w:hAnsi="黑体" w:eastAsia="黑体" w:cs="黑体"/>
          <w:sz w:val="32"/>
          <w:szCs w:val="32"/>
        </w:rPr>
        <w:t>附则</w:t>
      </w:r>
    </w:p>
    <w:p w14:paraId="084F0FF6">
      <w:pPr>
        <w:numPr>
          <w:ilvl w:val="2"/>
          <w:numId w:val="6"/>
        </w:num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14:paraId="245D5EE1">
      <w:pPr>
        <w:numPr>
          <w:ilvl w:val="2"/>
          <w:numId w:val="6"/>
        </w:num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本制度由云南省昆明市东川区烟草专卖局负责解释。</w:t>
      </w:r>
    </w:p>
    <w:p w14:paraId="59EE216C">
      <w:pPr>
        <w:numPr>
          <w:ilvl w:val="2"/>
          <w:numId w:val="6"/>
        </w:numPr>
        <w:spacing w:line="360" w:lineRule="auto"/>
        <w:rPr>
          <w:rFonts w:ascii="楷体" w:hAnsi="楷体" w:eastAsia="楷体" w:cs="楷体"/>
          <w:sz w:val="32"/>
          <w:szCs w:val="32"/>
        </w:rPr>
      </w:pPr>
      <w:r>
        <w:rPr>
          <w:rFonts w:hint="eastAsia" w:ascii="仿宋_GB2312" w:hAnsi="仿宋_GB2312" w:eastAsia="仿宋_GB2312" w:cs="仿宋_GB2312"/>
          <w:sz w:val="32"/>
          <w:szCs w:val="32"/>
        </w:rPr>
        <w:t>本制度自《云南省昆明市东川区烟草制品零售点合理布局规划》实施之日起同时施行。</w:t>
      </w:r>
    </w:p>
    <w:p w14:paraId="4BDFA11A">
      <w:pPr>
        <w:spacing w:line="360" w:lineRule="auto"/>
        <w:ind w:left="402" w:firstLine="640" w:firstLineChars="200"/>
        <w:rPr>
          <w:rFonts w:ascii="仿宋_GB2312" w:hAnsi="仿宋_GB2312" w:eastAsia="仿宋_GB2312" w:cs="仿宋_GB2312"/>
          <w:sz w:val="32"/>
          <w:szCs w:val="32"/>
        </w:rPr>
      </w:pPr>
    </w:p>
    <w:p w14:paraId="438F2542">
      <w:pPr>
        <w:spacing w:line="360" w:lineRule="auto"/>
        <w:ind w:left="402"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附表：云南省昆明市东川区烟草专卖局烟草制品零售点集中摇号申请表</w:t>
      </w:r>
    </w:p>
    <w:p w14:paraId="576FFD03">
      <w:pPr>
        <w:widowControl/>
        <w:jc w:val="left"/>
        <w:rPr>
          <w:rFonts w:ascii="黑体" w:hAnsi="黑体" w:eastAsia="黑体" w:cs="黑体"/>
          <w:sz w:val="32"/>
          <w:szCs w:val="32"/>
        </w:rPr>
      </w:pPr>
    </w:p>
    <w:p w14:paraId="5A285AF5">
      <w:pPr>
        <w:spacing w:line="360" w:lineRule="auto"/>
        <w:rPr>
          <w:rFonts w:ascii="黑体" w:hAnsi="黑体" w:eastAsia="黑体" w:cs="黑体"/>
          <w:sz w:val="32"/>
          <w:szCs w:val="32"/>
        </w:rPr>
        <w:sectPr>
          <w:pgSz w:w="11906" w:h="16838"/>
          <w:pgMar w:top="1440" w:right="1800" w:bottom="1440" w:left="1800" w:header="851" w:footer="992" w:gutter="0"/>
          <w:cols w:space="720" w:num="1"/>
          <w:docGrid w:type="lines" w:linePitch="312" w:charSpace="0"/>
        </w:sectPr>
      </w:pPr>
    </w:p>
    <w:p w14:paraId="37005F67">
      <w:pPr>
        <w:spacing w:line="360" w:lineRule="auto"/>
        <w:rPr>
          <w:rFonts w:ascii="黑体" w:hAnsi="黑体" w:eastAsia="黑体" w:cs="黑体"/>
          <w:sz w:val="44"/>
          <w:szCs w:val="44"/>
        </w:rPr>
      </w:pPr>
      <w:r>
        <w:rPr>
          <w:rFonts w:hint="eastAsia" w:ascii="黑体" w:hAnsi="黑体" w:eastAsia="黑体" w:cs="黑体"/>
          <w:sz w:val="32"/>
          <w:szCs w:val="32"/>
        </w:rPr>
        <w:t>附表</w:t>
      </w:r>
    </w:p>
    <w:p w14:paraId="0D25E3C6">
      <w:pPr>
        <w:spacing w:line="360" w:lineRule="auto"/>
        <w:ind w:left="402"/>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云南省昆明市东川区烟草专卖局</w:t>
      </w:r>
    </w:p>
    <w:p w14:paraId="48454CB1">
      <w:pPr>
        <w:spacing w:line="360" w:lineRule="auto"/>
        <w:ind w:left="402"/>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烟草制品零售点集中摇号申请表</w:t>
      </w:r>
    </w:p>
    <w:tbl>
      <w:tblPr>
        <w:tblStyle w:val="10"/>
        <w:tblW w:w="0" w:type="auto"/>
        <w:tblInd w:w="96" w:type="dxa"/>
        <w:tblLayout w:type="fixed"/>
        <w:tblCellMar>
          <w:top w:w="0" w:type="dxa"/>
          <w:left w:w="108" w:type="dxa"/>
          <w:bottom w:w="0" w:type="dxa"/>
          <w:right w:w="108" w:type="dxa"/>
        </w:tblCellMar>
      </w:tblPr>
      <w:tblGrid>
        <w:gridCol w:w="2422"/>
        <w:gridCol w:w="2283"/>
        <w:gridCol w:w="1543"/>
        <w:gridCol w:w="2178"/>
      </w:tblGrid>
      <w:tr w14:paraId="76CB8526">
        <w:tblPrEx>
          <w:tblCellMar>
            <w:top w:w="0" w:type="dxa"/>
            <w:left w:w="108" w:type="dxa"/>
            <w:bottom w:w="0" w:type="dxa"/>
            <w:right w:w="108" w:type="dxa"/>
          </w:tblCellMar>
        </w:tblPrEx>
        <w:trPr>
          <w:trHeight w:val="420"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ABCD5C">
            <w:pPr>
              <w:widowControl/>
              <w:jc w:val="center"/>
              <w:textAlignment w:val="center"/>
              <w:rPr>
                <w:rFonts w:ascii="宋体" w:hAnsi="宋体" w:cs="宋体"/>
                <w:b/>
                <w:bCs/>
                <w:sz w:val="24"/>
                <w:szCs w:val="22"/>
              </w:rPr>
            </w:pPr>
            <w:r>
              <w:rPr>
                <w:rFonts w:hint="eastAsia" w:ascii="宋体" w:hAnsi="宋体" w:cs="宋体"/>
                <w:b/>
                <w:bCs/>
                <w:kern w:val="0"/>
                <w:sz w:val="24"/>
                <w:szCs w:val="22"/>
                <w:lang w:bidi="ar"/>
              </w:rPr>
              <w:t>申请人基本信息</w:t>
            </w:r>
          </w:p>
        </w:tc>
      </w:tr>
      <w:tr w14:paraId="1317F5E3">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169276">
            <w:pPr>
              <w:widowControl/>
              <w:jc w:val="center"/>
              <w:textAlignment w:val="center"/>
              <w:rPr>
                <w:rFonts w:ascii="宋体" w:hAnsi="宋体" w:cs="宋体"/>
                <w:sz w:val="24"/>
                <w:szCs w:val="22"/>
              </w:rPr>
            </w:pPr>
            <w:r>
              <w:rPr>
                <w:rFonts w:hint="eastAsia" w:ascii="宋体" w:hAnsi="宋体" w:cs="宋体"/>
                <w:kern w:val="0"/>
                <w:sz w:val="24"/>
                <w:szCs w:val="22"/>
                <w:lang w:bidi="ar"/>
              </w:rPr>
              <w:t>申请人姓名</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502D81">
            <w:pPr>
              <w:jc w:val="center"/>
              <w:rPr>
                <w:rFonts w:ascii="宋体" w:hAnsi="宋体" w:cs="宋体"/>
                <w:sz w:val="24"/>
                <w:szCs w:val="22"/>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DC8E30">
            <w:pPr>
              <w:widowControl/>
              <w:jc w:val="center"/>
              <w:textAlignment w:val="center"/>
              <w:rPr>
                <w:rFonts w:ascii="宋体" w:hAnsi="宋体" w:cs="宋体"/>
                <w:sz w:val="24"/>
                <w:szCs w:val="22"/>
              </w:rPr>
            </w:pPr>
            <w:r>
              <w:rPr>
                <w:rFonts w:hint="eastAsia" w:ascii="宋体" w:hAnsi="宋体" w:cs="宋体"/>
                <w:kern w:val="0"/>
                <w:sz w:val="24"/>
                <w:szCs w:val="22"/>
                <w:lang w:bidi="ar"/>
              </w:rPr>
              <w:t>申请日期</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10D1C5">
            <w:pPr>
              <w:jc w:val="center"/>
              <w:rPr>
                <w:rFonts w:ascii="宋体" w:hAnsi="宋体" w:cs="宋体"/>
                <w:sz w:val="24"/>
                <w:szCs w:val="22"/>
              </w:rPr>
            </w:pPr>
          </w:p>
        </w:tc>
      </w:tr>
      <w:tr w14:paraId="444B64B9">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DAD18B">
            <w:pPr>
              <w:widowControl/>
              <w:jc w:val="center"/>
              <w:textAlignment w:val="center"/>
              <w:rPr>
                <w:rFonts w:ascii="宋体" w:hAnsi="宋体" w:cs="宋体"/>
                <w:sz w:val="24"/>
                <w:szCs w:val="22"/>
              </w:rPr>
            </w:pPr>
            <w:r>
              <w:rPr>
                <w:rFonts w:hint="eastAsia" w:ascii="宋体" w:hAnsi="宋体" w:cs="宋体"/>
                <w:kern w:val="0"/>
                <w:sz w:val="24"/>
                <w:szCs w:val="22"/>
                <w:lang w:bidi="ar"/>
              </w:rPr>
              <w:t>身份证号码</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E92C4C">
            <w:pPr>
              <w:jc w:val="center"/>
              <w:rPr>
                <w:rFonts w:ascii="宋体" w:hAnsi="宋体" w:cs="宋体"/>
                <w:sz w:val="24"/>
                <w:szCs w:val="22"/>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D24756">
            <w:pPr>
              <w:widowControl/>
              <w:jc w:val="center"/>
              <w:textAlignment w:val="center"/>
              <w:rPr>
                <w:rFonts w:ascii="宋体" w:hAnsi="宋体" w:cs="宋体"/>
                <w:sz w:val="24"/>
                <w:szCs w:val="22"/>
              </w:rPr>
            </w:pPr>
            <w:r>
              <w:rPr>
                <w:rFonts w:hint="eastAsia" w:ascii="宋体" w:hAnsi="宋体" w:cs="宋体"/>
                <w:kern w:val="0"/>
                <w:sz w:val="24"/>
                <w:szCs w:val="22"/>
                <w:lang w:bidi="ar"/>
              </w:rPr>
              <w:t>联系电话</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4AB105">
            <w:pPr>
              <w:jc w:val="center"/>
              <w:rPr>
                <w:rFonts w:ascii="宋体" w:hAnsi="宋体" w:cs="宋体"/>
                <w:sz w:val="24"/>
                <w:szCs w:val="22"/>
              </w:rPr>
            </w:pPr>
          </w:p>
        </w:tc>
      </w:tr>
      <w:tr w14:paraId="3591A76D">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5DC97B">
            <w:pPr>
              <w:widowControl/>
              <w:jc w:val="center"/>
              <w:textAlignment w:val="center"/>
              <w:rPr>
                <w:rFonts w:ascii="宋体" w:hAnsi="宋体" w:cs="宋体"/>
                <w:sz w:val="24"/>
                <w:szCs w:val="22"/>
              </w:rPr>
            </w:pPr>
            <w:r>
              <w:rPr>
                <w:rFonts w:hint="eastAsia" w:ascii="宋体" w:hAnsi="宋体" w:cs="宋体"/>
                <w:kern w:val="0"/>
                <w:sz w:val="24"/>
                <w:szCs w:val="22"/>
                <w:lang w:bidi="ar"/>
              </w:rPr>
              <w:t>归属最小单元网格</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94ECE8">
            <w:pPr>
              <w:jc w:val="center"/>
              <w:rPr>
                <w:rFonts w:ascii="宋体" w:hAnsi="宋体" w:cs="宋体"/>
                <w:sz w:val="24"/>
                <w:szCs w:val="22"/>
              </w:rPr>
            </w:pPr>
          </w:p>
        </w:tc>
      </w:tr>
      <w:tr w14:paraId="611B6D16">
        <w:tblPrEx>
          <w:tblCellMar>
            <w:top w:w="0" w:type="dxa"/>
            <w:left w:w="108" w:type="dxa"/>
            <w:bottom w:w="0" w:type="dxa"/>
            <w:right w:w="108" w:type="dxa"/>
          </w:tblCellMar>
        </w:tblPrEx>
        <w:trPr>
          <w:trHeight w:val="495"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B876D7">
            <w:pPr>
              <w:widowControl/>
              <w:jc w:val="center"/>
              <w:textAlignment w:val="center"/>
              <w:rPr>
                <w:rFonts w:ascii="宋体" w:hAnsi="宋体" w:cs="宋体"/>
                <w:b/>
                <w:bCs/>
                <w:sz w:val="24"/>
                <w:szCs w:val="22"/>
              </w:rPr>
            </w:pPr>
            <w:r>
              <w:rPr>
                <w:rFonts w:hint="eastAsia" w:ascii="宋体" w:hAnsi="宋体" w:cs="宋体"/>
                <w:b/>
                <w:bCs/>
                <w:kern w:val="0"/>
                <w:sz w:val="24"/>
                <w:szCs w:val="22"/>
                <w:lang w:bidi="ar"/>
              </w:rPr>
              <w:t>营业执照基本信息</w:t>
            </w:r>
          </w:p>
        </w:tc>
      </w:tr>
      <w:tr w14:paraId="42F299B1">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38D7FE">
            <w:pPr>
              <w:widowControl/>
              <w:jc w:val="center"/>
              <w:textAlignment w:val="center"/>
              <w:rPr>
                <w:rFonts w:ascii="宋体" w:hAnsi="宋体" w:cs="宋体"/>
                <w:sz w:val="24"/>
                <w:szCs w:val="22"/>
              </w:rPr>
            </w:pPr>
            <w:r>
              <w:rPr>
                <w:rFonts w:hint="eastAsia" w:ascii="宋体" w:hAnsi="宋体" w:cs="宋体"/>
                <w:kern w:val="0"/>
                <w:sz w:val="24"/>
                <w:szCs w:val="22"/>
                <w:lang w:bidi="ar"/>
              </w:rPr>
              <w:t>统一社会信用代码</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BFA9A8">
            <w:pPr>
              <w:jc w:val="center"/>
              <w:rPr>
                <w:rFonts w:ascii="宋体" w:hAnsi="宋体" w:cs="宋体"/>
                <w:sz w:val="24"/>
                <w:szCs w:val="22"/>
              </w:rPr>
            </w:pPr>
          </w:p>
        </w:tc>
      </w:tr>
      <w:tr w14:paraId="46EA1CBD">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BC025A">
            <w:pPr>
              <w:widowControl/>
              <w:jc w:val="center"/>
              <w:textAlignment w:val="center"/>
              <w:rPr>
                <w:rFonts w:ascii="宋体" w:hAnsi="宋体" w:cs="宋体"/>
                <w:sz w:val="24"/>
                <w:szCs w:val="22"/>
              </w:rPr>
            </w:pPr>
            <w:r>
              <w:rPr>
                <w:rFonts w:hint="eastAsia" w:ascii="宋体" w:hAnsi="宋体" w:cs="宋体"/>
                <w:kern w:val="0"/>
                <w:sz w:val="24"/>
                <w:szCs w:val="22"/>
                <w:lang w:bidi="ar"/>
              </w:rPr>
              <w:t>企业名称</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8D2B34">
            <w:pPr>
              <w:jc w:val="center"/>
              <w:rPr>
                <w:rFonts w:ascii="宋体" w:hAnsi="宋体" w:cs="宋体"/>
                <w:sz w:val="24"/>
                <w:szCs w:val="22"/>
              </w:rPr>
            </w:pPr>
          </w:p>
        </w:tc>
      </w:tr>
      <w:tr w14:paraId="29356C86">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63494C">
            <w:pPr>
              <w:widowControl/>
              <w:jc w:val="center"/>
              <w:textAlignment w:val="center"/>
              <w:rPr>
                <w:rFonts w:ascii="宋体" w:hAnsi="宋体" w:cs="宋体"/>
                <w:sz w:val="24"/>
                <w:szCs w:val="22"/>
              </w:rPr>
            </w:pPr>
            <w:r>
              <w:rPr>
                <w:rFonts w:hint="eastAsia" w:ascii="宋体" w:hAnsi="宋体" w:cs="宋体"/>
                <w:kern w:val="0"/>
                <w:sz w:val="24"/>
                <w:szCs w:val="22"/>
                <w:lang w:bidi="ar"/>
              </w:rPr>
              <w:t>企业类型</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F2BE8B">
            <w:pPr>
              <w:jc w:val="center"/>
              <w:rPr>
                <w:rFonts w:ascii="宋体" w:hAnsi="宋体" w:cs="宋体"/>
                <w:sz w:val="24"/>
                <w:szCs w:val="22"/>
              </w:rPr>
            </w:pPr>
          </w:p>
        </w:tc>
      </w:tr>
      <w:tr w14:paraId="6DFACE75">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EB2C99">
            <w:pPr>
              <w:widowControl/>
              <w:jc w:val="center"/>
              <w:textAlignment w:val="center"/>
              <w:rPr>
                <w:rFonts w:ascii="宋体" w:hAnsi="宋体" w:cs="宋体"/>
                <w:sz w:val="24"/>
                <w:szCs w:val="22"/>
              </w:rPr>
            </w:pPr>
            <w:r>
              <w:rPr>
                <w:rFonts w:hint="eastAsia" w:ascii="宋体" w:hAnsi="宋体" w:cs="宋体"/>
                <w:kern w:val="0"/>
                <w:sz w:val="24"/>
                <w:szCs w:val="22"/>
                <w:lang w:bidi="ar"/>
              </w:rPr>
              <w:t>经营地址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2A6992">
            <w:pPr>
              <w:jc w:val="center"/>
              <w:rPr>
                <w:rFonts w:ascii="宋体" w:hAnsi="宋体" w:cs="宋体"/>
                <w:sz w:val="24"/>
                <w:szCs w:val="22"/>
              </w:rPr>
            </w:pPr>
          </w:p>
        </w:tc>
      </w:tr>
      <w:tr w14:paraId="330BF4F5">
        <w:tblPrEx>
          <w:tblCellMar>
            <w:top w:w="0" w:type="dxa"/>
            <w:left w:w="108" w:type="dxa"/>
            <w:bottom w:w="0" w:type="dxa"/>
            <w:right w:w="108" w:type="dxa"/>
          </w:tblCellMar>
        </w:tblPrEx>
        <w:trPr>
          <w:trHeight w:val="2400"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33F6788">
            <w:pPr>
              <w:widowControl/>
              <w:jc w:val="left"/>
              <w:textAlignment w:val="center"/>
              <w:rPr>
                <w:rFonts w:ascii="宋体" w:hAnsi="宋体" w:cs="宋体"/>
                <w:b/>
                <w:bCs/>
                <w:sz w:val="24"/>
                <w:lang w:bidi="ar"/>
              </w:rPr>
            </w:pPr>
            <w:r>
              <w:rPr>
                <w:rFonts w:ascii="宋体" w:hAnsi="宋体" w:cs="宋体"/>
                <w:b/>
                <w:bCs/>
                <w:sz w:val="24"/>
                <w:lang w:bidi="ar"/>
              </w:rPr>
              <w:t>申请人承诺：</w:t>
            </w:r>
          </w:p>
          <w:p w14:paraId="36C848B4">
            <w:pPr>
              <w:widowControl/>
              <w:ind w:firstLine="480" w:firstLineChars="200"/>
              <w:jc w:val="left"/>
              <w:textAlignment w:val="center"/>
              <w:rPr>
                <w:rFonts w:ascii="宋体" w:hAnsi="宋体" w:cs="宋体"/>
                <w:sz w:val="24"/>
                <w:lang w:bidi="ar"/>
              </w:rPr>
            </w:pPr>
            <w:r>
              <w:rPr>
                <w:rFonts w:ascii="宋体" w:hAnsi="宋体" w:cs="宋体"/>
                <w:sz w:val="24"/>
                <w:lang w:bidi="ar"/>
              </w:rPr>
              <w:t>1.以上信息经申请人核对，确认无误。申请人所提交的信息以及文件、证件、有关材料全部真实有效，复印件与原件一致。如申请人在申请过程中存在弄虚作假、欺骗等行为的，申请人愿意承担由此引起的一切法律责任；</w:t>
            </w:r>
          </w:p>
          <w:p w14:paraId="0E24A998">
            <w:pPr>
              <w:widowControl/>
              <w:ind w:firstLine="480" w:firstLineChars="200"/>
              <w:jc w:val="left"/>
              <w:textAlignment w:val="center"/>
              <w:rPr>
                <w:rFonts w:ascii="宋体" w:hAnsi="宋体" w:cs="宋体"/>
                <w:sz w:val="24"/>
                <w:lang w:bidi="ar"/>
              </w:rPr>
            </w:pPr>
            <w:r>
              <w:rPr>
                <w:rFonts w:ascii="宋体" w:hAnsi="宋体" w:cs="宋体"/>
                <w:sz w:val="24"/>
                <w:lang w:bidi="ar"/>
              </w:rPr>
              <w:t>2.申请人所提交的预登记信息确保与到号办理时提交的办证信息一致，若不一致的，</w:t>
            </w:r>
            <w:r>
              <w:rPr>
                <w:rFonts w:hint="eastAsia" w:ascii="宋体" w:hAnsi="宋体" w:cs="宋体"/>
                <w:sz w:val="24"/>
                <w:lang w:bidi="ar"/>
              </w:rPr>
              <w:t>集中摇号结果作废</w:t>
            </w:r>
            <w:r>
              <w:rPr>
                <w:rFonts w:ascii="宋体" w:hAnsi="宋体" w:cs="宋体"/>
                <w:sz w:val="24"/>
                <w:lang w:bidi="ar"/>
              </w:rPr>
              <w:t>；</w:t>
            </w:r>
          </w:p>
          <w:p w14:paraId="1FE3D38B">
            <w:pPr>
              <w:widowControl/>
              <w:ind w:firstLine="480" w:firstLineChars="200"/>
              <w:jc w:val="left"/>
              <w:textAlignment w:val="center"/>
              <w:rPr>
                <w:rFonts w:ascii="宋体" w:hAnsi="宋体" w:cs="宋体"/>
                <w:sz w:val="24"/>
                <w:lang w:bidi="ar"/>
              </w:rPr>
            </w:pPr>
            <w:r>
              <w:rPr>
                <w:rFonts w:ascii="宋体" w:hAnsi="宋体" w:cs="宋体"/>
                <w:sz w:val="24"/>
                <w:lang w:bidi="ar"/>
              </w:rPr>
              <w:t>3.申请人应当在收到办理通知之日起三日内提交办证申请材料，逾期未提交的，视同申请人自愿放弃本次</w:t>
            </w:r>
            <w:r>
              <w:rPr>
                <w:rFonts w:hint="eastAsia" w:ascii="宋体" w:hAnsi="宋体" w:cs="宋体"/>
                <w:sz w:val="24"/>
                <w:lang w:bidi="ar"/>
              </w:rPr>
              <w:t>集中摇号</w:t>
            </w:r>
            <w:r>
              <w:rPr>
                <w:rFonts w:ascii="宋体" w:hAnsi="宋体" w:cs="宋体"/>
                <w:sz w:val="24"/>
                <w:lang w:bidi="ar"/>
              </w:rPr>
              <w:t>；因申请人填报地址、联系方式等不正确，导致发证机关在三个工作日内无法与申请人取得联系的，视同申请人自愿放弃本次</w:t>
            </w:r>
            <w:r>
              <w:rPr>
                <w:rFonts w:hint="eastAsia" w:ascii="宋体" w:hAnsi="宋体" w:cs="宋体"/>
                <w:sz w:val="24"/>
                <w:lang w:bidi="ar"/>
              </w:rPr>
              <w:t>集中摇号</w:t>
            </w:r>
            <w:r>
              <w:rPr>
                <w:rFonts w:ascii="宋体" w:hAnsi="宋体" w:cs="宋体"/>
                <w:sz w:val="24"/>
                <w:lang w:bidi="ar"/>
              </w:rPr>
              <w:t>。申请人自愿放弃本次</w:t>
            </w:r>
            <w:r>
              <w:rPr>
                <w:rFonts w:hint="eastAsia" w:ascii="宋体" w:hAnsi="宋体" w:cs="宋体"/>
                <w:sz w:val="24"/>
                <w:lang w:bidi="ar"/>
              </w:rPr>
              <w:t>集中摇号</w:t>
            </w:r>
            <w:r>
              <w:rPr>
                <w:rFonts w:ascii="宋体" w:hAnsi="宋体" w:cs="宋体"/>
                <w:sz w:val="24"/>
                <w:lang w:bidi="ar"/>
              </w:rPr>
              <w:t>的，由下一位申请人递补办理。</w:t>
            </w:r>
          </w:p>
          <w:p w14:paraId="69DBEA0B">
            <w:pPr>
              <w:widowControl/>
              <w:ind w:firstLine="482" w:firstLineChars="200"/>
              <w:jc w:val="left"/>
              <w:textAlignment w:val="center"/>
              <w:rPr>
                <w:rFonts w:ascii="宋体" w:hAnsi="宋体" w:cs="宋体"/>
                <w:b/>
                <w:bCs/>
                <w:sz w:val="24"/>
                <w:szCs w:val="22"/>
              </w:rPr>
            </w:pPr>
            <w:r>
              <w:rPr>
                <w:rFonts w:ascii="宋体" w:hAnsi="宋体" w:cs="宋体"/>
                <w:b/>
                <w:bCs/>
                <w:sz w:val="24"/>
                <w:lang w:bidi="ar"/>
              </w:rPr>
              <w:t>申请人或代理人（签名或印章）：</w:t>
            </w:r>
            <w:r>
              <w:rPr>
                <w:rFonts w:ascii="宋体" w:hAnsi="宋体" w:cs="宋体"/>
                <w:b/>
                <w:bCs/>
                <w:sz w:val="24"/>
                <w:u w:val="single"/>
                <w:lang w:bidi="ar"/>
              </w:rPr>
              <w:t xml:space="preserve">        </w:t>
            </w:r>
            <w:r>
              <w:rPr>
                <w:rFonts w:ascii="宋体" w:hAnsi="宋体" w:cs="宋体"/>
                <w:b/>
                <w:bCs/>
                <w:sz w:val="24"/>
                <w:lang w:bidi="ar"/>
              </w:rPr>
              <w:t xml:space="preserve">                                                                         </w:t>
            </w:r>
          </w:p>
        </w:tc>
      </w:tr>
      <w:tr w14:paraId="6607B7B1">
        <w:tblPrEx>
          <w:tblCellMar>
            <w:top w:w="0" w:type="dxa"/>
            <w:left w:w="108" w:type="dxa"/>
            <w:bottom w:w="0" w:type="dxa"/>
            <w:right w:w="108" w:type="dxa"/>
          </w:tblCellMar>
        </w:tblPrEx>
        <w:trPr>
          <w:trHeight w:val="64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BC5B58">
            <w:pPr>
              <w:widowControl/>
              <w:jc w:val="center"/>
              <w:textAlignment w:val="center"/>
              <w:rPr>
                <w:rFonts w:ascii="宋体" w:hAnsi="宋体" w:cs="宋体"/>
                <w:b/>
                <w:bCs/>
                <w:sz w:val="24"/>
                <w:szCs w:val="22"/>
              </w:rPr>
            </w:pPr>
            <w:r>
              <w:rPr>
                <w:rFonts w:hint="eastAsia" w:ascii="宋体" w:hAnsi="宋体" w:cs="宋体"/>
                <w:b/>
                <w:bCs/>
                <w:kern w:val="0"/>
                <w:sz w:val="24"/>
                <w:szCs w:val="22"/>
                <w:lang w:bidi="ar"/>
              </w:rPr>
              <w:t>摇号结果顺序号</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232B001">
            <w:pPr>
              <w:jc w:val="center"/>
              <w:rPr>
                <w:rFonts w:ascii="宋体" w:hAnsi="宋体" w:cs="宋体"/>
                <w:b/>
                <w:bCs/>
                <w:sz w:val="24"/>
                <w:szCs w:val="22"/>
              </w:rPr>
            </w:pPr>
          </w:p>
        </w:tc>
      </w:tr>
      <w:tr w14:paraId="3B18A574">
        <w:tblPrEx>
          <w:tblCellMar>
            <w:top w:w="0" w:type="dxa"/>
            <w:left w:w="108" w:type="dxa"/>
            <w:bottom w:w="0" w:type="dxa"/>
            <w:right w:w="108" w:type="dxa"/>
          </w:tblCellMar>
        </w:tblPrEx>
        <w:trPr>
          <w:trHeight w:val="1166"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113D7C8B">
            <w:pPr>
              <w:widowControl/>
              <w:jc w:val="left"/>
              <w:textAlignment w:val="center"/>
              <w:rPr>
                <w:rStyle w:val="18"/>
                <w:rFonts w:hint="default"/>
                <w:b w:val="0"/>
                <w:bCs w:val="0"/>
                <w:color w:val="auto"/>
                <w:u w:val="single"/>
                <w:lang w:bidi="ar"/>
              </w:rPr>
            </w:pPr>
            <w:r>
              <w:rPr>
                <w:rStyle w:val="18"/>
                <w:rFonts w:hint="default"/>
                <w:color w:val="auto"/>
                <w:lang w:bidi="ar"/>
              </w:rPr>
              <w:t>申请人承诺</w:t>
            </w:r>
            <w:r>
              <w:rPr>
                <w:rStyle w:val="18"/>
                <w:rFonts w:hint="default"/>
                <w:b w:val="0"/>
                <w:bCs w:val="0"/>
                <w:color w:val="auto"/>
                <w:lang w:bidi="ar"/>
              </w:rPr>
              <w:t>：</w:t>
            </w:r>
            <w:r>
              <w:rPr>
                <w:rStyle w:val="18"/>
                <w:rFonts w:hint="default"/>
                <w:b w:val="0"/>
                <w:bCs w:val="0"/>
                <w:color w:val="auto"/>
                <w:u w:val="single"/>
                <w:lang w:bidi="ar"/>
              </w:rPr>
              <w:t>摇号结果顺序号经本人核对，确认无误。</w:t>
            </w:r>
          </w:p>
          <w:p w14:paraId="0C5E2B14">
            <w:pPr>
              <w:widowControl/>
              <w:jc w:val="left"/>
              <w:textAlignment w:val="center"/>
              <w:rPr>
                <w:rStyle w:val="18"/>
                <w:rFonts w:hint="default"/>
                <w:b w:val="0"/>
                <w:bCs w:val="0"/>
                <w:color w:val="auto"/>
                <w:u w:val="single"/>
                <w:lang w:bidi="ar"/>
              </w:rPr>
            </w:pPr>
          </w:p>
          <w:p w14:paraId="2B235A8C">
            <w:pPr>
              <w:widowControl/>
              <w:jc w:val="left"/>
              <w:textAlignment w:val="center"/>
              <w:rPr>
                <w:rStyle w:val="18"/>
                <w:rFonts w:hint="default"/>
                <w:color w:val="auto"/>
                <w:lang w:bidi="ar"/>
              </w:rPr>
            </w:pPr>
          </w:p>
          <w:p w14:paraId="7C286DB3">
            <w:pPr>
              <w:jc w:val="center"/>
              <w:rPr>
                <w:rFonts w:ascii="宋体" w:hAnsi="宋体" w:cs="宋体"/>
                <w:b/>
                <w:bCs/>
                <w:sz w:val="24"/>
                <w:szCs w:val="22"/>
              </w:rPr>
            </w:pPr>
            <w:r>
              <w:rPr>
                <w:rFonts w:hint="eastAsia" w:ascii="宋体" w:hAnsi="宋体" w:cs="宋体"/>
                <w:b/>
                <w:bCs/>
                <w:sz w:val="24"/>
                <w:szCs w:val="22"/>
              </w:rPr>
              <w:t>签名：                         日期：</w:t>
            </w:r>
          </w:p>
        </w:tc>
      </w:tr>
    </w:tbl>
    <w:p w14:paraId="32935CC9">
      <w:pPr>
        <w:autoSpaceDE w:val="0"/>
        <w:autoSpaceDN w:val="0"/>
        <w:adjustRightInd w:val="0"/>
        <w:snapToGrid w:val="0"/>
        <w:spacing w:line="360" w:lineRule="auto"/>
        <w:sectPr>
          <w:pgSz w:w="11906" w:h="16838"/>
          <w:pgMar w:top="1440" w:right="1800" w:bottom="1440" w:left="1800" w:header="851" w:footer="992" w:gutter="0"/>
          <w:cols w:space="720" w:num="1"/>
          <w:docGrid w:type="lines" w:linePitch="312" w:charSpace="0"/>
        </w:sectPr>
      </w:pPr>
    </w:p>
    <w:p w14:paraId="389FEA33"/>
    <w:p w14:paraId="00BEAF09">
      <w:pPr>
        <w:spacing w:before="104" w:line="224" w:lineRule="auto"/>
        <w:outlineLvl w:val="0"/>
        <w:rPr>
          <w:rFonts w:ascii="黑体" w:hAnsi="黑体" w:eastAsia="黑体" w:cs="黑体"/>
          <w:spacing w:val="8"/>
          <w:sz w:val="32"/>
          <w:szCs w:val="32"/>
        </w:rPr>
      </w:pPr>
      <w:r>
        <w:rPr>
          <w:rFonts w:hint="eastAsia" w:ascii="黑体" w:hAnsi="黑体" w:eastAsia="黑体" w:cs="黑体"/>
          <w:spacing w:val="8"/>
          <w:sz w:val="32"/>
          <w:szCs w:val="32"/>
        </w:rPr>
        <w:t>附件6</w:t>
      </w:r>
    </w:p>
    <w:p w14:paraId="0F1E1E69">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云南省昆明市东川区烟草制品零售点</w:t>
      </w:r>
    </w:p>
    <w:p w14:paraId="05EEB682">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合理布局规划数动态调整管理制度</w:t>
      </w:r>
    </w:p>
    <w:p w14:paraId="26D8597B">
      <w:pPr>
        <w:numPr>
          <w:ilvl w:val="0"/>
          <w:numId w:val="7"/>
        </w:numPr>
        <w:spacing w:before="312" w:beforeLines="100" w:after="312" w:afterLines="100" w:line="360" w:lineRule="auto"/>
        <w:ind w:firstLine="403"/>
        <w:jc w:val="center"/>
        <w:rPr>
          <w:rFonts w:ascii="黑体" w:hAnsi="黑体" w:eastAsia="黑体" w:cs="黑体"/>
          <w:sz w:val="32"/>
          <w:szCs w:val="32"/>
        </w:rPr>
      </w:pPr>
      <w:r>
        <w:rPr>
          <w:rFonts w:hint="eastAsia" w:ascii="黑体" w:hAnsi="黑体" w:eastAsia="黑体" w:cs="黑体"/>
          <w:sz w:val="32"/>
          <w:szCs w:val="32"/>
        </w:rPr>
        <w:t>总则</w:t>
      </w:r>
    </w:p>
    <w:p w14:paraId="51D5C915">
      <w:pPr>
        <w:numPr>
          <w:ilvl w:val="2"/>
          <w:numId w:val="8"/>
        </w:numPr>
        <w:spacing w:line="360" w:lineRule="auto"/>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为建立健全合理布局规划管理动态调整制，做好规范性文件的动态管理，保证《云南省昆明市东川区烟草制品零售点合理布局规划》的科学性、合理性、前瞻性，依据《中华人民共和国行政许可法》《中华人民共和国未成年人保护法》《中华人民共和国烟草专卖法》《中华人民共和国烟草专卖法实施条例》《烟草专卖许可证管理办法》《烟草专卖许可证管理办法实施细则》等法律法规和规章的规定，特制定本制度。</w:t>
      </w:r>
    </w:p>
    <w:p w14:paraId="0FC9359B">
      <w:pPr>
        <w:numPr>
          <w:ilvl w:val="2"/>
          <w:numId w:val="8"/>
        </w:num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《云南省昆明市东川区烟草制品零售点合理布局规划》发布后，东川区烟草专卖局每季度根据本地经济发展、城乡建设、市场形势等变化情况对辖区最小单元网格零售点合理容量进行动态调整。</w:t>
      </w:r>
    </w:p>
    <w:p w14:paraId="34881649">
      <w:pPr>
        <w:numPr>
          <w:ilvl w:val="2"/>
          <w:numId w:val="8"/>
        </w:numPr>
        <w:spacing w:line="360" w:lineRule="auto"/>
        <w:rPr>
          <w:rFonts w:ascii="仿宋_GB2312" w:hAnsi="仿宋_GB2312" w:eastAsia="仿宋_GB2312" w:cs="仿宋_GB2312"/>
          <w:sz w:val="32"/>
          <w:szCs w:val="32"/>
        </w:rPr>
      </w:pPr>
      <w:r>
        <w:rPr>
          <w:rFonts w:hint="eastAsia" w:ascii="仿宋_GB2312" w:hAnsi="仿宋_GB2312" w:eastAsia="仿宋_GB2312" w:cs="仿宋_GB2312"/>
          <w:kern w:val="28"/>
          <w:sz w:val="32"/>
          <w:szCs w:val="32"/>
        </w:rPr>
        <w:t>每季度的动态调整情况，应当在调整结束后通过</w:t>
      </w:r>
      <w:r>
        <w:rPr>
          <w:rFonts w:hint="eastAsia" w:ascii="仿宋_GB2312" w:hAnsi="仿宋_GB2312" w:eastAsia="仿宋_GB2312" w:cs="仿宋_GB2312"/>
          <w:kern w:val="28"/>
          <w:sz w:val="32"/>
          <w:szCs w:val="32"/>
          <w:highlight w:val="yellow"/>
        </w:rPr>
        <w:t>行业网站平台、政府网站平台、东川区政务服务大厅等</w:t>
      </w:r>
      <w:r>
        <w:rPr>
          <w:rFonts w:hint="eastAsia" w:ascii="仿宋_GB2312" w:hAnsi="仿宋_GB2312" w:eastAsia="仿宋_GB2312" w:cs="仿宋_GB2312"/>
          <w:kern w:val="28"/>
          <w:sz w:val="32"/>
          <w:szCs w:val="32"/>
        </w:rPr>
        <w:t>平台公示，公示三日后实施</w:t>
      </w:r>
      <w:r>
        <w:rPr>
          <w:rFonts w:hint="eastAsia" w:ascii="仿宋_GB2312" w:hAnsi="仿宋_GB2312" w:eastAsia="仿宋_GB2312" w:cs="仿宋_GB2312"/>
          <w:sz w:val="32"/>
          <w:szCs w:val="32"/>
        </w:rPr>
        <w:t>。</w:t>
      </w:r>
    </w:p>
    <w:p w14:paraId="69D5A2F3">
      <w:pPr>
        <w:numPr>
          <w:ilvl w:val="2"/>
          <w:numId w:val="8"/>
        </w:numPr>
        <w:spacing w:line="360" w:lineRule="auto"/>
        <w:rPr>
          <w:rFonts w:ascii="仿宋_GB2312" w:hAnsi="仿宋_GB2312" w:eastAsia="仿宋_GB2312" w:cs="仿宋_GB2312"/>
          <w:sz w:val="32"/>
          <w:szCs w:val="32"/>
        </w:rPr>
      </w:pPr>
      <w:r>
        <w:rPr>
          <w:rFonts w:hint="eastAsia" w:ascii="仿宋_GB2312" w:eastAsia="仿宋_GB2312"/>
          <w:sz w:val="32"/>
          <w:szCs w:val="32"/>
        </w:rPr>
        <w:t>动态调整由东川区烟草专卖局（以下简称区局）负责实施。</w:t>
      </w:r>
    </w:p>
    <w:p w14:paraId="2FA65116">
      <w:pPr>
        <w:numPr>
          <w:ilvl w:val="0"/>
          <w:numId w:val="7"/>
        </w:numPr>
        <w:spacing w:before="312" w:beforeLines="100" w:after="312" w:afterLines="100" w:line="360" w:lineRule="auto"/>
        <w:ind w:firstLine="403"/>
        <w:jc w:val="center"/>
        <w:rPr>
          <w:rFonts w:ascii="黑体" w:hAnsi="黑体" w:eastAsia="黑体" w:cs="黑体"/>
          <w:sz w:val="32"/>
          <w:szCs w:val="32"/>
        </w:rPr>
      </w:pPr>
      <w:r>
        <w:rPr>
          <w:rFonts w:hint="eastAsia" w:ascii="黑体" w:hAnsi="黑体" w:eastAsia="黑体" w:cs="黑体"/>
          <w:sz w:val="32"/>
          <w:szCs w:val="32"/>
        </w:rPr>
        <w:t>动态调整规则</w:t>
      </w:r>
    </w:p>
    <w:p w14:paraId="1B5EE1EA">
      <w:pPr>
        <w:numPr>
          <w:ilvl w:val="2"/>
          <w:numId w:val="8"/>
        </w:numPr>
        <w:spacing w:line="360" w:lineRule="auto"/>
        <w:rPr>
          <w:rFonts w:ascii="楷体" w:hAnsi="楷体" w:eastAsia="楷体" w:cs="楷体"/>
          <w:sz w:val="32"/>
          <w:szCs w:val="32"/>
        </w:rPr>
      </w:pPr>
      <w:r>
        <w:rPr>
          <w:rFonts w:hint="eastAsia" w:ascii="仿宋_GB2312" w:hAnsi="仿宋_GB2312" w:eastAsia="仿宋_GB2312" w:cs="仿宋_GB2312"/>
          <w:sz w:val="32"/>
          <w:szCs w:val="32"/>
        </w:rPr>
        <w:t>每季度最后一个月，从专卖一体化监管平台中提取辖区内所有单元网格现有零售点数量，经区局专卖主任核实，交分管专卖领导审核后，封存数据。</w:t>
      </w:r>
    </w:p>
    <w:p w14:paraId="3A44AB68">
      <w:pPr>
        <w:numPr>
          <w:ilvl w:val="2"/>
          <w:numId w:val="8"/>
        </w:num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根据现有零售点数量，计算辖区内合理容量变化情况，将本季度辖区零售点合理布局容量测算结果形成会议议题报区局总支委员会。经集体讨论后，审批确定季度《云南省昆明市东川区烟草专卖局烟草制品零售点合理布局公示表》、《云南省昆明市东川区烟草专卖局雪茄烟专营店零售点合理布局公示表》。</w:t>
      </w:r>
    </w:p>
    <w:p w14:paraId="73B81C77">
      <w:pPr>
        <w:numPr>
          <w:ilvl w:val="2"/>
          <w:numId w:val="8"/>
        </w:num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审批通过后当日，区局及时将季度《云南省昆明市东川区烟草专卖局烟草制品零售点合理布局公示表》、《云南省昆明市东川区烟草专卖局雪茄烟专营店零售点合理布局公示表》报上一级烟草专卖局备案。</w:t>
      </w:r>
    </w:p>
    <w:p w14:paraId="3CE4956A">
      <w:pPr>
        <w:numPr>
          <w:ilvl w:val="2"/>
          <w:numId w:val="8"/>
        </w:num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审批通过后三日内，区局通过</w:t>
      </w:r>
      <w:r>
        <w:rPr>
          <w:rFonts w:hint="eastAsia" w:ascii="仿宋_GB2312" w:hAnsi="仿宋_GB2312" w:eastAsia="仿宋_GB2312" w:cs="仿宋_GB2312"/>
          <w:kern w:val="28"/>
          <w:sz w:val="32"/>
          <w:szCs w:val="32"/>
          <w:highlight w:val="yellow"/>
        </w:rPr>
        <w:t>东川区政务服务大厅公示栏、东川区烟草专卖局公示栏等</w:t>
      </w:r>
      <w:r>
        <w:rPr>
          <w:rFonts w:hint="eastAsia" w:ascii="仿宋_GB2312" w:hAnsi="仿宋_GB2312" w:eastAsia="仿宋_GB2312" w:cs="仿宋_GB2312"/>
          <w:kern w:val="28"/>
          <w:sz w:val="32"/>
          <w:szCs w:val="32"/>
        </w:rPr>
        <w:t>平台</w:t>
      </w:r>
      <w:r>
        <w:rPr>
          <w:rFonts w:hint="eastAsia" w:ascii="仿宋_GB2312" w:hAnsi="仿宋_GB2312" w:eastAsia="仿宋_GB2312" w:cs="仿宋_GB2312"/>
          <w:sz w:val="32"/>
          <w:szCs w:val="32"/>
        </w:rPr>
        <w:t>公示季度《云南省昆明市东川区烟草专卖局烟草制品零售点合理布局公示表》、《云南省昆明市东川区烟草专卖局雪茄烟专营店零售点合理布局公示表》。</w:t>
      </w:r>
    </w:p>
    <w:p w14:paraId="799FC497">
      <w:pPr>
        <w:numPr>
          <w:ilvl w:val="0"/>
          <w:numId w:val="7"/>
        </w:numPr>
        <w:spacing w:before="312" w:beforeLines="100" w:after="312" w:afterLines="100" w:line="360" w:lineRule="auto"/>
        <w:ind w:firstLine="403"/>
        <w:jc w:val="center"/>
        <w:rPr>
          <w:rFonts w:ascii="黑体" w:hAnsi="黑体" w:eastAsia="黑体" w:cs="黑体"/>
          <w:sz w:val="32"/>
          <w:szCs w:val="32"/>
        </w:rPr>
      </w:pPr>
      <w:r>
        <w:rPr>
          <w:rFonts w:hint="eastAsia" w:ascii="黑体" w:hAnsi="黑体" w:eastAsia="黑体" w:cs="黑体"/>
          <w:sz w:val="32"/>
          <w:szCs w:val="32"/>
        </w:rPr>
        <w:t>附则</w:t>
      </w:r>
    </w:p>
    <w:p w14:paraId="752AFD3E">
      <w:pPr>
        <w:numPr>
          <w:ilvl w:val="2"/>
          <w:numId w:val="8"/>
        </w:num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昆明市烟草专卖局负责监督管理区局动态调整过程及公示结果的规范性、公正性，检查区局的动态调整执行情况。通过核实动态调整的过程性记录信息以及公开公示信息，加强零售点合理布局规划数动态调整的全过程监督。</w:t>
      </w:r>
    </w:p>
    <w:p w14:paraId="78B94D08">
      <w:pPr>
        <w:numPr>
          <w:ilvl w:val="2"/>
          <w:numId w:val="8"/>
        </w:num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14:paraId="5BBEE146">
      <w:pPr>
        <w:numPr>
          <w:ilvl w:val="2"/>
          <w:numId w:val="8"/>
        </w:numPr>
        <w:spacing w:line="360" w:lineRule="auto"/>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本制度由云南省昆明市东川区烟草专卖局负责解释。</w:t>
      </w:r>
    </w:p>
    <w:p w14:paraId="1D9583A3">
      <w:pPr>
        <w:numPr>
          <w:ilvl w:val="2"/>
          <w:numId w:val="8"/>
        </w:numPr>
        <w:spacing w:line="360" w:lineRule="auto"/>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本制度自《云南省昆明市东川区烟草制品零售点合理布局规划》实施之日起同时施行。</w:t>
      </w:r>
    </w:p>
    <w:p w14:paraId="74D13742"/>
    <w:p w14:paraId="7DA6E542">
      <w:pPr>
        <w:pStyle w:val="2"/>
        <w:rPr>
          <w:rFonts w:eastAsiaTheme="minorEastAsia"/>
        </w:rPr>
      </w:pPr>
    </w:p>
    <w:p w14:paraId="42AD5D27"/>
    <w:p w14:paraId="5AA50727"/>
    <w:p w14:paraId="37D3426B">
      <w:pPr>
        <w:pStyle w:val="2"/>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BD81B">
    <w:pPr>
      <w:pStyle w:val="6"/>
    </w:pPr>
    <w: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445135" cy="230505"/>
              <wp:effectExtent l="0" t="0" r="0" b="0"/>
              <wp:wrapNone/>
              <wp:docPr id="4097" name="矩形 4097"/>
              <wp:cNvGraphicFramePr/>
              <a:graphic xmlns:a="http://schemas.openxmlformats.org/drawingml/2006/main">
                <a:graphicData uri="http://schemas.microsoft.com/office/word/2010/wordprocessingShape">
                  <wps:wsp>
                    <wps:cNvSpPr/>
                    <wps:spPr>
                      <a:xfrm>
                        <a:off x="0" y="0"/>
                        <a:ext cx="445135" cy="230505"/>
                      </a:xfrm>
                      <a:prstGeom prst="rect">
                        <a:avLst/>
                      </a:prstGeom>
                      <a:ln>
                        <a:noFill/>
                      </a:ln>
                    </wps:spPr>
                    <wps:txbx>
                      <w:txbxContent>
                        <w:p w14:paraId="744BFD63">
                          <w:pPr>
                            <w:pStyle w:val="6"/>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- 3 -</w:t>
                          </w:r>
                          <w:r>
                            <w:rPr>
                              <w:rFonts w:hint="eastAsia" w:ascii="仿宋_GB2312" w:hAnsi="仿宋_GB2312" w:eastAsia="仿宋_GB2312" w:cs="仿宋_GB2312"/>
                              <w:sz w:val="28"/>
                              <w:szCs w:val="28"/>
                            </w:rP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8.15pt;width:35.05pt;mso-position-horizontal:outside;mso-position-horizontal-relative:margin;mso-wrap-style:none;z-index:251659264;mso-width-relative:page;mso-height-relative:page;" filled="f" stroked="f" coordsize="21600,21600" o:gfxdata="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7JSNrNIAAAADAQAADwAAAAAAAAABACAAAAAiAAAAZHJzL2Rvd25y&#10;ZXYueG1sUEsBAhQAFAAAAAgAh07iQAPnkKDLAQAAkAMAAA4AAAAAAAAAAQAgAAAAIQEAAGRycy9l&#10;Mm9Eb2MueG1sUEsFBgAAAAAGAAYAWQEAAF4FAAAAAA==&#10;">
              <v:fill on="f" focussize="0,0"/>
              <v:stroke on="f"/>
              <v:imagedata o:title=""/>
              <o:lock v:ext="edit" aspectratio="f"/>
              <v:textbox inset="0mm,0mm,0mm,0mm" style="mso-fit-shape-to-text:t;">
                <w:txbxContent>
                  <w:p w14:paraId="744BFD63">
                    <w:pPr>
                      <w:pStyle w:val="6"/>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- 3 -</w:t>
                    </w:r>
                    <w:r>
                      <w:rPr>
                        <w:rFonts w:hint="eastAsia" w:ascii="仿宋_GB2312" w:hAnsi="仿宋_GB2312" w:eastAsia="仿宋_GB2312" w:cs="仿宋_GB2312"/>
                        <w:sz w:val="28"/>
                        <w:szCs w:val="28"/>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127D4">
    <w:pPr>
      <w:pStyle w:val="6"/>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534035" cy="230505"/>
              <wp:effectExtent l="0" t="0" r="0" b="0"/>
              <wp:wrapNone/>
              <wp:docPr id="1" name="文本框 1"/>
              <wp:cNvGraphicFramePr/>
              <a:graphic xmlns:a="http://schemas.openxmlformats.org/drawingml/2006/main">
                <a:graphicData uri="http://schemas.microsoft.com/office/word/2010/wordprocessingShape">
                  <wps:wsp>
                    <wps:cNvSpPr txBox="1"/>
                    <wps:spPr>
                      <a:xfrm>
                        <a:off x="0" y="0"/>
                        <a:ext cx="534035" cy="230505"/>
                      </a:xfrm>
                      <a:prstGeom prst="rect">
                        <a:avLst/>
                      </a:prstGeom>
                      <a:noFill/>
                      <a:ln w="6350">
                        <a:noFill/>
                      </a:ln>
                    </wps:spPr>
                    <wps:txbx>
                      <w:txbxContent>
                        <w:p w14:paraId="5BED6772">
                          <w:pPr>
                            <w:pStyle w:val="6"/>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- 10 -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8.15pt;width:42.05pt;mso-position-horizontal:right;mso-position-horizontal-relative:margin;mso-wrap-style:none;z-index:251660288;mso-width-relative:page;mso-height-relative:page;" filled="f" stroked="f" coordsize="21600,21600" o:gfxdata="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bPU0HSAAAAAwEAAA8AAAAAAAAAAQAgAAAAIgAAAGRycy9kb3ducmV2LnhtbFBLAQIUABQA&#10;AAAIAIdO4kCWdaYZLwIAAFMEAAAOAAAAAAAAAAEAIAAAACEBAABkcnMvZTJvRG9jLnhtbFBLBQYA&#10;AAAABgAGAFkBAADCBQAAAAA=&#10;">
              <v:fill on="f" focussize="0,0"/>
              <v:stroke on="f" weight="0.5pt"/>
              <v:imagedata o:title=""/>
              <o:lock v:ext="edit" aspectratio="f"/>
              <v:textbox inset="0mm,0mm,0mm,0mm" style="mso-fit-shape-to-text:t;">
                <w:txbxContent>
                  <w:p w14:paraId="5BED6772">
                    <w:pPr>
                      <w:pStyle w:val="6"/>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- 10 -</w:t>
                    </w:r>
                    <w:r>
                      <w:rPr>
                        <w:rFonts w:hint="eastAsia" w:ascii="宋体" w:hAnsi="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772D8">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r>
      <w:rPr>
        <w:rFonts w:ascii="Times New Roman" w:hAnsi="Times New Roman" w:eastAsia="宋体" w:cs="Times New Roman"/>
        <w:kern w:val="2"/>
        <w:sz w:val="18"/>
        <w:szCs w:val="24"/>
        <w:lang w:val="en-US" w:eastAsia="zh-CN" w:bidi="ar-SA"/>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534035" cy="23050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534035" cy="230505"/>
                      </a:xfrm>
                      <a:prstGeom prst="rect">
                        <a:avLst/>
                      </a:prstGeom>
                      <a:noFill/>
                      <a:ln w="6350">
                        <a:noFill/>
                      </a:ln>
                    </wps:spPr>
                    <wps:txbx>
                      <w:txbxContent>
                        <w:p w14:paraId="2D3390BF">
                          <w:pPr>
                            <w:widowControl w:val="0"/>
                            <w:tabs>
                              <w:tab w:val="center" w:pos="4153"/>
                              <w:tab w:val="right" w:pos="8306"/>
                            </w:tabs>
                            <w:snapToGrid w:val="0"/>
                            <w:jc w:val="left"/>
                            <w:rPr>
                              <w:rFonts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ascii="宋体" w:hAnsi="宋体" w:eastAsia="宋体" w:cs="宋体"/>
                              <w:kern w:val="2"/>
                              <w:sz w:val="28"/>
                              <w:szCs w:val="28"/>
                              <w:lang w:val="en-US" w:eastAsia="zh-CN" w:bidi="ar-SA"/>
                            </w:rPr>
                            <w:t>- 4 -</w:t>
                          </w:r>
                          <w:r>
                            <w:rPr>
                              <w:rFonts w:hint="eastAsia" w:ascii="宋体" w:hAnsi="宋体" w:eastAsia="宋体" w:cs="宋体"/>
                              <w:kern w:val="2"/>
                              <w:sz w:val="28"/>
                              <w:szCs w:val="2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8.15pt;width:42.05pt;mso-position-horizontal:right;mso-position-horizontal-relative:margin;mso-wrap-style:none;z-index:251659264;mso-width-relative:page;mso-height-relative:page;" filled="f" stroked="f" coordsize="21600,21600" o:gfxdata="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z1NB0gAAAAMBAAAPAAAAAAAAAAEAIAAAACIAAABkcnMvZG93bnJldi54bWxQSwECFAAU&#10;AAAACACHTuJATxIdWzACAABVBAAADgAAAAAAAAABACAAAAAhAQAAZHJzL2Uyb0RvYy54bWxQSwUG&#10;AAAAAAYABgBZAQAAwwUAAAAA&#10;">
              <v:fill on="f" focussize="0,0"/>
              <v:stroke on="f" weight="0.5pt"/>
              <v:imagedata o:title=""/>
              <o:lock v:ext="edit" aspectratio="f"/>
              <v:textbox inset="0mm,0mm,0mm,0mm" style="mso-fit-shape-to-text:t;">
                <w:txbxContent>
                  <w:p w14:paraId="2D3390BF">
                    <w:pPr>
                      <w:widowControl w:val="0"/>
                      <w:tabs>
                        <w:tab w:val="center" w:pos="4153"/>
                        <w:tab w:val="right" w:pos="8306"/>
                      </w:tabs>
                      <w:snapToGrid w:val="0"/>
                      <w:jc w:val="left"/>
                      <w:rPr>
                        <w:rFonts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ascii="宋体" w:hAnsi="宋体" w:eastAsia="宋体" w:cs="宋体"/>
                        <w:kern w:val="2"/>
                        <w:sz w:val="28"/>
                        <w:szCs w:val="28"/>
                        <w:lang w:val="en-US" w:eastAsia="zh-CN" w:bidi="ar-SA"/>
                      </w:rPr>
                      <w:t>- 4 -</w:t>
                    </w:r>
                    <w:r>
                      <w:rPr>
                        <w:rFonts w:hint="eastAsia" w:ascii="宋体" w:hAnsi="宋体" w:eastAsia="宋体" w:cs="宋体"/>
                        <w:kern w:val="2"/>
                        <w:sz w:val="28"/>
                        <w:szCs w:val="28"/>
                        <w:lang w:val="en-US" w:eastAsia="zh-CN" w:bidi="ar-S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5E1CA">
    <w:pPr>
      <w:pStyle w:val="6"/>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534035" cy="23050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534035" cy="230505"/>
                      </a:xfrm>
                      <a:prstGeom prst="rect">
                        <a:avLst/>
                      </a:prstGeom>
                      <a:noFill/>
                      <a:ln w="6350">
                        <a:noFill/>
                      </a:ln>
                    </wps:spPr>
                    <wps:txbx>
                      <w:txbxContent>
                        <w:p w14:paraId="67C8C91F">
                          <w:pPr>
                            <w:pStyle w:val="6"/>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25</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8.15pt;width:42.05pt;mso-position-horizontal:right;mso-position-horizontal-relative:margin;mso-wrap-style:none;z-index:251661312;mso-width-relative:page;mso-height-relative:page;" filled="f" stroked="f" coordsize="21600,21600" o:gfxdata="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s9TQdIAAAADAQAADwAAAAAAAAABACAAAAAiAAAAZHJzL2Rvd25yZXYueG1sUEsBAhQA&#10;FAAAAAgAh07iQKpk9PUxAgAAVQQAAA4AAAAAAAAAAQAgAAAAIQEAAGRycy9lMm9Eb2MueG1sUEsF&#10;BgAAAAAGAAYAWQEAAMQFAAAAAA==&#10;">
              <v:fill on="f" focussize="0,0"/>
              <v:stroke on="f" weight="0.5pt"/>
              <v:imagedata o:title=""/>
              <o:lock v:ext="edit" aspectratio="f"/>
              <v:textbox inset="0mm,0mm,0mm,0mm" style="mso-fit-shape-to-text:t;">
                <w:txbxContent>
                  <w:p w14:paraId="67C8C91F">
                    <w:pPr>
                      <w:pStyle w:val="6"/>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25</w:t>
                    </w:r>
                    <w:r>
                      <w:rPr>
                        <w:rFonts w:hint="eastAsia" w:ascii="宋体" w:hAnsi="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33B175"/>
    <w:multiLevelType w:val="singleLevel"/>
    <w:tmpl w:val="8C33B175"/>
    <w:lvl w:ilvl="0" w:tentative="0">
      <w:start w:val="1"/>
      <w:numFmt w:val="chineseCounting"/>
      <w:suff w:val="nothing"/>
      <w:lvlText w:val="（%1）"/>
      <w:lvlJc w:val="left"/>
      <w:pPr>
        <w:ind w:left="0" w:firstLine="420"/>
      </w:pPr>
      <w:rPr>
        <w:rFonts w:hint="eastAsia"/>
      </w:rPr>
    </w:lvl>
  </w:abstractNum>
  <w:abstractNum w:abstractNumId="1">
    <w:nsid w:val="8D2C3E46"/>
    <w:multiLevelType w:val="singleLevel"/>
    <w:tmpl w:val="8D2C3E46"/>
    <w:lvl w:ilvl="0" w:tentative="0">
      <w:start w:val="1"/>
      <w:numFmt w:val="decimal"/>
      <w:suff w:val="nothing"/>
      <w:lvlText w:val="%1．"/>
      <w:lvlJc w:val="left"/>
      <w:pPr>
        <w:ind w:left="0" w:firstLine="400"/>
      </w:pPr>
      <w:rPr>
        <w:rFonts w:hint="default"/>
        <w:sz w:val="32"/>
        <w:szCs w:val="32"/>
      </w:rPr>
    </w:lvl>
  </w:abstractNum>
  <w:abstractNum w:abstractNumId="2">
    <w:nsid w:val="ACE1C5B8"/>
    <w:multiLevelType w:val="multilevel"/>
    <w:tmpl w:val="ACE1C5B8"/>
    <w:lvl w:ilvl="0" w:tentative="0">
      <w:start w:val="1"/>
      <w:numFmt w:val="chineseCounting"/>
      <w:suff w:val="nothing"/>
      <w:lvlText w:val="第%1章 "/>
      <w:lvlJc w:val="left"/>
      <w:pPr>
        <w:ind w:left="0" w:firstLine="402"/>
      </w:pPr>
      <w:rPr>
        <w:rFonts w:hint="eastAsia" w:eastAsia="黑体"/>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B1F02145"/>
    <w:multiLevelType w:val="singleLevel"/>
    <w:tmpl w:val="B1F02145"/>
    <w:lvl w:ilvl="0" w:tentative="0">
      <w:start w:val="1"/>
      <w:numFmt w:val="chineseCounting"/>
      <w:suff w:val="nothing"/>
      <w:lvlText w:val="（%1）"/>
      <w:lvlJc w:val="left"/>
      <w:pPr>
        <w:ind w:left="0" w:firstLine="420"/>
      </w:pPr>
      <w:rPr>
        <w:rFonts w:hint="eastAsia"/>
      </w:rPr>
    </w:lvl>
  </w:abstractNum>
  <w:abstractNum w:abstractNumId="4">
    <w:nsid w:val="BA9EEFC2"/>
    <w:multiLevelType w:val="multilevel"/>
    <w:tmpl w:val="BA9EEFC2"/>
    <w:lvl w:ilvl="0" w:tentative="0">
      <w:start w:val="1"/>
      <w:numFmt w:val="chineseCounting"/>
      <w:suff w:val="nothing"/>
      <w:lvlText w:val="第%1章 "/>
      <w:lvlJc w:val="left"/>
      <w:pPr>
        <w:ind w:left="0" w:firstLine="402"/>
      </w:pPr>
      <w:rPr>
        <w:rFonts w:hint="eastAsia" w:eastAsia="黑体"/>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5">
    <w:nsid w:val="F7FCD2BF"/>
    <w:multiLevelType w:val="multilevel"/>
    <w:tmpl w:val="F7FCD2BF"/>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858" w:firstLine="402"/>
      </w:pPr>
      <w:rPr>
        <w:rFonts w:hint="eastAsia" w:eastAsia="黑体"/>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6">
    <w:nsid w:val="434CEC37"/>
    <w:multiLevelType w:val="singleLevel"/>
    <w:tmpl w:val="434CEC37"/>
    <w:lvl w:ilvl="0" w:tentative="0">
      <w:start w:val="1"/>
      <w:numFmt w:val="decimal"/>
      <w:suff w:val="nothing"/>
      <w:lvlText w:val="（%1）"/>
      <w:lvlJc w:val="left"/>
    </w:lvl>
  </w:abstractNum>
  <w:abstractNum w:abstractNumId="7">
    <w:nsid w:val="6B21E11A"/>
    <w:multiLevelType w:val="multilevel"/>
    <w:tmpl w:val="6B21E11A"/>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3"/>
      </w:pPr>
      <w:rPr>
        <w:rFonts w:hint="eastAsia" w:eastAsia="黑体"/>
        <w:color w:val="auto"/>
        <w:sz w:val="32"/>
        <w:szCs w:val="32"/>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num w:numId="1">
    <w:abstractNumId w:val="0"/>
  </w:num>
  <w:num w:numId="2">
    <w:abstractNumId w:val="1"/>
  </w:num>
  <w:num w:numId="3">
    <w:abstractNumId w:val="6"/>
  </w:num>
  <w:num w:numId="4">
    <w:abstractNumId w:val="3"/>
  </w:num>
  <w:num w:numId="5">
    <w:abstractNumId w:val="2"/>
  </w:num>
  <w:num w:numId="6">
    <w:abstractNumId w:val="7"/>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BF4"/>
    <w:rsid w:val="00020C92"/>
    <w:rsid w:val="00093282"/>
    <w:rsid w:val="00233649"/>
    <w:rsid w:val="00253DBE"/>
    <w:rsid w:val="00255DF5"/>
    <w:rsid w:val="003974E4"/>
    <w:rsid w:val="00492D23"/>
    <w:rsid w:val="005A604B"/>
    <w:rsid w:val="00801634"/>
    <w:rsid w:val="0084764B"/>
    <w:rsid w:val="00856102"/>
    <w:rsid w:val="00921BF4"/>
    <w:rsid w:val="009C058E"/>
    <w:rsid w:val="00AA45E4"/>
    <w:rsid w:val="00CA2A2E"/>
    <w:rsid w:val="00CB38A5"/>
    <w:rsid w:val="00F40AEB"/>
    <w:rsid w:val="029A24FF"/>
    <w:rsid w:val="032B3086"/>
    <w:rsid w:val="03A40FD3"/>
    <w:rsid w:val="03A74FDF"/>
    <w:rsid w:val="07E86EA8"/>
    <w:rsid w:val="0B545F30"/>
    <w:rsid w:val="0DFC6602"/>
    <w:rsid w:val="0F1D66E0"/>
    <w:rsid w:val="0FA6382C"/>
    <w:rsid w:val="121551E4"/>
    <w:rsid w:val="1343498A"/>
    <w:rsid w:val="147D58C7"/>
    <w:rsid w:val="1739327C"/>
    <w:rsid w:val="17AA23CB"/>
    <w:rsid w:val="19C076E4"/>
    <w:rsid w:val="1EB65412"/>
    <w:rsid w:val="1F5A6485"/>
    <w:rsid w:val="20E26732"/>
    <w:rsid w:val="26D970F4"/>
    <w:rsid w:val="26ED1ED0"/>
    <w:rsid w:val="2811796B"/>
    <w:rsid w:val="2F283EAA"/>
    <w:rsid w:val="32144BB9"/>
    <w:rsid w:val="340F73E6"/>
    <w:rsid w:val="36025258"/>
    <w:rsid w:val="360D05CC"/>
    <w:rsid w:val="38A97C29"/>
    <w:rsid w:val="39994A76"/>
    <w:rsid w:val="40C74A0D"/>
    <w:rsid w:val="411249BA"/>
    <w:rsid w:val="42357BAF"/>
    <w:rsid w:val="4653037D"/>
    <w:rsid w:val="48783354"/>
    <w:rsid w:val="488820CE"/>
    <w:rsid w:val="4A071B5D"/>
    <w:rsid w:val="4A7D34F5"/>
    <w:rsid w:val="4A9D57B7"/>
    <w:rsid w:val="4B8D0EC1"/>
    <w:rsid w:val="4C4753B2"/>
    <w:rsid w:val="4CFE72EA"/>
    <w:rsid w:val="4DEE5E67"/>
    <w:rsid w:val="4EDE412D"/>
    <w:rsid w:val="4F233710"/>
    <w:rsid w:val="4FAB3744"/>
    <w:rsid w:val="564B3E56"/>
    <w:rsid w:val="59101387"/>
    <w:rsid w:val="5A035BDA"/>
    <w:rsid w:val="5B50375C"/>
    <w:rsid w:val="5E884808"/>
    <w:rsid w:val="5F92520A"/>
    <w:rsid w:val="615C26B1"/>
    <w:rsid w:val="654D631F"/>
    <w:rsid w:val="67B95BC7"/>
    <w:rsid w:val="6A93394C"/>
    <w:rsid w:val="6AA54025"/>
    <w:rsid w:val="6D717BC2"/>
    <w:rsid w:val="6E3E63CC"/>
    <w:rsid w:val="70DF5DB7"/>
    <w:rsid w:val="73ED02C3"/>
    <w:rsid w:val="75805743"/>
    <w:rsid w:val="766B2223"/>
    <w:rsid w:val="78A83025"/>
    <w:rsid w:val="793E54BE"/>
    <w:rsid w:val="7B000C67"/>
    <w:rsid w:val="7B780E5A"/>
    <w:rsid w:val="7BA24407"/>
    <w:rsid w:val="7DC650FB"/>
    <w:rsid w:val="7E7E1F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Times New Roman" w:cs="宋体"/>
      <w:color w:val="000000"/>
      <w:sz w:val="24"/>
      <w:szCs w:val="24"/>
      <w:lang w:val="en-US" w:eastAsia="zh-CN" w:bidi="ar-SA"/>
    </w:rPr>
  </w:style>
  <w:style w:type="paragraph" w:styleId="3">
    <w:name w:val="annotation text"/>
    <w:basedOn w:val="1"/>
    <w:link w:val="13"/>
    <w:unhideWhenUsed/>
    <w:qFormat/>
    <w:uiPriority w:val="99"/>
    <w:pPr>
      <w:jc w:val="left"/>
    </w:pPr>
  </w:style>
  <w:style w:type="paragraph" w:styleId="4">
    <w:name w:val="Body Text"/>
    <w:basedOn w:val="1"/>
    <w:link w:val="15"/>
    <w:unhideWhenUsed/>
    <w:qFormat/>
    <w:uiPriority w:val="0"/>
    <w:pPr>
      <w:spacing w:after="120"/>
    </w:pPr>
  </w:style>
  <w:style w:type="paragraph" w:styleId="5">
    <w:name w:val="Balloon Text"/>
    <w:basedOn w:val="1"/>
    <w:link w:val="19"/>
    <w:semiHidden/>
    <w:unhideWhenUsed/>
    <w:qFormat/>
    <w:uiPriority w:val="99"/>
    <w:rPr>
      <w:sz w:val="18"/>
      <w:szCs w:val="18"/>
    </w:rPr>
  </w:style>
  <w:style w:type="paragraph" w:styleId="6">
    <w:name w:val="footer"/>
    <w:basedOn w:val="1"/>
    <w:link w:val="14"/>
    <w:qFormat/>
    <w:uiPriority w:val="0"/>
    <w:pPr>
      <w:tabs>
        <w:tab w:val="center" w:pos="4153"/>
        <w:tab w:val="right" w:pos="8306"/>
      </w:tabs>
      <w:snapToGrid w:val="0"/>
      <w:jc w:val="left"/>
    </w:pPr>
    <w:rPr>
      <w:sz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Subtitle"/>
    <w:basedOn w:val="1"/>
    <w:next w:val="1"/>
    <w:link w:val="12"/>
    <w:qFormat/>
    <w:uiPriority w:val="11"/>
    <w:pPr>
      <w:spacing w:before="240" w:after="240" w:line="312" w:lineRule="auto"/>
      <w:jc w:val="center"/>
      <w:outlineLvl w:val="1"/>
    </w:pPr>
    <w:rPr>
      <w:rFonts w:ascii="等线" w:hAnsi="等线" w:eastAsia="等线"/>
      <w:kern w:val="28"/>
      <w:sz w:val="40"/>
      <w:szCs w:val="40"/>
    </w:rPr>
  </w:style>
  <w:style w:type="paragraph" w:styleId="9">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character" w:customStyle="1" w:styleId="12">
    <w:name w:val="副标题 Char"/>
    <w:basedOn w:val="11"/>
    <w:link w:val="8"/>
    <w:qFormat/>
    <w:uiPriority w:val="11"/>
    <w:rPr>
      <w:rFonts w:ascii="等线" w:hAnsi="等线" w:eastAsia="等线" w:cs="Times New Roman"/>
      <w:kern w:val="28"/>
      <w:sz w:val="40"/>
      <w:szCs w:val="40"/>
    </w:rPr>
  </w:style>
  <w:style w:type="character" w:customStyle="1" w:styleId="13">
    <w:name w:val="批注文字 Char"/>
    <w:basedOn w:val="11"/>
    <w:link w:val="3"/>
    <w:qFormat/>
    <w:uiPriority w:val="99"/>
    <w:rPr>
      <w:rFonts w:ascii="Times New Roman" w:hAnsi="Times New Roman" w:eastAsia="宋体" w:cs="Times New Roman"/>
      <w:szCs w:val="24"/>
    </w:rPr>
  </w:style>
  <w:style w:type="character" w:customStyle="1" w:styleId="14">
    <w:name w:val="页脚 Char"/>
    <w:basedOn w:val="11"/>
    <w:link w:val="6"/>
    <w:qFormat/>
    <w:uiPriority w:val="0"/>
    <w:rPr>
      <w:rFonts w:ascii="Times New Roman" w:hAnsi="Times New Roman" w:eastAsia="宋体" w:cs="Times New Roman"/>
      <w:sz w:val="18"/>
      <w:szCs w:val="24"/>
    </w:rPr>
  </w:style>
  <w:style w:type="character" w:customStyle="1" w:styleId="15">
    <w:name w:val="正文文本 Char"/>
    <w:basedOn w:val="11"/>
    <w:link w:val="4"/>
    <w:qFormat/>
    <w:uiPriority w:val="0"/>
    <w:rPr>
      <w:rFonts w:ascii="Times New Roman" w:hAnsi="Times New Roman" w:eastAsia="宋体" w:cs="Times New Roman"/>
      <w:szCs w:val="24"/>
    </w:rPr>
  </w:style>
  <w:style w:type="paragraph" w:styleId="16">
    <w:name w:val="List Paragraph"/>
    <w:basedOn w:val="1"/>
    <w:qFormat/>
    <w:uiPriority w:val="34"/>
    <w:pPr>
      <w:ind w:firstLine="420" w:firstLineChars="200"/>
    </w:pPr>
  </w:style>
  <w:style w:type="character" w:customStyle="1" w:styleId="17">
    <w:name w:val="页眉 Char"/>
    <w:basedOn w:val="11"/>
    <w:link w:val="7"/>
    <w:qFormat/>
    <w:uiPriority w:val="99"/>
    <w:rPr>
      <w:rFonts w:ascii="Times New Roman" w:hAnsi="Times New Roman" w:eastAsia="宋体" w:cs="Times New Roman"/>
      <w:sz w:val="18"/>
      <w:szCs w:val="18"/>
    </w:rPr>
  </w:style>
  <w:style w:type="character" w:customStyle="1" w:styleId="18">
    <w:name w:val="font11"/>
    <w:basedOn w:val="11"/>
    <w:autoRedefine/>
    <w:qFormat/>
    <w:uiPriority w:val="0"/>
    <w:rPr>
      <w:rFonts w:hint="eastAsia" w:ascii="宋体" w:hAnsi="宋体" w:eastAsia="宋体" w:cs="宋体"/>
      <w:b/>
      <w:bCs/>
      <w:color w:val="000000"/>
      <w:sz w:val="24"/>
      <w:szCs w:val="24"/>
      <w:u w:val="none"/>
    </w:rPr>
  </w:style>
  <w:style w:type="character" w:customStyle="1" w:styleId="19">
    <w:name w:val="批注框文本 Char"/>
    <w:basedOn w:val="11"/>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B1FE4A-93FD-4788-9AD8-F15D01095816}">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37</Pages>
  <Words>8563</Words>
  <Characters>8762</Characters>
  <Lines>74</Lines>
  <Paragraphs>20</Paragraphs>
  <TotalTime>4</TotalTime>
  <ScaleCrop>false</ScaleCrop>
  <LinksUpToDate>false</LinksUpToDate>
  <CharactersWithSpaces>8975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2024-06-07T03:49:00Z</dcterms:created>
  <dc:creator>汤世彤</dc:creator>
  <cp:lastModifiedBy>追风少年</cp:lastModifiedBy>
  <dcterms:modified xsi:type="dcterms:W3CDTF">2025-07-11T09:29:46Z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eyJoZGlkIjoiZDY3YjMwYmE1YWU5MWEzZDliZTU5MmZhYTVmY2JhNGUiLCJ1c2VySWQiOiIyNjE0NTYyNTEifQ==</vt:lpwstr>
  </property>
  <property fmtid="{D5CDD505-2E9C-101B-9397-08002B2CF9AE}" pid="3" name="KSOProductBuildVer">
    <vt:lpwstr>2052-12.1.0.21541</vt:lpwstr>
  </property>
  <property fmtid="{D5CDD505-2E9C-101B-9397-08002B2CF9AE}" pid="4" name="ICV">
    <vt:lpwstr>28EBD0DA637B480795CB2ACB64897843_12</vt:lpwstr>
  </property>
</Properties>
</file>