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ind w:firstLine="640"/>
        <w:jc w:val="center"/>
        <w:textAlignment w:val="auto"/>
        <w:rPr>
          <w:rFonts w:hint="eastAsia"/>
          <w:color w:val="FFFFFF"/>
        </w:rPr>
      </w:pPr>
      <w:bookmarkStart w:id="0" w:name="_GoBack"/>
      <w:bookmarkEnd w:id="0"/>
    </w:p>
    <w:p>
      <w:pPr>
        <w:spacing w:line="560" w:lineRule="exact"/>
        <w:ind w:firstLine="0" w:firstLineChars="0"/>
        <w:jc w:val="center"/>
        <w:rPr>
          <w:rFonts w:hint="eastAsia" w:ascii="仿宋_GB2312"/>
        </w:rPr>
      </w:pPr>
      <w:r>
        <w:rPr>
          <w:rFonts w:ascii="仿宋_GB2312" w:eastAsia="仿宋_GB2312"/>
          <w:sz w:val="20"/>
          <w:highlight w:val="red"/>
        </w:rPr>
        <w:pict>
          <v:shape id="_x0000_s1040" o:spid="_x0000_s1040" o:spt="136" type="#_x0000_t136" style="position:absolute;left:0pt;margin-left:-0.5pt;margin-top:6pt;height:47.35pt;width:441.3pt;z-index:251660288;mso-width-relative:page;mso-height-relative:page;" fillcolor="#FF0000" filled="t" stroked="t" coordsize="21600,21600" adj="10800">
            <v:path/>
            <v:fill on="t" color2="#FFFFFF" focussize="0,0"/>
            <v:stroke color="#FFFFFF"/>
            <v:imagedata o:title=""/>
            <o:lock v:ext="edit" aspectratio="f"/>
            <v:textpath on="t" fitshape="t" fitpath="t" trim="t" xscale="f" string="昆明市东川区财政局文件" style="font-family:华文中宋;font-size:24pt;font-weight:bold;v-rotate-letters:f;v-same-letter-heights:t;v-text-align:center;"/>
          </v:shape>
        </w:pict>
      </w:r>
    </w:p>
    <w:p>
      <w:pPr>
        <w:spacing w:line="560" w:lineRule="exact"/>
        <w:ind w:firstLine="0" w:firstLineChars="0"/>
        <w:jc w:val="center"/>
        <w:rPr>
          <w:rFonts w:hint="eastAsia" w:ascii="仿宋_GB2312"/>
        </w:rPr>
      </w:pPr>
    </w:p>
    <w:p>
      <w:pPr>
        <w:keepNext w:val="0"/>
        <w:keepLines w:val="0"/>
        <w:pageBreakBefore w:val="0"/>
        <w:widowControl/>
        <w:kinsoku/>
        <w:wordWrap/>
        <w:overflowPunct/>
        <w:topLinePunct w:val="0"/>
        <w:autoSpaceDE/>
        <w:autoSpaceDN/>
        <w:bidi w:val="0"/>
        <w:adjustRightInd/>
        <w:snapToGrid/>
        <w:spacing w:line="737" w:lineRule="atLeast"/>
        <w:ind w:firstLine="0" w:firstLineChars="0"/>
        <w:jc w:val="center"/>
        <w:textAlignment w:val="auto"/>
        <w:rPr>
          <w:rFonts w:hint="eastAsia" w:ascii="仿宋_GB2312"/>
        </w:rPr>
      </w:pPr>
    </w:p>
    <w:p>
      <w:pPr>
        <w:spacing w:line="560" w:lineRule="exact"/>
        <w:ind w:firstLine="0" w:firstLineChars="0"/>
        <w:jc w:val="center"/>
        <w:rPr>
          <w:rFonts w:hint="eastAsia"/>
          <w:color w:val="FFFFFF"/>
        </w:rPr>
      </w:pPr>
      <w:r>
        <w:rPr>
          <w:rFonts w:hint="eastAsia" w:ascii="仿宋_GB2312"/>
        </w:rPr>
        <w:t>东财</w:t>
      </w:r>
      <w:r>
        <w:rPr>
          <w:rFonts w:hint="eastAsia" w:ascii="仿宋_GB2312"/>
          <w:lang w:val="en-US" w:eastAsia="zh-CN"/>
        </w:rPr>
        <w:t>整合</w:t>
      </w:r>
      <w:r>
        <w:rPr>
          <w:rFonts w:hint="eastAsia" w:ascii="仿宋_GB2312"/>
        </w:rPr>
        <w:t>〔202</w:t>
      </w:r>
      <w:r>
        <w:rPr>
          <w:rFonts w:hint="eastAsia" w:ascii="仿宋_GB2312"/>
          <w:lang w:val="en-US" w:eastAsia="zh-CN"/>
        </w:rPr>
        <w:t>4</w:t>
      </w:r>
      <w:r>
        <w:rPr>
          <w:rFonts w:hint="eastAsia" w:ascii="仿宋_GB2312"/>
        </w:rPr>
        <w:t>〕</w:t>
      </w:r>
      <w:r>
        <w:rPr>
          <w:rFonts w:hint="eastAsia" w:ascii="仿宋_GB2312"/>
          <w:lang w:val="en-US" w:eastAsia="zh-CN"/>
        </w:rPr>
        <w:t>11</w:t>
      </w:r>
      <w:r>
        <w:rPr>
          <w:rFonts w:hint="eastAsia" w:ascii="仿宋_GB2312"/>
        </w:rPr>
        <w:t>号</w:t>
      </w:r>
    </w:p>
    <w:p>
      <w:pPr>
        <w:spacing w:line="460" w:lineRule="exact"/>
        <w:ind w:firstLine="640"/>
        <w:jc w:val="center"/>
        <w:rPr>
          <w:rFonts w:hint="default"/>
          <w:color w:val="FFFFFF"/>
          <w:lang w:val="en-US"/>
        </w:rPr>
      </w:pPr>
      <w:r>
        <w:rPr>
          <w:rFonts w:hint="eastAsia"/>
          <w:color w:val="FFFFFF"/>
        </w:rPr>
        <w:pict>
          <v:line id="Line 8" o:spid="_x0000_s1037" o:spt="20" style="position:absolute;left:0pt;margin-left:-2.25pt;margin-top:11.15pt;height:0pt;width:447.85pt;z-index:251659264;mso-width-relative:page;mso-height-relative:page;" filled="f" stroked="t" coordsize="21600,21600">
            <v:path arrowok="t"/>
            <v:fill on="f" focussize="0,0"/>
            <v:stroke weight="2pt" color="#FF0000"/>
            <v:imagedata o:title=""/>
            <o:lock v:ext="edit" aspectratio="f"/>
          </v:line>
        </w:pict>
      </w:r>
      <w:r>
        <w:rPr>
          <w:rFonts w:hint="eastAsia"/>
          <w:color w:va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567" w:lineRule="exact"/>
        <w:ind w:firstLine="0" w:firstLineChars="0"/>
        <w:jc w:val="center"/>
        <w:textAlignment w:val="auto"/>
        <w:rPr>
          <w:rFonts w:hint="eastAsia" w:ascii="仿宋_GB2312"/>
        </w:rPr>
      </w:pPr>
    </w:p>
    <w:p>
      <w:pPr>
        <w:pStyle w:val="13"/>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cs="方正小标宋简体"/>
          <w:sz w:val="44"/>
          <w:szCs w:val="44"/>
          <w:lang w:eastAsia="zh-CN"/>
        </w:rPr>
        <w:t>昆明市东川区财政局</w:t>
      </w:r>
      <w:r>
        <w:rPr>
          <w:rFonts w:hint="eastAsia" w:ascii="方正小标宋简体" w:hAnsi="方正小标宋简体" w:eastAsia="方正小标宋简体" w:cs="方正小标宋简体"/>
          <w:sz w:val="44"/>
          <w:szCs w:val="44"/>
        </w:rPr>
        <w:t>关于</w:t>
      </w:r>
      <w:r>
        <w:rPr>
          <w:rFonts w:hint="eastAsia" w:ascii="方正小标宋简体" w:hAnsi="方正小标宋简体" w:cs="方正小标宋简体"/>
          <w:sz w:val="44"/>
          <w:szCs w:val="44"/>
          <w:lang w:val="en-US" w:eastAsia="zh-CN"/>
        </w:rPr>
        <w:t>调整</w:t>
      </w:r>
      <w:r>
        <w:rPr>
          <w:rFonts w:hint="eastAsia" w:ascii="方正小标宋简体" w:hAnsi="方正小标宋简体" w:eastAsia="方正小标宋简体" w:cs="方正小标宋简体"/>
          <w:sz w:val="44"/>
          <w:szCs w:val="44"/>
        </w:rPr>
        <w:t>下达东川区202</w:t>
      </w:r>
      <w:r>
        <w:rPr>
          <w:rFonts w:hint="eastAsia" w:ascii="方正小标宋简体" w:hAnsi="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统筹整合使用财政涉农</w:t>
      </w:r>
    </w:p>
    <w:p>
      <w:pPr>
        <w:pStyle w:val="13"/>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rPr>
      </w:pPr>
      <w:r>
        <w:rPr>
          <w:rFonts w:hint="eastAsia" w:ascii="方正小标宋简体" w:hAnsi="方正小标宋简体" w:eastAsia="方正小标宋简体" w:cs="方正小标宋简体"/>
          <w:sz w:val="44"/>
          <w:szCs w:val="44"/>
        </w:rPr>
        <w:t>资金的通知</w:t>
      </w:r>
      <w:r>
        <w:rPr>
          <w:rFonts w:hint="eastAsia" w:ascii="方正小标宋简体" w:hAnsi="方正小标宋简体" w:eastAsia="方正小标宋简体" w:cs="方正小标宋简体"/>
          <w:sz w:val="44"/>
          <w:szCs w:val="44"/>
        </w:rPr>
        <w:br w:type="textWrapping"/>
      </w:r>
    </w:p>
    <w:p>
      <w:pPr>
        <w:pStyle w:val="24"/>
        <w:keepNext w:val="0"/>
        <w:keepLines w:val="0"/>
        <w:pageBreakBefore w:val="0"/>
        <w:widowControl w:val="0"/>
        <w:kinsoku/>
        <w:wordWrap/>
        <w:overflowPunct/>
        <w:topLinePunct w:val="0"/>
        <w:autoSpaceDE/>
        <w:autoSpaceDN w:val="0"/>
        <w:bidi w:val="0"/>
        <w:adjustRightInd/>
        <w:snapToGrid/>
        <w:spacing w:line="520" w:lineRule="exact"/>
        <w:ind w:left="0" w:leftChars="0" w:firstLine="0" w:firstLineChars="0"/>
        <w:jc w:val="both"/>
        <w:textAlignment w:val="auto"/>
        <w:rPr>
          <w:rFonts w:hint="eastAsia"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val="en-US" w:eastAsia="zh-CN"/>
        </w:rPr>
        <w:t>区农业农村局、区水务局，铜都街道、红土地镇、乌龙镇</w:t>
      </w:r>
      <w:r>
        <w:rPr>
          <w:rFonts w:hint="eastAsia" w:eastAsia="仿宋_GB2312" w:cs="Times New Roman"/>
          <w:sz w:val="32"/>
          <w:szCs w:val="32"/>
          <w:highlight w:val="none"/>
          <w:lang w:eastAsia="zh-CN"/>
        </w:rPr>
        <w:t>：</w:t>
      </w:r>
    </w:p>
    <w:p>
      <w:pPr>
        <w:pStyle w:val="24"/>
        <w:keepNext w:val="0"/>
        <w:keepLines w:val="0"/>
        <w:pageBreakBefore w:val="0"/>
        <w:widowControl w:val="0"/>
        <w:kinsoku/>
        <w:wordWrap/>
        <w:overflowPunct/>
        <w:topLinePunct w:val="0"/>
        <w:autoSpaceDE/>
        <w:autoSpaceDN w:val="0"/>
        <w:bidi w:val="0"/>
        <w:adjustRightInd/>
        <w:snapToGrid/>
        <w:spacing w:line="520" w:lineRule="exact"/>
        <w:ind w:firstLine="640" w:firstLineChars="200"/>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highlight w:val="none"/>
        </w:rPr>
        <w:t>根据</w:t>
      </w:r>
      <w:r>
        <w:rPr>
          <w:rFonts w:hint="eastAsia" w:eastAsia="仿宋_GB2312" w:cs="Times New Roman"/>
          <w:sz w:val="32"/>
          <w:szCs w:val="32"/>
          <w:highlight w:val="none"/>
          <w:lang w:val="en-US" w:eastAsia="zh-CN"/>
        </w:rPr>
        <w:t>项目实施情况需要</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highlight w:val="none"/>
        </w:rPr>
        <w:t>现</w:t>
      </w:r>
      <w:r>
        <w:rPr>
          <w:rFonts w:hint="eastAsia" w:eastAsia="仿宋_GB2312" w:cs="Times New Roman"/>
          <w:sz w:val="32"/>
          <w:szCs w:val="32"/>
          <w:highlight w:val="none"/>
          <w:lang w:val="en-US" w:eastAsia="zh-CN"/>
        </w:rPr>
        <w:t>调整</w:t>
      </w:r>
      <w:r>
        <w:rPr>
          <w:rFonts w:hint="default" w:ascii="Times New Roman" w:hAnsi="Times New Roman" w:eastAsia="仿宋_GB2312" w:cs="Times New Roman"/>
          <w:sz w:val="32"/>
          <w:szCs w:val="32"/>
          <w:highlight w:val="none"/>
        </w:rPr>
        <w:t>下达</w:t>
      </w:r>
      <w:r>
        <w:rPr>
          <w:rFonts w:hint="eastAsia" w:eastAsia="仿宋_GB2312" w:cs="Times New Roman"/>
          <w:sz w:val="32"/>
          <w:szCs w:val="32"/>
          <w:highlight w:val="none"/>
          <w:lang w:val="en-US" w:eastAsia="zh-CN"/>
        </w:rPr>
        <w:t>东川区</w:t>
      </w:r>
      <w:r>
        <w:rPr>
          <w:rFonts w:hint="default" w:ascii="Times New Roman" w:hAnsi="Times New Roman" w:eastAsia="仿宋_GB2312" w:cs="Times New Roman"/>
          <w:sz w:val="32"/>
          <w:szCs w:val="32"/>
          <w:highlight w:val="none"/>
        </w:rPr>
        <w:t>2024</w:t>
      </w:r>
      <w:r>
        <w:rPr>
          <w:rFonts w:hint="default" w:ascii="Times New Roman" w:hAnsi="Times New Roman" w:eastAsia="仿宋_GB2312" w:cs="Times New Roman"/>
          <w:spacing w:val="-6"/>
          <w:sz w:val="32"/>
          <w:szCs w:val="32"/>
          <w:highlight w:val="none"/>
        </w:rPr>
        <w:t>年第</w:t>
      </w:r>
      <w:r>
        <w:rPr>
          <w:rFonts w:hint="eastAsia" w:eastAsia="仿宋_GB2312" w:cs="Times New Roman"/>
          <w:spacing w:val="-6"/>
          <w:sz w:val="32"/>
          <w:szCs w:val="32"/>
          <w:highlight w:val="none"/>
          <w:lang w:val="en-US" w:eastAsia="zh-CN"/>
        </w:rPr>
        <w:t>一、六、八</w:t>
      </w:r>
      <w:r>
        <w:rPr>
          <w:rFonts w:hint="default" w:ascii="Times New Roman" w:hAnsi="Times New Roman" w:eastAsia="仿宋_GB2312" w:cs="Times New Roman"/>
          <w:spacing w:val="-6"/>
          <w:sz w:val="32"/>
          <w:szCs w:val="32"/>
          <w:highlight w:val="none"/>
        </w:rPr>
        <w:t>批整合使用财政涉农资金给你们，并就有关事项通知如下：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严格资金管理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cs="Times New Roman"/>
          <w:lang w:eastAsia="zh-CN"/>
        </w:rPr>
      </w:pPr>
      <w:r>
        <w:rPr>
          <w:rFonts w:hint="default" w:ascii="Times New Roman" w:hAnsi="Times New Roman" w:cs="Times New Roman"/>
          <w:lang w:eastAsia="zh-CN"/>
        </w:rPr>
        <w:t>严格执行《东川区统筹整合使用财政涉农资金管理办法（修订）》（东政发〔2018〕98号）和《东川区2021年统筹整合使用财政涉农资金管理办法补充规定》（东政办发〔2021〕113号），加强资金管理，不得虚报、冒领、截留、挤占、挪用财政涉农资金。严格执行《东川区统筹整合使用财政涉农资金管理办法补充规定》（东政发〔2019〕42号）和《关于进一步规范财政衔接资金项目管理费支出的通知》（东财便笺〔2022〕117号），按要求列支项目管理费。</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严格项目管理</w:t>
      </w:r>
    </w:p>
    <w:p>
      <w:pPr>
        <w:pStyle w:val="2"/>
        <w:keepNext w:val="0"/>
        <w:keepLines w:val="0"/>
        <w:pageBreakBefore w:val="0"/>
        <w:widowControl w:val="0"/>
        <w:kinsoku/>
        <w:wordWrap/>
        <w:overflowPunct/>
        <w:topLinePunct w:val="0"/>
        <w:autoSpaceDE/>
        <w:bidi w:val="0"/>
        <w:adjustRightInd/>
        <w:snapToGrid/>
        <w:spacing w:line="520" w:lineRule="exact"/>
        <w:textAlignment w:val="auto"/>
        <w:rPr>
          <w:rFonts w:hint="default" w:ascii="Times New Roman" w:hAnsi="Times New Roman" w:cs="Times New Roman"/>
          <w:lang w:eastAsia="zh-CN"/>
        </w:rPr>
      </w:pPr>
      <w:r>
        <w:rPr>
          <w:rFonts w:hint="default" w:ascii="Times New Roman" w:hAnsi="Times New Roman" w:cs="Times New Roman"/>
          <w:highlight w:val="none"/>
          <w:lang w:val="en-US" w:eastAsia="zh-CN"/>
        </w:rPr>
        <w:t>项目建设管理严格按相关管理规定执行，</w:t>
      </w:r>
      <w:r>
        <w:rPr>
          <w:rFonts w:hint="default" w:ascii="Times New Roman" w:hAnsi="Times New Roman" w:cs="Times New Roman"/>
          <w:lang w:eastAsia="zh-CN"/>
        </w:rPr>
        <w:t>任何单位和个人不得擅自调整、变更下达的项目资金使用方向，因特殊情况确需调整和变更的，严格按照相关</w:t>
      </w:r>
      <w:r>
        <w:rPr>
          <w:rFonts w:hint="default" w:ascii="Times New Roman" w:hAnsi="Times New Roman" w:cs="Times New Roman"/>
          <w:lang w:val="en-US" w:eastAsia="zh-CN"/>
        </w:rPr>
        <w:t>程序报批</w:t>
      </w:r>
      <w:r>
        <w:rPr>
          <w:rFonts w:hint="default" w:ascii="Times New Roman" w:hAnsi="Times New Roman" w:cs="Times New Roman"/>
          <w:lang w:eastAsia="zh-CN"/>
        </w:rPr>
        <w:t>。</w:t>
      </w:r>
    </w:p>
    <w:p>
      <w:pPr>
        <w:keepNext w:val="0"/>
        <w:keepLines w:val="0"/>
        <w:pageBreakBefore w:val="0"/>
        <w:widowControl w:val="0"/>
        <w:numPr>
          <w:ilvl w:val="0"/>
          <w:numId w:val="1"/>
        </w:numPr>
        <w:kinsoku/>
        <w:wordWrap/>
        <w:overflowPunct/>
        <w:topLinePunct w:val="0"/>
        <w:autoSpaceDE/>
        <w:bidi w:val="0"/>
        <w:adjustRightInd/>
        <w:snapToGrid/>
        <w:spacing w:line="520" w:lineRule="exact"/>
        <w:ind w:left="0" w:lef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严格绩效</w:t>
      </w:r>
      <w:r>
        <w:rPr>
          <w:rFonts w:hint="default" w:ascii="Times New Roman" w:hAnsi="Times New Roman" w:eastAsia="黑体" w:cs="Times New Roman"/>
          <w:sz w:val="32"/>
          <w:szCs w:val="32"/>
          <w:lang w:eastAsia="zh-CN"/>
        </w:rPr>
        <w:t>管理</w:t>
      </w:r>
    </w:p>
    <w:p>
      <w:pPr>
        <w:pStyle w:val="2"/>
        <w:keepNext w:val="0"/>
        <w:keepLines w:val="0"/>
        <w:pageBreakBefore w:val="0"/>
        <w:widowControl w:val="0"/>
        <w:kinsoku/>
        <w:wordWrap/>
        <w:overflowPunct/>
        <w:topLinePunct w:val="0"/>
        <w:autoSpaceDE/>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t>各资金使用单位要根据项目实施方案、设计等资料，将区级行业部门联审通过的绩效目标录入“云南财政·预算管理一体化服务平台”，加强绩效管理。</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严格公告公示</w:t>
      </w:r>
    </w:p>
    <w:p>
      <w:pPr>
        <w:pStyle w:val="2"/>
        <w:keepNext w:val="0"/>
        <w:keepLines w:val="0"/>
        <w:pageBreakBefore w:val="0"/>
        <w:widowControl w:val="0"/>
        <w:kinsoku/>
        <w:wordWrap/>
        <w:overflowPunct/>
        <w:topLinePunct w:val="0"/>
        <w:autoSpaceDE/>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t>严格执行《昆明市衔接推进乡村振兴补助资金项目公示公告实施办法》（昆乡振发〔2022〕12号）</w:t>
      </w:r>
      <w:r>
        <w:rPr>
          <w:rFonts w:hint="default" w:ascii="Times New Roman" w:hAnsi="Times New Roman" w:cs="Times New Roman"/>
          <w:highlight w:val="none"/>
        </w:rPr>
        <w:t>，</w:t>
      </w:r>
      <w:r>
        <w:rPr>
          <w:rFonts w:hint="default" w:ascii="Times New Roman" w:hAnsi="Times New Roman" w:cs="Times New Roman"/>
        </w:rPr>
        <w:t>将项目资金进行公告公示，接受社会和群众的监督。</w:t>
      </w:r>
    </w:p>
    <w:p>
      <w:pPr>
        <w:pStyle w:val="2"/>
        <w:keepNext w:val="0"/>
        <w:keepLines w:val="0"/>
        <w:pageBreakBefore w:val="0"/>
        <w:widowControl w:val="0"/>
        <w:kinsoku/>
        <w:wordWrap/>
        <w:overflowPunct/>
        <w:topLinePunct w:val="0"/>
        <w:autoSpaceDE/>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t>请项目实施单位收文后及时在“云南财政·预算管理一体化服务平台”中申报项目，按程序向区财政局申请拨付资金。</w:t>
      </w:r>
    </w:p>
    <w:p>
      <w:pPr>
        <w:pStyle w:val="2"/>
        <w:keepNext w:val="0"/>
        <w:keepLines w:val="0"/>
        <w:pageBreakBefore w:val="0"/>
        <w:widowControl/>
        <w:kinsoku/>
        <w:wordWrap/>
        <w:overflowPunct/>
        <w:topLinePunct w:val="0"/>
        <w:autoSpaceDE/>
        <w:autoSpaceDN/>
        <w:bidi w:val="0"/>
        <w:adjustRightInd/>
        <w:snapToGrid/>
        <w:spacing w:line="520" w:lineRule="exact"/>
        <w:ind w:left="1920" w:leftChars="200" w:hanging="1280" w:hangingChars="400"/>
        <w:textAlignment w:val="auto"/>
        <w:rPr>
          <w:rFonts w:hint="default" w:ascii="Times New Roman" w:hAnsi="Times New Roman" w:cs="Times New Roman"/>
        </w:rPr>
      </w:pPr>
    </w:p>
    <w:p>
      <w:pPr>
        <w:pStyle w:val="2"/>
        <w:keepNext w:val="0"/>
        <w:keepLines w:val="0"/>
        <w:pageBreakBefore w:val="0"/>
        <w:widowControl/>
        <w:kinsoku/>
        <w:wordWrap/>
        <w:overflowPunct/>
        <w:topLinePunct w:val="0"/>
        <w:autoSpaceDE/>
        <w:autoSpaceDN/>
        <w:bidi w:val="0"/>
        <w:adjustRightInd/>
        <w:snapToGrid/>
        <w:spacing w:line="520" w:lineRule="exact"/>
        <w:ind w:left="1920" w:leftChars="200" w:hanging="1280" w:hangingChars="400"/>
        <w:textAlignment w:val="auto"/>
        <w:rPr>
          <w:rFonts w:hint="default" w:ascii="Times New Roman" w:hAnsi="Times New Roman" w:cs="Times New Roman"/>
        </w:rPr>
      </w:pPr>
      <w:r>
        <w:rPr>
          <w:rFonts w:hint="default" w:ascii="Times New Roman" w:hAnsi="Times New Roman" w:cs="Times New Roman"/>
        </w:rPr>
        <w:t>附件：</w:t>
      </w:r>
      <w:r>
        <w:rPr>
          <w:rFonts w:hint="eastAsia" w:ascii="仿宋_GB2312" w:hAnsi="仿宋_GB2312" w:eastAsia="仿宋_GB2312" w:cs="仿宋_GB2312"/>
          <w:lang w:val="en-US" w:eastAsia="zh-CN"/>
        </w:rPr>
        <w:t>1.</w:t>
      </w:r>
      <w:r>
        <w:rPr>
          <w:rFonts w:hint="default" w:ascii="Times New Roman" w:hAnsi="Times New Roman" w:cs="Times New Roman"/>
        </w:rPr>
        <w:t>东川区202</w:t>
      </w:r>
      <w:r>
        <w:rPr>
          <w:rFonts w:hint="default" w:ascii="Times New Roman" w:hAnsi="Times New Roman" w:cs="Times New Roman"/>
          <w:lang w:val="en-US" w:eastAsia="zh-CN"/>
        </w:rPr>
        <w:t>4</w:t>
      </w:r>
      <w:r>
        <w:rPr>
          <w:rFonts w:hint="default" w:ascii="Times New Roman" w:hAnsi="Times New Roman" w:cs="Times New Roman"/>
        </w:rPr>
        <w:t>年统筹整合</w:t>
      </w:r>
      <w:r>
        <w:rPr>
          <w:rFonts w:hint="default" w:ascii="Times New Roman" w:hAnsi="Times New Roman" w:cs="Times New Roman"/>
          <w:lang w:val="en-US" w:eastAsia="zh-CN"/>
        </w:rPr>
        <w:t>使用</w:t>
      </w:r>
      <w:r>
        <w:rPr>
          <w:rFonts w:hint="default" w:ascii="Times New Roman" w:hAnsi="Times New Roman" w:cs="Times New Roman"/>
        </w:rPr>
        <w:t>财政涉农资金</w:t>
      </w:r>
      <w:r>
        <w:rPr>
          <w:rFonts w:hint="eastAsia" w:ascii="Times New Roman" w:hAnsi="Times New Roman" w:cs="Times New Roman"/>
          <w:lang w:val="en-US" w:eastAsia="zh-CN"/>
        </w:rPr>
        <w:t>调整</w:t>
      </w:r>
      <w:r>
        <w:rPr>
          <w:rFonts w:hint="default" w:ascii="Times New Roman" w:hAnsi="Times New Roman" w:cs="Times New Roman"/>
        </w:rPr>
        <w:t>计划表</w:t>
      </w:r>
    </w:p>
    <w:p>
      <w:pPr>
        <w:pStyle w:val="2"/>
        <w:keepNext w:val="0"/>
        <w:keepLines w:val="0"/>
        <w:pageBreakBefore w:val="0"/>
        <w:widowControl/>
        <w:kinsoku/>
        <w:wordWrap/>
        <w:overflowPunct/>
        <w:topLinePunct w:val="0"/>
        <w:autoSpaceDE/>
        <w:autoSpaceDN/>
        <w:bidi w:val="0"/>
        <w:adjustRightInd/>
        <w:snapToGrid/>
        <w:spacing w:line="520" w:lineRule="exact"/>
        <w:ind w:left="0" w:leftChars="0" w:firstLine="1628" w:firstLineChars="509"/>
        <w:textAlignment w:val="auto"/>
        <w:rPr>
          <w:rFonts w:hint="default" w:ascii="Times New Roman" w:hAnsi="Times New Roman" w:cs="Times New Roman"/>
          <w:lang w:val="en-US" w:eastAsia="zh-CN"/>
        </w:rPr>
      </w:pPr>
      <w:r>
        <w:rPr>
          <w:rFonts w:hint="default" w:ascii="仿宋_GB2312" w:hAnsi="仿宋_GB2312" w:eastAsia="仿宋_GB2312" w:cs="仿宋_GB2312"/>
          <w:lang w:val="en-US" w:eastAsia="zh-CN"/>
        </w:rPr>
        <w:t>2.</w:t>
      </w:r>
      <w:r>
        <w:rPr>
          <w:rFonts w:hint="eastAsia" w:ascii="仿宋_GB2312" w:hAnsi="仿宋_GB2312" w:cs="仿宋_GB2312"/>
          <w:lang w:val="en-US" w:eastAsia="zh-CN"/>
        </w:rPr>
        <w:t>昆明市</w:t>
      </w:r>
      <w:r>
        <w:rPr>
          <w:rFonts w:hint="default" w:ascii="Times New Roman" w:hAnsi="Times New Roman" w:cs="Times New Roman"/>
          <w:lang w:val="en-US" w:eastAsia="zh-CN"/>
        </w:rPr>
        <w:t>东川区城乡供水调水工程项目绩效目标表</w:t>
      </w:r>
    </w:p>
    <w:p>
      <w:pPr>
        <w:pStyle w:val="2"/>
        <w:keepNext w:val="0"/>
        <w:keepLines w:val="0"/>
        <w:pageBreakBefore w:val="0"/>
        <w:widowControl/>
        <w:kinsoku/>
        <w:wordWrap/>
        <w:overflowPunct/>
        <w:topLinePunct w:val="0"/>
        <w:autoSpaceDE/>
        <w:autoSpaceDN/>
        <w:bidi w:val="0"/>
        <w:adjustRightInd/>
        <w:snapToGrid/>
        <w:spacing w:line="520" w:lineRule="exact"/>
        <w:textAlignment w:val="auto"/>
        <w:rPr>
          <w:rFonts w:hint="eastAsia"/>
        </w:rPr>
      </w:pPr>
      <w:r>
        <w:rPr>
          <w:sz w:val="32"/>
        </w:rPr>
        <w:pict>
          <v:shape id="_x0000_s1041" o:spid="_x0000_s1041" o:spt="201" type="#_x0000_t201" style="position:absolute;left:0pt;margin-left:261.75pt;margin-top:1.25pt;height:121pt;width:120pt;z-index:251661312;mso-width-relative:page;mso-height-relative:page;" o:ole="t" filled="f" o:preferrelative="t" stroked="f" coordsize="21600,21600">
            <v:path/>
            <v:fill on="f" focussize="0,0"/>
            <v:stroke on="f"/>
            <v:imagedata r:id="rId10" o:title=""/>
            <o:lock v:ext="edit" aspectratio="f"/>
          </v:shape>
          <w:control r:id="rId9" w:name="CWordOLECtrl1" w:shapeid="_x0000_s1041"/>
        </w:pict>
      </w:r>
    </w:p>
    <w:p>
      <w:pPr>
        <w:pStyle w:val="2"/>
        <w:keepNext w:val="0"/>
        <w:keepLines w:val="0"/>
        <w:pageBreakBefore w:val="0"/>
        <w:widowControl/>
        <w:kinsoku/>
        <w:wordWrap/>
        <w:overflowPunct/>
        <w:topLinePunct w:val="0"/>
        <w:autoSpaceDE/>
        <w:autoSpaceDN/>
        <w:bidi w:val="0"/>
        <w:adjustRightInd/>
        <w:snapToGrid/>
        <w:spacing w:line="52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left"/>
        <w:textAlignment w:val="auto"/>
        <w:rPr>
          <w:rFonts w:hint="eastAsia" w:ascii="仿宋_GB2312"/>
          <w:szCs w:val="32"/>
        </w:rPr>
      </w:pPr>
    </w:p>
    <w:p>
      <w:pPr>
        <w:keepNext w:val="0"/>
        <w:keepLines w:val="0"/>
        <w:pageBreakBefore w:val="0"/>
        <w:widowControl/>
        <w:kinsoku/>
        <w:wordWrap/>
        <w:overflowPunct/>
        <w:topLinePunct w:val="0"/>
        <w:autoSpaceDE/>
        <w:autoSpaceDN/>
        <w:bidi w:val="0"/>
        <w:adjustRightInd/>
        <w:snapToGrid/>
        <w:spacing w:line="520" w:lineRule="exact"/>
        <w:ind w:firstLine="0" w:firstLineChars="0"/>
        <w:jc w:val="left"/>
        <w:textAlignment w:val="auto"/>
        <w:rPr>
          <w:rFonts w:ascii="仿宋_GB2312"/>
          <w:szCs w:val="32"/>
        </w:rPr>
      </w:pPr>
      <w:r>
        <w:rPr>
          <w:rFonts w:hint="eastAsia" w:ascii="仿宋_GB2312"/>
          <w:szCs w:val="32"/>
        </w:rPr>
        <w:t xml:space="preserve">           </w:t>
      </w:r>
      <w:r>
        <w:rPr>
          <w:rFonts w:hint="eastAsia" w:ascii="仿宋_GB2312"/>
          <w:sz w:val="28"/>
          <w:szCs w:val="28"/>
        </w:rPr>
        <w:t xml:space="preserve">    </w:t>
      </w: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 xml:space="preserve"> </w:t>
      </w:r>
      <w:r>
        <w:rPr>
          <w:rFonts w:hint="eastAsia" w:ascii="仿宋_GB2312"/>
          <w:szCs w:val="32"/>
          <w:lang w:val="en-US" w:eastAsia="zh-CN"/>
        </w:rPr>
        <w:t xml:space="preserve"> </w:t>
      </w:r>
      <w:r>
        <w:rPr>
          <w:rFonts w:hint="eastAsia" w:ascii="仿宋_GB2312"/>
          <w:szCs w:val="32"/>
        </w:rPr>
        <w:t>202</w:t>
      </w:r>
      <w:r>
        <w:rPr>
          <w:rFonts w:hint="eastAsia" w:ascii="仿宋_GB2312"/>
          <w:szCs w:val="32"/>
          <w:lang w:val="en-US" w:eastAsia="zh-CN"/>
        </w:rPr>
        <w:t>4</w:t>
      </w:r>
      <w:r>
        <w:rPr>
          <w:rFonts w:hint="eastAsia" w:ascii="仿宋_GB2312"/>
          <w:szCs w:val="32"/>
        </w:rPr>
        <w:t>年</w:t>
      </w:r>
      <w:r>
        <w:rPr>
          <w:rFonts w:hint="eastAsia" w:ascii="仿宋_GB2312"/>
          <w:szCs w:val="32"/>
          <w:lang w:val="en-US" w:eastAsia="zh-CN"/>
        </w:rPr>
        <w:t>12</w:t>
      </w:r>
      <w:r>
        <w:rPr>
          <w:rFonts w:hint="eastAsia" w:ascii="仿宋_GB2312"/>
          <w:szCs w:val="32"/>
        </w:rPr>
        <w:t>月</w:t>
      </w:r>
      <w:r>
        <w:rPr>
          <w:rFonts w:hint="eastAsia" w:ascii="仿宋_GB2312"/>
          <w:szCs w:val="32"/>
          <w:lang w:val="en-US" w:eastAsia="zh-CN"/>
        </w:rPr>
        <w:t>28</w:t>
      </w:r>
      <w:r>
        <w:rPr>
          <w:rFonts w:hint="eastAsia" w:ascii="仿宋_GB2312"/>
          <w:szCs w:val="32"/>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szCs w:val="32"/>
          <w:lang w:eastAsia="zh-CN"/>
        </w:rPr>
      </w:pPr>
      <w:r>
        <w:rPr>
          <w:rFonts w:hint="eastAsia" w:ascii="仿宋_GB2312"/>
          <w:szCs w:val="32"/>
          <w:lang w:eastAsia="zh-CN"/>
        </w:rPr>
        <w:t>（此件公开发布）</w:t>
      </w:r>
    </w:p>
    <w:tbl>
      <w:tblPr>
        <w:tblStyle w:val="15"/>
        <w:tblpPr w:leftFromText="180" w:rightFromText="180" w:vertAnchor="text" w:horzAnchor="page" w:tblpX="1670" w:tblpY="65"/>
        <w:tblOverlap w:val="never"/>
        <w:tblW w:w="885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856" w:type="dxa"/>
            <w:vAlign w:val="center"/>
          </w:tcPr>
          <w:p>
            <w:pPr>
              <w:keepNext w:val="0"/>
              <w:keepLines w:val="0"/>
              <w:pageBreakBefore w:val="0"/>
              <w:widowControl/>
              <w:kinsoku/>
              <w:wordWrap/>
              <w:overflowPunct/>
              <w:topLinePunct w:val="0"/>
              <w:autoSpaceDE/>
              <w:autoSpaceDN/>
              <w:bidi w:val="0"/>
              <w:adjustRightInd/>
              <w:snapToGrid/>
              <w:spacing w:line="560" w:lineRule="exact"/>
              <w:ind w:left="160" w:leftChars="50" w:right="160" w:rightChars="50" w:firstLine="0" w:firstLineChars="0"/>
              <w:jc w:val="left"/>
              <w:textAlignment w:val="auto"/>
              <w:rPr>
                <w:rFonts w:ascii="仿宋_GB2312"/>
                <w:szCs w:val="32"/>
                <w:vertAlign w:val="baseline"/>
              </w:rPr>
            </w:pPr>
            <w:r>
              <w:rPr>
                <w:rFonts w:hint="eastAsia" w:ascii="仿宋_GB2312" w:hAnsi="宋体"/>
                <w:sz w:val="28"/>
                <w:szCs w:val="28"/>
              </w:rPr>
              <w:t>昆明市东川区财政局办公室               202</w:t>
            </w:r>
            <w:r>
              <w:rPr>
                <w:rFonts w:hint="eastAsia" w:ascii="仿宋_GB2312" w:hAnsi="宋体"/>
                <w:sz w:val="28"/>
                <w:szCs w:val="28"/>
                <w:lang w:val="en-US" w:eastAsia="zh-CN"/>
              </w:rPr>
              <w:t>4</w:t>
            </w:r>
            <w:r>
              <w:rPr>
                <w:rFonts w:hint="eastAsia" w:ascii="仿宋_GB2312" w:hAnsi="宋体"/>
                <w:sz w:val="28"/>
                <w:szCs w:val="28"/>
              </w:rPr>
              <w:t>年</w:t>
            </w:r>
            <w:r>
              <w:rPr>
                <w:rFonts w:hint="eastAsia" w:ascii="仿宋_GB2312" w:hAnsi="宋体"/>
                <w:sz w:val="28"/>
                <w:szCs w:val="28"/>
                <w:lang w:val="en-US" w:eastAsia="zh-CN"/>
              </w:rPr>
              <w:t>12</w:t>
            </w:r>
            <w:r>
              <w:rPr>
                <w:rFonts w:hint="eastAsia" w:ascii="仿宋_GB2312" w:hAnsi="宋体"/>
                <w:sz w:val="28"/>
                <w:szCs w:val="28"/>
              </w:rPr>
              <w:t>月</w:t>
            </w:r>
            <w:r>
              <w:rPr>
                <w:rFonts w:hint="eastAsia" w:ascii="仿宋_GB2312" w:hAnsi="宋体"/>
                <w:sz w:val="28"/>
                <w:szCs w:val="28"/>
                <w:lang w:val="en-US" w:eastAsia="zh-CN"/>
              </w:rPr>
              <w:t>28</w:t>
            </w:r>
            <w:r>
              <w:rPr>
                <w:rFonts w:hint="eastAsia" w:ascii="仿宋_GB2312" w:hAnsi="宋体"/>
                <w:sz w:val="28"/>
                <w:szCs w:val="28"/>
              </w:rPr>
              <w:t>日印发</w:t>
            </w:r>
          </w:p>
        </w:tc>
      </w:tr>
    </w:tbl>
    <w:p>
      <w:pPr>
        <w:keepNext w:val="0"/>
        <w:keepLines w:val="0"/>
        <w:pageBreakBefore w:val="0"/>
        <w:widowControl/>
        <w:kinsoku/>
        <w:wordWrap/>
        <w:overflowPunct/>
        <w:topLinePunct w:val="0"/>
        <w:autoSpaceDE/>
        <w:autoSpaceDN/>
        <w:bidi w:val="0"/>
        <w:adjustRightInd/>
        <w:snapToGrid/>
        <w:spacing w:line="20" w:lineRule="exact"/>
        <w:ind w:firstLine="0" w:firstLineChars="0"/>
        <w:jc w:val="left"/>
        <w:textAlignment w:val="auto"/>
        <w:rPr>
          <w:rFonts w:hint="eastAsia"/>
        </w:rPr>
      </w:pPr>
    </w:p>
    <w:sectPr>
      <w:headerReference r:id="rId4" w:type="first"/>
      <w:footerReference r:id="rId7" w:type="first"/>
      <w:footerReference r:id="rId5" w:type="default"/>
      <w:headerReference r:id="rId3" w:type="even"/>
      <w:footerReference r:id="rId6" w:type="even"/>
      <w:pgSz w:w="11907" w:h="16840"/>
      <w:pgMar w:top="2098" w:right="1474" w:bottom="1984" w:left="1587" w:header="850" w:footer="1587"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hint="eastAsia" w:asciiTheme="minorEastAsia" w:hAnsiTheme="minorEastAsia" w:eastAsiaTheme="minorEastAsia" w:cstheme="minorEastAsia"/>
        <w:sz w:val="28"/>
        <w:szCs w:val="28"/>
      </w:rPr>
    </w:pPr>
    <w:r>
      <w:rPr>
        <w:sz w:val="2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keepNext w:val="0"/>
                  <w:keepLines w:val="0"/>
                  <w:pageBreakBefore w:val="0"/>
                  <w:widowControl/>
                  <w:kinsoku/>
                  <w:wordWrap/>
                  <w:overflowPunct/>
                  <w:topLinePunct w:val="0"/>
                  <w:autoSpaceDE/>
                  <w:autoSpaceDN/>
                  <w:bidi w:val="0"/>
                  <w:adjustRightInd/>
                  <w:snapToGrid w:val="0"/>
                  <w:ind w:left="0" w:leftChars="0" w:right="320" w:rightChars="100" w:firstLine="0" w:firstLineChars="0"/>
                  <w:textAlignment w:val="auto"/>
                  <w:rPr>
                    <w:rFonts w:hint="eastAsia" w:eastAsia="仿宋_GB2312"/>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firstLine="360"/>
      <w:rPr>
        <w:rStyle w:val="18"/>
      </w:rPr>
    </w:pPr>
    <w:r>
      <w:fldChar w:fldCharType="begin"/>
    </w:r>
    <w:r>
      <w:rPr>
        <w:rStyle w:val="18"/>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20A50"/>
    <w:multiLevelType w:val="singleLevel"/>
    <w:tmpl w:val="B7A20A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forms" w:enforcement="1" w:cryptProviderType="rsaFull" w:cryptAlgorithmClass="hash" w:cryptAlgorithmType="typeAny" w:cryptAlgorithmSid="4" w:cryptSpinCount="0" w:hash="PCT0tsllyzdm7ajLbo2Q68YBla0=" w:salt="6vq+QJBbSt1/tWxJyJx3vg=="/>
  <w:defaultTabStop w:val="420"/>
  <w:drawingGridHorizontalSpacing w:val="160"/>
  <w:drawingGridVerticalSpacing w:val="43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CF5"/>
    <w:rsid w:val="0000302E"/>
    <w:rsid w:val="00014E1A"/>
    <w:rsid w:val="0002326B"/>
    <w:rsid w:val="00035A93"/>
    <w:rsid w:val="00053882"/>
    <w:rsid w:val="00061CAE"/>
    <w:rsid w:val="00071D31"/>
    <w:rsid w:val="00073F88"/>
    <w:rsid w:val="000816D4"/>
    <w:rsid w:val="00086C94"/>
    <w:rsid w:val="00087C78"/>
    <w:rsid w:val="000A39F9"/>
    <w:rsid w:val="000A4EF4"/>
    <w:rsid w:val="000B40B1"/>
    <w:rsid w:val="000D38E1"/>
    <w:rsid w:val="000E58AB"/>
    <w:rsid w:val="001075AE"/>
    <w:rsid w:val="001078A6"/>
    <w:rsid w:val="00110218"/>
    <w:rsid w:val="00115E49"/>
    <w:rsid w:val="0012290C"/>
    <w:rsid w:val="00132856"/>
    <w:rsid w:val="00140B22"/>
    <w:rsid w:val="001437FC"/>
    <w:rsid w:val="001473C7"/>
    <w:rsid w:val="0015123C"/>
    <w:rsid w:val="00151395"/>
    <w:rsid w:val="001673E5"/>
    <w:rsid w:val="00167486"/>
    <w:rsid w:val="0017572F"/>
    <w:rsid w:val="001B42AB"/>
    <w:rsid w:val="001C2A4F"/>
    <w:rsid w:val="001D0AE0"/>
    <w:rsid w:val="001D4763"/>
    <w:rsid w:val="001F5669"/>
    <w:rsid w:val="001F7221"/>
    <w:rsid w:val="00200D9B"/>
    <w:rsid w:val="00207D5C"/>
    <w:rsid w:val="00220D30"/>
    <w:rsid w:val="002219D4"/>
    <w:rsid w:val="002260CB"/>
    <w:rsid w:val="002333B6"/>
    <w:rsid w:val="00243E3E"/>
    <w:rsid w:val="0025078D"/>
    <w:rsid w:val="002728AF"/>
    <w:rsid w:val="002732E1"/>
    <w:rsid w:val="00287D10"/>
    <w:rsid w:val="0029302A"/>
    <w:rsid w:val="002B2873"/>
    <w:rsid w:val="002B6644"/>
    <w:rsid w:val="002C421A"/>
    <w:rsid w:val="002D180A"/>
    <w:rsid w:val="002D207C"/>
    <w:rsid w:val="002F4CCB"/>
    <w:rsid w:val="0032264C"/>
    <w:rsid w:val="0033108A"/>
    <w:rsid w:val="00350B4C"/>
    <w:rsid w:val="003538DE"/>
    <w:rsid w:val="00353EFB"/>
    <w:rsid w:val="003833BA"/>
    <w:rsid w:val="0038343B"/>
    <w:rsid w:val="003A0FC5"/>
    <w:rsid w:val="003A4EC2"/>
    <w:rsid w:val="003B69CF"/>
    <w:rsid w:val="003D17AB"/>
    <w:rsid w:val="003D20EF"/>
    <w:rsid w:val="003E29F8"/>
    <w:rsid w:val="003E5938"/>
    <w:rsid w:val="003E7D46"/>
    <w:rsid w:val="00406EB1"/>
    <w:rsid w:val="00410BF3"/>
    <w:rsid w:val="004119DC"/>
    <w:rsid w:val="00421713"/>
    <w:rsid w:val="00437836"/>
    <w:rsid w:val="00446C93"/>
    <w:rsid w:val="004475AC"/>
    <w:rsid w:val="00453CDD"/>
    <w:rsid w:val="00475D0B"/>
    <w:rsid w:val="00476CA4"/>
    <w:rsid w:val="00485DC6"/>
    <w:rsid w:val="0049239D"/>
    <w:rsid w:val="004925B8"/>
    <w:rsid w:val="004E231E"/>
    <w:rsid w:val="004E72FE"/>
    <w:rsid w:val="004F28F9"/>
    <w:rsid w:val="004F7212"/>
    <w:rsid w:val="00502972"/>
    <w:rsid w:val="00504F06"/>
    <w:rsid w:val="005100DB"/>
    <w:rsid w:val="0051124F"/>
    <w:rsid w:val="00521811"/>
    <w:rsid w:val="00556149"/>
    <w:rsid w:val="00557F6C"/>
    <w:rsid w:val="00561ABF"/>
    <w:rsid w:val="00584A8D"/>
    <w:rsid w:val="00586534"/>
    <w:rsid w:val="0058723C"/>
    <w:rsid w:val="00597942"/>
    <w:rsid w:val="00597D29"/>
    <w:rsid w:val="005C204D"/>
    <w:rsid w:val="005C685F"/>
    <w:rsid w:val="005C6A33"/>
    <w:rsid w:val="005F091A"/>
    <w:rsid w:val="00614D8C"/>
    <w:rsid w:val="00616119"/>
    <w:rsid w:val="006501E3"/>
    <w:rsid w:val="00655C07"/>
    <w:rsid w:val="00657068"/>
    <w:rsid w:val="00667C82"/>
    <w:rsid w:val="00670F31"/>
    <w:rsid w:val="006A32C1"/>
    <w:rsid w:val="006B30E1"/>
    <w:rsid w:val="006C792B"/>
    <w:rsid w:val="006D2E14"/>
    <w:rsid w:val="006D7873"/>
    <w:rsid w:val="00707A8F"/>
    <w:rsid w:val="00711018"/>
    <w:rsid w:val="007244FF"/>
    <w:rsid w:val="00730BF5"/>
    <w:rsid w:val="00750019"/>
    <w:rsid w:val="0075527B"/>
    <w:rsid w:val="00762282"/>
    <w:rsid w:val="00764230"/>
    <w:rsid w:val="00766B65"/>
    <w:rsid w:val="00775604"/>
    <w:rsid w:val="00792789"/>
    <w:rsid w:val="00796393"/>
    <w:rsid w:val="007A6F74"/>
    <w:rsid w:val="007B1060"/>
    <w:rsid w:val="007B4E72"/>
    <w:rsid w:val="007C53B3"/>
    <w:rsid w:val="007D3075"/>
    <w:rsid w:val="007D5F45"/>
    <w:rsid w:val="007E5976"/>
    <w:rsid w:val="007F4E80"/>
    <w:rsid w:val="00811579"/>
    <w:rsid w:val="0081705E"/>
    <w:rsid w:val="0081777A"/>
    <w:rsid w:val="0082196B"/>
    <w:rsid w:val="0083411E"/>
    <w:rsid w:val="008364B1"/>
    <w:rsid w:val="00840B36"/>
    <w:rsid w:val="00850F44"/>
    <w:rsid w:val="00857D29"/>
    <w:rsid w:val="00861995"/>
    <w:rsid w:val="00870B86"/>
    <w:rsid w:val="008733C8"/>
    <w:rsid w:val="00873E4D"/>
    <w:rsid w:val="0087440D"/>
    <w:rsid w:val="00875EE2"/>
    <w:rsid w:val="00876EE5"/>
    <w:rsid w:val="00886A67"/>
    <w:rsid w:val="00896E14"/>
    <w:rsid w:val="008B7D25"/>
    <w:rsid w:val="008D6A21"/>
    <w:rsid w:val="008E217E"/>
    <w:rsid w:val="008E2DF2"/>
    <w:rsid w:val="008E36F7"/>
    <w:rsid w:val="008F7291"/>
    <w:rsid w:val="008F77CC"/>
    <w:rsid w:val="00920F76"/>
    <w:rsid w:val="00923270"/>
    <w:rsid w:val="00924E8A"/>
    <w:rsid w:val="009302D2"/>
    <w:rsid w:val="00934699"/>
    <w:rsid w:val="00935F01"/>
    <w:rsid w:val="00937800"/>
    <w:rsid w:val="00951E49"/>
    <w:rsid w:val="00955D81"/>
    <w:rsid w:val="009631A5"/>
    <w:rsid w:val="009638C3"/>
    <w:rsid w:val="009743D7"/>
    <w:rsid w:val="00977C5C"/>
    <w:rsid w:val="0098035C"/>
    <w:rsid w:val="0098644A"/>
    <w:rsid w:val="00991977"/>
    <w:rsid w:val="009A245C"/>
    <w:rsid w:val="009B7656"/>
    <w:rsid w:val="009C772F"/>
    <w:rsid w:val="009D712D"/>
    <w:rsid w:val="009E4839"/>
    <w:rsid w:val="009F31CB"/>
    <w:rsid w:val="009F4CC6"/>
    <w:rsid w:val="009F654F"/>
    <w:rsid w:val="00A013BC"/>
    <w:rsid w:val="00A0546A"/>
    <w:rsid w:val="00A14AC7"/>
    <w:rsid w:val="00A15D21"/>
    <w:rsid w:val="00A20AE7"/>
    <w:rsid w:val="00A23A21"/>
    <w:rsid w:val="00A25F23"/>
    <w:rsid w:val="00A34A2A"/>
    <w:rsid w:val="00A41BE5"/>
    <w:rsid w:val="00A44A82"/>
    <w:rsid w:val="00A47109"/>
    <w:rsid w:val="00A549BC"/>
    <w:rsid w:val="00A55FD2"/>
    <w:rsid w:val="00A617FF"/>
    <w:rsid w:val="00A650D4"/>
    <w:rsid w:val="00A7063D"/>
    <w:rsid w:val="00A73A9C"/>
    <w:rsid w:val="00A74EAA"/>
    <w:rsid w:val="00A76675"/>
    <w:rsid w:val="00A93FB8"/>
    <w:rsid w:val="00A95354"/>
    <w:rsid w:val="00AA5374"/>
    <w:rsid w:val="00AA6A4A"/>
    <w:rsid w:val="00AB17BC"/>
    <w:rsid w:val="00AD08F4"/>
    <w:rsid w:val="00AD0CF5"/>
    <w:rsid w:val="00AD7F7C"/>
    <w:rsid w:val="00AE23B4"/>
    <w:rsid w:val="00AE38AA"/>
    <w:rsid w:val="00AE3BD9"/>
    <w:rsid w:val="00AE431E"/>
    <w:rsid w:val="00AF07C2"/>
    <w:rsid w:val="00AF7CAA"/>
    <w:rsid w:val="00B01D36"/>
    <w:rsid w:val="00B03647"/>
    <w:rsid w:val="00B03B00"/>
    <w:rsid w:val="00B169C6"/>
    <w:rsid w:val="00B2271C"/>
    <w:rsid w:val="00B27F5A"/>
    <w:rsid w:val="00B36EDF"/>
    <w:rsid w:val="00B37614"/>
    <w:rsid w:val="00B51C8A"/>
    <w:rsid w:val="00BA4F6E"/>
    <w:rsid w:val="00BB4422"/>
    <w:rsid w:val="00BB5D75"/>
    <w:rsid w:val="00BC3DC8"/>
    <w:rsid w:val="00BC5084"/>
    <w:rsid w:val="00BF0329"/>
    <w:rsid w:val="00BF6C45"/>
    <w:rsid w:val="00C01222"/>
    <w:rsid w:val="00C03E2E"/>
    <w:rsid w:val="00C1335E"/>
    <w:rsid w:val="00C241D8"/>
    <w:rsid w:val="00C33AB4"/>
    <w:rsid w:val="00C35A27"/>
    <w:rsid w:val="00C466F8"/>
    <w:rsid w:val="00C51ECE"/>
    <w:rsid w:val="00C52C15"/>
    <w:rsid w:val="00C55EF2"/>
    <w:rsid w:val="00C614DA"/>
    <w:rsid w:val="00C71588"/>
    <w:rsid w:val="00C71CB8"/>
    <w:rsid w:val="00C7244A"/>
    <w:rsid w:val="00C86BE2"/>
    <w:rsid w:val="00C924D3"/>
    <w:rsid w:val="00CA4509"/>
    <w:rsid w:val="00CB2C64"/>
    <w:rsid w:val="00CC196E"/>
    <w:rsid w:val="00CD0C12"/>
    <w:rsid w:val="00CF1071"/>
    <w:rsid w:val="00CF3CA5"/>
    <w:rsid w:val="00CF4F94"/>
    <w:rsid w:val="00CF550E"/>
    <w:rsid w:val="00CF58F7"/>
    <w:rsid w:val="00D01F5B"/>
    <w:rsid w:val="00D029B4"/>
    <w:rsid w:val="00D04E6E"/>
    <w:rsid w:val="00D0697E"/>
    <w:rsid w:val="00D079FF"/>
    <w:rsid w:val="00D14B31"/>
    <w:rsid w:val="00D20AB5"/>
    <w:rsid w:val="00D22EFB"/>
    <w:rsid w:val="00D24456"/>
    <w:rsid w:val="00D25961"/>
    <w:rsid w:val="00D31A75"/>
    <w:rsid w:val="00D64C49"/>
    <w:rsid w:val="00D67EBD"/>
    <w:rsid w:val="00D73B15"/>
    <w:rsid w:val="00D75D2D"/>
    <w:rsid w:val="00DB0C4F"/>
    <w:rsid w:val="00DD1E59"/>
    <w:rsid w:val="00DE0FEF"/>
    <w:rsid w:val="00DF0A49"/>
    <w:rsid w:val="00DF1237"/>
    <w:rsid w:val="00DF201B"/>
    <w:rsid w:val="00DF7ADF"/>
    <w:rsid w:val="00E05A4C"/>
    <w:rsid w:val="00E05B94"/>
    <w:rsid w:val="00E120E5"/>
    <w:rsid w:val="00E2167F"/>
    <w:rsid w:val="00E218D3"/>
    <w:rsid w:val="00E231F5"/>
    <w:rsid w:val="00E26654"/>
    <w:rsid w:val="00E27971"/>
    <w:rsid w:val="00E460DA"/>
    <w:rsid w:val="00E575B3"/>
    <w:rsid w:val="00E636EF"/>
    <w:rsid w:val="00E72253"/>
    <w:rsid w:val="00E73990"/>
    <w:rsid w:val="00E87253"/>
    <w:rsid w:val="00E92D9F"/>
    <w:rsid w:val="00E96077"/>
    <w:rsid w:val="00E96B02"/>
    <w:rsid w:val="00E97044"/>
    <w:rsid w:val="00EA1359"/>
    <w:rsid w:val="00EC4CE1"/>
    <w:rsid w:val="00EC5661"/>
    <w:rsid w:val="00EE1989"/>
    <w:rsid w:val="00EE49A4"/>
    <w:rsid w:val="00EE6B8B"/>
    <w:rsid w:val="00EF047D"/>
    <w:rsid w:val="00EF19C8"/>
    <w:rsid w:val="00EF5C9F"/>
    <w:rsid w:val="00F1032D"/>
    <w:rsid w:val="00F23330"/>
    <w:rsid w:val="00F368BB"/>
    <w:rsid w:val="00F44898"/>
    <w:rsid w:val="00F44FAD"/>
    <w:rsid w:val="00F54EB7"/>
    <w:rsid w:val="00F66A08"/>
    <w:rsid w:val="00F87068"/>
    <w:rsid w:val="00F967B3"/>
    <w:rsid w:val="00FA5A2F"/>
    <w:rsid w:val="00FB4944"/>
    <w:rsid w:val="00FD2CE2"/>
    <w:rsid w:val="00FF2AB6"/>
    <w:rsid w:val="00FF7981"/>
    <w:rsid w:val="022B5BF9"/>
    <w:rsid w:val="057F76D6"/>
    <w:rsid w:val="062E270A"/>
    <w:rsid w:val="097969CC"/>
    <w:rsid w:val="0A775C77"/>
    <w:rsid w:val="0AB029A5"/>
    <w:rsid w:val="0B8D4869"/>
    <w:rsid w:val="0BCB0DA2"/>
    <w:rsid w:val="0CCF2C80"/>
    <w:rsid w:val="0D667B33"/>
    <w:rsid w:val="11E72CA2"/>
    <w:rsid w:val="11FA6642"/>
    <w:rsid w:val="13721AF6"/>
    <w:rsid w:val="1A965EA4"/>
    <w:rsid w:val="1BFD0E97"/>
    <w:rsid w:val="1DB50A47"/>
    <w:rsid w:val="20345E42"/>
    <w:rsid w:val="21FE3DD6"/>
    <w:rsid w:val="257D1716"/>
    <w:rsid w:val="261F0E18"/>
    <w:rsid w:val="2677645E"/>
    <w:rsid w:val="270612A7"/>
    <w:rsid w:val="273A1CFE"/>
    <w:rsid w:val="28240DF8"/>
    <w:rsid w:val="2E181BB6"/>
    <w:rsid w:val="2EBB5D18"/>
    <w:rsid w:val="2ED0601A"/>
    <w:rsid w:val="327A048C"/>
    <w:rsid w:val="335B08D1"/>
    <w:rsid w:val="34E4566F"/>
    <w:rsid w:val="36D8765E"/>
    <w:rsid w:val="37045451"/>
    <w:rsid w:val="38224760"/>
    <w:rsid w:val="38974C6A"/>
    <w:rsid w:val="3B0B22F2"/>
    <w:rsid w:val="401B36AD"/>
    <w:rsid w:val="45E64CAE"/>
    <w:rsid w:val="46A27C90"/>
    <w:rsid w:val="47474C5A"/>
    <w:rsid w:val="476D293F"/>
    <w:rsid w:val="4A140C83"/>
    <w:rsid w:val="4B8156E4"/>
    <w:rsid w:val="4B8D34F8"/>
    <w:rsid w:val="4C0C5419"/>
    <w:rsid w:val="4C6B62AE"/>
    <w:rsid w:val="4F0746C0"/>
    <w:rsid w:val="54862B6F"/>
    <w:rsid w:val="55323983"/>
    <w:rsid w:val="56102D4B"/>
    <w:rsid w:val="5D1C3E86"/>
    <w:rsid w:val="66DD455C"/>
    <w:rsid w:val="699C1EAD"/>
    <w:rsid w:val="6A154DA9"/>
    <w:rsid w:val="6BE12F02"/>
    <w:rsid w:val="6DDE59E8"/>
    <w:rsid w:val="70F05DFA"/>
    <w:rsid w:val="74BC5EF2"/>
    <w:rsid w:val="79223763"/>
    <w:rsid w:val="793D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widowControl w:val="0"/>
      <w:ind w:firstLine="0" w:firstLineChars="0"/>
      <w:jc w:val="center"/>
      <w:outlineLvl w:val="0"/>
    </w:pPr>
    <w:rPr>
      <w:rFonts w:eastAsia="方正小标宋简体"/>
      <w:bCs/>
      <w:kern w:val="44"/>
      <w:sz w:val="44"/>
      <w:szCs w:val="44"/>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实施方案正文"/>
    <w:basedOn w:val="1"/>
    <w:qFormat/>
    <w:uiPriority w:val="99"/>
    <w:pPr>
      <w:ind w:firstLine="566" w:firstLineChars="202"/>
    </w:pPr>
    <w:rPr>
      <w:szCs w:val="28"/>
    </w:rPr>
  </w:style>
  <w:style w:type="paragraph" w:styleId="4">
    <w:name w:val="Body Text 3"/>
    <w:basedOn w:val="1"/>
    <w:qFormat/>
    <w:uiPriority w:val="0"/>
    <w:pPr>
      <w:ind w:firstLine="1500" w:firstLineChars="1500"/>
    </w:pPr>
    <w:rPr>
      <w:szCs w:val="16"/>
    </w:rPr>
  </w:style>
  <w:style w:type="paragraph" w:styleId="5">
    <w:name w:val="Body Text"/>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styleId="6">
    <w:name w:val="Body Text Indent"/>
    <w:basedOn w:val="1"/>
    <w:qFormat/>
    <w:uiPriority w:val="0"/>
    <w:pPr>
      <w:ind w:firstLine="1440"/>
      <w:jc w:val="center"/>
    </w:pPr>
    <w:rPr>
      <w:sz w:val="72"/>
    </w:rPr>
  </w:style>
  <w:style w:type="paragraph" w:styleId="7">
    <w:name w:val="Date"/>
    <w:basedOn w:val="1"/>
    <w:next w:val="1"/>
    <w:link w:val="20"/>
    <w:qFormat/>
    <w:uiPriority w:val="0"/>
    <w:pPr>
      <w:ind w:left="100" w:leftChars="2500"/>
    </w:pPr>
  </w:style>
  <w:style w:type="paragraph" w:styleId="8">
    <w:name w:val="Body Text Indent 2"/>
    <w:basedOn w:val="1"/>
    <w:qFormat/>
    <w:uiPriority w:val="0"/>
    <w:pPr>
      <w:spacing w:line="560" w:lineRule="exact"/>
      <w:ind w:firstLine="640"/>
    </w:pPr>
  </w:style>
  <w:style w:type="paragraph" w:styleId="9">
    <w:name w:val="footer"/>
    <w:basedOn w:val="1"/>
    <w:qFormat/>
    <w:uiPriority w:val="0"/>
    <w:pPr>
      <w:tabs>
        <w:tab w:val="center" w:pos="4153"/>
        <w:tab w:val="right" w:pos="8306"/>
      </w:tabs>
      <w:snapToGrid w:val="0"/>
      <w:spacing w:line="240" w:lineRule="atLeast"/>
      <w:jc w:val="left"/>
    </w:pPr>
    <w:rPr>
      <w:sz w:val="18"/>
      <w:szCs w:val="18"/>
    </w:rPr>
  </w:style>
  <w:style w:type="paragraph" w:styleId="10">
    <w:name w:val="header"/>
    <w:basedOn w:val="1"/>
    <w:qFormat/>
    <w:uiPriority w:val="0"/>
    <w:pPr>
      <w:widowControl w:val="0"/>
      <w:tabs>
        <w:tab w:val="center" w:pos="4153"/>
        <w:tab w:val="right" w:pos="8306"/>
      </w:tabs>
      <w:snapToGrid w:val="0"/>
      <w:spacing w:line="240" w:lineRule="auto"/>
      <w:ind w:firstLine="0" w:firstLineChars="0"/>
      <w:jc w:val="center"/>
    </w:pPr>
    <w:rPr>
      <w:rFonts w:eastAsia="宋体"/>
      <w:sz w:val="18"/>
      <w:szCs w:val="18"/>
    </w:rPr>
  </w:style>
  <w:style w:type="paragraph" w:styleId="11">
    <w:name w:val="Body Text 2"/>
    <w:qFormat/>
    <w:uiPriority w:val="0"/>
    <w:pPr>
      <w:spacing w:line="600" w:lineRule="exact"/>
    </w:pPr>
    <w:rPr>
      <w:rFonts w:ascii="Times New Roman" w:hAnsi="Times New Roman" w:eastAsia="仿宋_GB2312" w:cs="Times New Roman"/>
      <w:b/>
      <w:sz w:val="32"/>
      <w:u w:val="single"/>
      <w:lang w:val="en-US" w:eastAsia="zh-CN" w:bidi="ar-SA"/>
    </w:rPr>
  </w:style>
  <w:style w:type="paragraph" w:styleId="12">
    <w:name w:val="Normal (Web)"/>
    <w:basedOn w:val="1"/>
    <w:qFormat/>
    <w:uiPriority w:val="0"/>
    <w:pPr>
      <w:spacing w:before="100" w:beforeAutospacing="1" w:after="100" w:afterAutospacing="1" w:line="240" w:lineRule="auto"/>
      <w:ind w:firstLine="0" w:firstLineChars="0"/>
      <w:jc w:val="left"/>
    </w:pPr>
    <w:rPr>
      <w:rFonts w:eastAsia="宋体"/>
      <w:kern w:val="0"/>
      <w:sz w:val="24"/>
    </w:rPr>
  </w:style>
  <w:style w:type="paragraph" w:styleId="13">
    <w:name w:val="Title"/>
    <w:qFormat/>
    <w:uiPriority w:val="0"/>
    <w:pPr>
      <w:spacing w:line="620" w:lineRule="exact"/>
      <w:jc w:val="center"/>
    </w:pPr>
    <w:rPr>
      <w:rFonts w:ascii="Times New Roman" w:hAnsi="Times New Roman" w:eastAsia="方正小标宋简体" w:cs="Arial"/>
      <w:bCs/>
      <w:sz w:val="44"/>
      <w:szCs w:val="32"/>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customStyle="1" w:styleId="20">
    <w:name w:val="日期 Char"/>
    <w:basedOn w:val="16"/>
    <w:link w:val="7"/>
    <w:qFormat/>
    <w:locked/>
    <w:uiPriority w:val="0"/>
    <w:rPr>
      <w:rFonts w:eastAsia="仿宋_GB2312"/>
      <w:kern w:val="2"/>
      <w:sz w:val="32"/>
      <w:szCs w:val="24"/>
    </w:rPr>
  </w:style>
  <w:style w:type="paragraph" w:customStyle="1" w:styleId="21">
    <w:name w:val="样式1"/>
    <w:basedOn w:val="5"/>
    <w:qFormat/>
    <w:uiPriority w:val="0"/>
    <w:pPr>
      <w:ind w:firstLine="600" w:firstLineChars="200"/>
    </w:pPr>
    <w:rPr>
      <w:rFonts w:ascii="仿宋_GB2312"/>
      <w:sz w:val="30"/>
      <w:szCs w:val="30"/>
    </w:rPr>
  </w:style>
  <w:style w:type="paragraph" w:customStyle="1" w:styleId="22">
    <w:name w:val="主题词2"/>
    <w:qFormat/>
    <w:uiPriority w:val="0"/>
    <w:pPr>
      <w:widowControl w:val="0"/>
      <w:spacing w:line="620" w:lineRule="exact"/>
    </w:pPr>
    <w:rPr>
      <w:rFonts w:ascii="Times New Roman" w:hAnsi="Times New Roman" w:eastAsia="仿宋_GB2312" w:cs="Times New Roman"/>
      <w:b/>
      <w:sz w:val="32"/>
      <w:u w:val="single"/>
      <w:lang w:val="en-US" w:eastAsia="zh-CN" w:bidi="ar-SA"/>
    </w:rPr>
  </w:style>
  <w:style w:type="paragraph" w:customStyle="1" w:styleId="23">
    <w:name w:val="Char Char Char Char Char Char Char Char Char Char Char Char Char Char Char Char Char Char Char Char Char Char Char Char Char Char Char Char Char Char Char Char Char"/>
    <w:basedOn w:val="1"/>
    <w:qFormat/>
    <w:uiPriority w:val="0"/>
    <w:pPr>
      <w:spacing w:after="160" w:line="240" w:lineRule="exact"/>
      <w:ind w:firstLine="0" w:firstLineChars="0"/>
      <w:jc w:val="left"/>
    </w:pPr>
    <w:rPr>
      <w:rFonts w:ascii="Verdana" w:hAnsi="Verdana" w:cs="Verdana"/>
      <w:kern w:val="0"/>
      <w:sz w:val="24"/>
      <w:lang w:eastAsia="en-US"/>
    </w:rPr>
  </w:style>
  <w:style w:type="paragraph" w:customStyle="1" w:styleId="24">
    <w:name w:val="p0"/>
    <w:basedOn w:val="1"/>
    <w:qFormat/>
    <w:uiPriority w:val="0"/>
    <w:pPr>
      <w:widowControl/>
    </w:pPr>
    <w:rPr>
      <w:rFonts w:ascii="Times New Roman" w:hAnsi="Times New Roman"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40"/>
    <customShpInfo spid="_x0000_s1037"/>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Pages>
  <Words>81</Words>
  <Characters>464</Characters>
  <Lines>3</Lines>
  <Paragraphs>1</Paragraphs>
  <TotalTime>0</TotalTime>
  <ScaleCrop>false</ScaleCrop>
  <LinksUpToDate>false</LinksUpToDate>
  <CharactersWithSpaces>544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2020-01-21T07:20:00Z</dcterms:created>
  <dc:creator>zzz</dc:creator>
  <cp:lastModifiedBy>黄蓉</cp:lastModifiedBy>
  <cp:lastPrinted>2016-02-19T01:22:00Z</cp:lastPrinted>
  <dcterms:modified xsi:type="dcterms:W3CDTF">2024-12-30T01:57:56Z</dcterms:modified>
  <dc:title>昆明市东川区人民政府办公室文件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F3EF003532894B5D9C726B1C70513639</vt:lpwstr>
  </property>
</Properties>
</file>