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E963F">
      <w:pPr>
        <w:spacing w:line="360" w:lineRule="auto"/>
        <w:jc w:val="center"/>
        <w:rPr>
          <w:rFonts w:ascii="仿宋" w:hAnsi="仿宋" w:eastAsia="仿宋"/>
          <w:b/>
          <w:color w:val="000000"/>
          <w:sz w:val="40"/>
          <w:szCs w:val="24"/>
        </w:rPr>
      </w:pPr>
      <w:bookmarkStart w:id="0" w:name="_Toc330828119"/>
      <w:bookmarkStart w:id="1" w:name="_Toc305846479"/>
      <w:r>
        <w:rPr>
          <w:rFonts w:hint="eastAsia" w:ascii="仿宋" w:hAnsi="仿宋" w:eastAsia="仿宋"/>
          <w:b/>
          <w:color w:val="000000"/>
          <w:sz w:val="32"/>
          <w:szCs w:val="21"/>
        </w:rPr>
        <w:t>昆明市东川区乌龙风电场开发项目社会投资人</w:t>
      </w:r>
    </w:p>
    <w:bookmarkEnd w:id="0"/>
    <w:bookmarkEnd w:id="1"/>
    <w:p w14:paraId="31D07E6D">
      <w:pPr>
        <w:pStyle w:val="2"/>
        <w:spacing w:before="0" w:after="0" w:line="360" w:lineRule="auto"/>
        <w:jc w:val="center"/>
        <w:rPr>
          <w:rFonts w:ascii="仿宋" w:hAnsi="仿宋" w:eastAsia="仿宋"/>
          <w:color w:val="000000"/>
          <w:kern w:val="2"/>
          <w:sz w:val="28"/>
          <w:szCs w:val="28"/>
        </w:rPr>
      </w:pPr>
      <w:r>
        <w:rPr>
          <w:rFonts w:hint="eastAsia" w:ascii="仿宋" w:hAnsi="仿宋" w:eastAsia="仿宋"/>
          <w:color w:val="000000"/>
          <w:kern w:val="2"/>
          <w:sz w:val="28"/>
          <w:szCs w:val="28"/>
        </w:rPr>
        <w:t>竞争性比选公告</w:t>
      </w:r>
    </w:p>
    <w:p w14:paraId="7837B949">
      <w:pPr>
        <w:adjustRightInd w:val="0"/>
        <w:snapToGrid w:val="0"/>
        <w:spacing w:before="156" w:beforeLines="50" w:after="156" w:afterLines="50" w:line="360" w:lineRule="auto"/>
        <w:rPr>
          <w:rFonts w:ascii="仿宋" w:hAnsi="仿宋" w:eastAsia="仿宋"/>
          <w:b/>
          <w:color w:val="000000"/>
          <w:sz w:val="24"/>
          <w:szCs w:val="21"/>
        </w:rPr>
      </w:pPr>
      <w:r>
        <w:rPr>
          <w:rFonts w:ascii="仿宋" w:hAnsi="仿宋" w:eastAsia="仿宋"/>
          <w:b/>
          <w:color w:val="000000"/>
          <w:sz w:val="24"/>
          <w:szCs w:val="21"/>
        </w:rPr>
        <w:t>1．</w:t>
      </w:r>
      <w:r>
        <w:rPr>
          <w:rFonts w:hint="eastAsia" w:ascii="仿宋" w:hAnsi="仿宋" w:eastAsia="仿宋"/>
          <w:b/>
          <w:color w:val="000000"/>
          <w:sz w:val="24"/>
          <w:szCs w:val="21"/>
        </w:rPr>
        <w:t>竞争性比选</w:t>
      </w:r>
      <w:r>
        <w:rPr>
          <w:rFonts w:ascii="仿宋" w:hAnsi="仿宋" w:eastAsia="仿宋"/>
          <w:b/>
          <w:color w:val="000000"/>
          <w:sz w:val="24"/>
          <w:szCs w:val="21"/>
        </w:rPr>
        <w:t>条件</w:t>
      </w:r>
    </w:p>
    <w:p w14:paraId="5CF13785">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本竞争性比选项目</w:t>
      </w:r>
      <w:r>
        <w:rPr>
          <w:rFonts w:hint="eastAsia" w:ascii="仿宋" w:hAnsi="仿宋" w:eastAsia="仿宋"/>
          <w:color w:val="000000"/>
          <w:sz w:val="21"/>
          <w:szCs w:val="21"/>
          <w:u w:val="single"/>
        </w:rPr>
        <w:t>昆明市东川区乌龙风电场开发项目社会投资人</w:t>
      </w:r>
      <w:r>
        <w:rPr>
          <w:rFonts w:hint="eastAsia" w:ascii="仿宋" w:hAnsi="仿宋" w:eastAsia="仿宋"/>
          <w:color w:val="000000"/>
          <w:sz w:val="21"/>
          <w:szCs w:val="21"/>
        </w:rPr>
        <w:t>根据</w:t>
      </w:r>
      <w:r>
        <w:rPr>
          <w:rFonts w:hint="eastAsia" w:ascii="仿宋" w:hAnsi="仿宋" w:eastAsia="仿宋"/>
          <w:color w:val="000000"/>
          <w:sz w:val="21"/>
          <w:szCs w:val="21"/>
          <w:u w:val="single"/>
        </w:rPr>
        <w:t>《云南省能源原局关于印发云南省2022年新能源建设方案的通知》（云能源水电〔2</w:t>
      </w:r>
      <w:r>
        <w:rPr>
          <w:rFonts w:ascii="仿宋" w:hAnsi="仿宋" w:eastAsia="仿宋"/>
          <w:color w:val="000000"/>
          <w:sz w:val="21"/>
          <w:szCs w:val="21"/>
          <w:u w:val="single"/>
        </w:rPr>
        <w:t>022</w:t>
      </w:r>
      <w:r>
        <w:rPr>
          <w:rFonts w:hint="eastAsia" w:ascii="仿宋" w:hAnsi="仿宋" w:eastAsia="仿宋"/>
          <w:color w:val="000000"/>
          <w:sz w:val="21"/>
          <w:szCs w:val="21"/>
          <w:u w:val="single"/>
        </w:rPr>
        <w:t>〕</w:t>
      </w:r>
      <w:r>
        <w:rPr>
          <w:rFonts w:ascii="仿宋" w:hAnsi="仿宋" w:eastAsia="仿宋"/>
          <w:color w:val="000000"/>
          <w:sz w:val="21"/>
          <w:szCs w:val="21"/>
          <w:u w:val="single"/>
        </w:rPr>
        <w:t>176</w:t>
      </w:r>
      <w:r>
        <w:rPr>
          <w:rFonts w:hint="eastAsia" w:ascii="仿宋" w:hAnsi="仿宋" w:eastAsia="仿宋"/>
          <w:color w:val="000000"/>
          <w:sz w:val="21"/>
          <w:szCs w:val="21"/>
          <w:u w:val="single"/>
        </w:rPr>
        <w:t>号）和《云南省发展和改革委员会云南省能源局国家能源局云南监管办公室关于开展全省新能源项目规范建设专项监管和存在问题整改“回头看”工作要求的通知》（云能源水电〔20</w:t>
      </w:r>
      <w:r>
        <w:rPr>
          <w:rFonts w:ascii="仿宋" w:hAnsi="仿宋" w:eastAsia="仿宋"/>
          <w:color w:val="000000"/>
          <w:sz w:val="21"/>
          <w:szCs w:val="21"/>
          <w:u w:val="single"/>
        </w:rPr>
        <w:t>24</w:t>
      </w:r>
      <w:r>
        <w:rPr>
          <w:rFonts w:hint="eastAsia" w:ascii="仿宋" w:hAnsi="仿宋" w:eastAsia="仿宋"/>
          <w:color w:val="000000"/>
          <w:sz w:val="21"/>
          <w:szCs w:val="21"/>
          <w:u w:val="single"/>
        </w:rPr>
        <w:t>〕</w:t>
      </w:r>
      <w:r>
        <w:rPr>
          <w:rFonts w:ascii="仿宋" w:hAnsi="仿宋" w:eastAsia="仿宋"/>
          <w:color w:val="000000"/>
          <w:sz w:val="21"/>
          <w:szCs w:val="21"/>
          <w:u w:val="single"/>
        </w:rPr>
        <w:t>93</w:t>
      </w:r>
      <w:r>
        <w:rPr>
          <w:rFonts w:hint="eastAsia" w:ascii="仿宋" w:hAnsi="仿宋" w:eastAsia="仿宋"/>
          <w:color w:val="000000"/>
          <w:sz w:val="21"/>
          <w:szCs w:val="21"/>
          <w:u w:val="single"/>
        </w:rPr>
        <w:t>号）</w:t>
      </w:r>
      <w:r>
        <w:rPr>
          <w:rFonts w:hint="eastAsia" w:ascii="仿宋" w:hAnsi="仿宋" w:eastAsia="仿宋"/>
          <w:color w:val="000000"/>
          <w:sz w:val="21"/>
          <w:szCs w:val="21"/>
        </w:rPr>
        <w:t>要求，</w:t>
      </w:r>
      <w:r>
        <w:rPr>
          <w:rFonts w:ascii="仿宋" w:hAnsi="仿宋" w:eastAsia="仿宋"/>
          <w:color w:val="000000"/>
          <w:sz w:val="21"/>
          <w:szCs w:val="21"/>
        </w:rPr>
        <w:t>招标人为</w:t>
      </w:r>
      <w:r>
        <w:rPr>
          <w:rFonts w:hint="eastAsia" w:ascii="仿宋" w:hAnsi="仿宋" w:eastAsia="仿宋"/>
          <w:color w:val="000000"/>
          <w:sz w:val="21"/>
          <w:szCs w:val="21"/>
          <w:u w:val="single"/>
        </w:rPr>
        <w:t>昆明市东川区发展和改革局</w:t>
      </w:r>
      <w:r>
        <w:rPr>
          <w:rFonts w:ascii="仿宋" w:hAnsi="仿宋" w:eastAsia="仿宋"/>
          <w:color w:val="000000"/>
          <w:sz w:val="21"/>
          <w:szCs w:val="21"/>
        </w:rPr>
        <w:t>，竞争性比选代理机构为</w:t>
      </w:r>
      <w:r>
        <w:rPr>
          <w:rFonts w:hint="eastAsia" w:ascii="仿宋" w:hAnsi="仿宋" w:eastAsia="仿宋"/>
          <w:color w:val="000000"/>
          <w:sz w:val="21"/>
          <w:szCs w:val="21"/>
          <w:u w:val="single"/>
        </w:rPr>
        <w:t>云南合林项目管理有限公司</w:t>
      </w:r>
      <w:r>
        <w:rPr>
          <w:rFonts w:ascii="仿宋" w:hAnsi="仿宋" w:eastAsia="仿宋"/>
          <w:color w:val="000000"/>
          <w:sz w:val="21"/>
          <w:szCs w:val="21"/>
        </w:rPr>
        <w:t>。</w:t>
      </w:r>
      <w:r>
        <w:rPr>
          <w:rFonts w:hint="eastAsia" w:ascii="仿宋" w:hAnsi="仿宋" w:eastAsia="仿宋"/>
          <w:color w:val="000000"/>
          <w:sz w:val="21"/>
          <w:szCs w:val="21"/>
        </w:rPr>
        <w:t>资金来自：</w:t>
      </w:r>
      <w:r>
        <w:rPr>
          <w:rFonts w:hint="eastAsia" w:ascii="仿宋" w:hAnsi="仿宋" w:eastAsia="仿宋"/>
          <w:color w:val="000000"/>
          <w:sz w:val="21"/>
          <w:szCs w:val="21"/>
          <w:u w:val="single"/>
        </w:rPr>
        <w:t>最终选定的社会投资人筹措</w:t>
      </w:r>
      <w:r>
        <w:rPr>
          <w:rFonts w:hint="eastAsia" w:ascii="仿宋" w:hAnsi="仿宋" w:eastAsia="仿宋"/>
          <w:color w:val="000000"/>
          <w:sz w:val="21"/>
          <w:szCs w:val="21"/>
        </w:rPr>
        <w:t>，项目出资比例为</w:t>
      </w:r>
      <w:r>
        <w:rPr>
          <w:rFonts w:hint="eastAsia" w:ascii="仿宋" w:hAnsi="仿宋" w:eastAsia="仿宋"/>
          <w:color w:val="000000"/>
          <w:sz w:val="21"/>
          <w:szCs w:val="21"/>
          <w:u w:val="single"/>
        </w:rPr>
        <w:t>100%</w:t>
      </w:r>
      <w:r>
        <w:rPr>
          <w:rFonts w:hint="eastAsia" w:ascii="仿宋" w:hAnsi="仿宋" w:eastAsia="仿宋"/>
          <w:color w:val="000000"/>
          <w:sz w:val="21"/>
          <w:szCs w:val="21"/>
        </w:rPr>
        <w:t>，已具备竞争性比选条件，</w:t>
      </w:r>
      <w:r>
        <w:rPr>
          <w:rFonts w:ascii="仿宋" w:hAnsi="仿宋" w:eastAsia="仿宋"/>
          <w:color w:val="000000"/>
          <w:sz w:val="21"/>
          <w:szCs w:val="21"/>
        </w:rPr>
        <w:t>现</w:t>
      </w:r>
      <w:r>
        <w:rPr>
          <w:rFonts w:hint="eastAsia" w:ascii="仿宋" w:hAnsi="仿宋" w:eastAsia="仿宋"/>
          <w:color w:val="000000"/>
          <w:sz w:val="21"/>
          <w:szCs w:val="21"/>
        </w:rPr>
        <w:t>诚邀符合条件的单位参与</w:t>
      </w:r>
      <w:r>
        <w:rPr>
          <w:rFonts w:ascii="仿宋" w:hAnsi="仿宋" w:eastAsia="仿宋"/>
          <w:color w:val="000000"/>
          <w:sz w:val="21"/>
          <w:szCs w:val="21"/>
        </w:rPr>
        <w:t>本项目</w:t>
      </w:r>
      <w:r>
        <w:rPr>
          <w:rFonts w:hint="eastAsia" w:ascii="仿宋" w:hAnsi="仿宋" w:eastAsia="仿宋"/>
          <w:color w:val="000000"/>
          <w:sz w:val="21"/>
          <w:szCs w:val="21"/>
        </w:rPr>
        <w:t>竞选。</w:t>
      </w:r>
    </w:p>
    <w:p w14:paraId="3C380A0F">
      <w:pPr>
        <w:adjustRightInd w:val="0"/>
        <w:snapToGrid w:val="0"/>
        <w:spacing w:before="156" w:beforeLines="50" w:after="156" w:afterLines="50" w:line="360" w:lineRule="auto"/>
        <w:rPr>
          <w:rFonts w:ascii="仿宋" w:hAnsi="仿宋" w:eastAsia="仿宋"/>
          <w:b/>
          <w:color w:val="000000"/>
          <w:sz w:val="24"/>
          <w:szCs w:val="21"/>
        </w:rPr>
      </w:pPr>
      <w:r>
        <w:rPr>
          <w:rFonts w:ascii="仿宋" w:hAnsi="仿宋" w:eastAsia="仿宋"/>
          <w:b/>
          <w:color w:val="000000"/>
          <w:sz w:val="24"/>
          <w:szCs w:val="21"/>
        </w:rPr>
        <w:t>2．项目概况与</w:t>
      </w:r>
      <w:r>
        <w:rPr>
          <w:rFonts w:hint="eastAsia" w:ascii="仿宋" w:hAnsi="仿宋" w:eastAsia="仿宋"/>
          <w:b/>
          <w:color w:val="000000"/>
          <w:sz w:val="24"/>
          <w:szCs w:val="21"/>
        </w:rPr>
        <w:t>竞争性比选</w:t>
      </w:r>
      <w:r>
        <w:rPr>
          <w:rFonts w:ascii="仿宋" w:hAnsi="仿宋" w:eastAsia="仿宋"/>
          <w:b/>
          <w:color w:val="000000"/>
          <w:sz w:val="24"/>
          <w:szCs w:val="21"/>
        </w:rPr>
        <w:t>范围</w:t>
      </w:r>
    </w:p>
    <w:p w14:paraId="6C5C3A33">
      <w:pPr>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2.1竞争性比选内容：对装机容量为4.8万千瓦的昆明市东川区乌龙风电场开发项目优选社会投资人，社会投资人作为项目主体负责项目实施，并在东川区成立政府认可的项目公司，具体负责该项目开发事宜。</w:t>
      </w:r>
    </w:p>
    <w:p w14:paraId="744AEB68">
      <w:pPr>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2.2竞争性比选范围：社会投资人负责投资、设计、建设、运营维护及管理风电场项目；社会投资人须在投资开发合同签订后一个月内在东川区成立项目公司，并在约定时间内足额注入注册资本金，注册资本金应不小于</w:t>
      </w:r>
      <w:r>
        <w:rPr>
          <w:rFonts w:ascii="仿宋" w:hAnsi="仿宋" w:eastAsia="仿宋"/>
          <w:color w:val="000000"/>
          <w:sz w:val="21"/>
          <w:szCs w:val="21"/>
        </w:rPr>
        <w:t>2000</w:t>
      </w:r>
      <w:r>
        <w:rPr>
          <w:rFonts w:hint="eastAsia" w:ascii="仿宋" w:hAnsi="仿宋" w:eastAsia="仿宋"/>
          <w:color w:val="000000"/>
          <w:sz w:val="21"/>
          <w:szCs w:val="21"/>
        </w:rPr>
        <w:t>万元人民币。</w:t>
      </w:r>
    </w:p>
    <w:p w14:paraId="4D3A4EDB">
      <w:pPr>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2</w:t>
      </w:r>
      <w:r>
        <w:rPr>
          <w:rFonts w:ascii="仿宋" w:hAnsi="仿宋" w:eastAsia="仿宋"/>
          <w:color w:val="000000"/>
          <w:sz w:val="21"/>
          <w:szCs w:val="21"/>
        </w:rPr>
        <w:t>.3</w:t>
      </w:r>
      <w:r>
        <w:rPr>
          <w:rFonts w:hint="eastAsia" w:ascii="仿宋" w:hAnsi="仿宋" w:eastAsia="仿宋"/>
          <w:color w:val="000000"/>
          <w:sz w:val="21"/>
          <w:szCs w:val="21"/>
        </w:rPr>
        <w:t>合作模式：</w:t>
      </w:r>
    </w:p>
    <w:p w14:paraId="6DAB3C08">
      <w:pPr>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w:t>
      </w:r>
      <w:r>
        <w:rPr>
          <w:rFonts w:ascii="仿宋" w:hAnsi="仿宋" w:eastAsia="仿宋"/>
          <w:color w:val="000000"/>
          <w:sz w:val="21"/>
          <w:szCs w:val="21"/>
        </w:rPr>
        <w:t>1</w:t>
      </w:r>
      <w:r>
        <w:rPr>
          <w:rFonts w:hint="eastAsia" w:ascii="仿宋" w:hAnsi="仿宋" w:eastAsia="仿宋"/>
          <w:color w:val="000000"/>
          <w:sz w:val="21"/>
          <w:szCs w:val="21"/>
        </w:rPr>
        <w:t>）政府授予社会投资人风电资源开发权为</w:t>
      </w:r>
      <w:r>
        <w:rPr>
          <w:rFonts w:ascii="仿宋" w:hAnsi="仿宋" w:eastAsia="仿宋"/>
          <w:color w:val="000000"/>
          <w:sz w:val="21"/>
          <w:szCs w:val="21"/>
        </w:rPr>
        <w:t>20</w:t>
      </w:r>
      <w:r>
        <w:rPr>
          <w:rFonts w:hint="eastAsia" w:ascii="仿宋" w:hAnsi="仿宋" w:eastAsia="仿宋"/>
          <w:color w:val="000000"/>
          <w:sz w:val="21"/>
          <w:szCs w:val="21"/>
        </w:rPr>
        <w:t>年，自项目开工之日起算。期满后，社会投资人享有优先权，双方另行协商签订协议。如未能续约，政府收回项目开发权。</w:t>
      </w:r>
    </w:p>
    <w:p w14:paraId="7BC83C7E">
      <w:pPr>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（2）社会投资人及成立的项目公司在项目投产运营前不得转让开发权。项目建成后，需转让电站的，须取得区人民政府同意。</w:t>
      </w:r>
    </w:p>
    <w:p w14:paraId="47C3D7F7">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w:t>
      </w:r>
      <w:r>
        <w:rPr>
          <w:rFonts w:ascii="仿宋" w:hAnsi="仿宋" w:eastAsia="仿宋"/>
          <w:color w:val="000000"/>
          <w:sz w:val="21"/>
          <w:szCs w:val="21"/>
        </w:rPr>
        <w:t>3</w:t>
      </w:r>
      <w:r>
        <w:rPr>
          <w:rFonts w:hint="eastAsia" w:ascii="仿宋" w:hAnsi="仿宋" w:eastAsia="仿宋"/>
          <w:color w:val="000000"/>
          <w:sz w:val="21"/>
          <w:szCs w:val="21"/>
        </w:rPr>
        <w:t>）社会投资人应在协议签订后按照“先规划后建设”的要求，在6个月内完成风电项目核准全部前期工作并取得核准，取得项目核准后18个月内完成全部建设并投运。若无法达成上述进度目标，或3个月内前期工作无实际性进展以及开工后3个月内无实物量投资的，自动解除协议。</w:t>
      </w:r>
    </w:p>
    <w:p w14:paraId="6147D38E">
      <w:pPr>
        <w:adjustRightInd w:val="0"/>
        <w:snapToGrid w:val="0"/>
        <w:spacing w:line="360" w:lineRule="auto"/>
        <w:ind w:firstLine="420" w:firstLineChars="200"/>
        <w:rPr>
          <w:rFonts w:hint="eastAsia" w:ascii="仿宋" w:hAnsi="仿宋" w:eastAsia="仿宋"/>
          <w:sz w:val="21"/>
          <w:szCs w:val="21"/>
          <w:highlight w:val="yellow"/>
        </w:rPr>
      </w:pPr>
      <w:r>
        <w:rPr>
          <w:rFonts w:hint="eastAsia" w:ascii="仿宋" w:hAnsi="仿宋" w:eastAsia="仿宋"/>
          <w:color w:val="000000"/>
          <w:sz w:val="21"/>
          <w:szCs w:val="21"/>
        </w:rPr>
        <w:t>2.</w:t>
      </w:r>
      <w:r>
        <w:rPr>
          <w:rFonts w:ascii="仿宋" w:hAnsi="仿宋" w:eastAsia="仿宋"/>
          <w:color w:val="000000"/>
          <w:sz w:val="21"/>
          <w:szCs w:val="21"/>
        </w:rPr>
        <w:t>4</w:t>
      </w:r>
      <w:r>
        <w:rPr>
          <w:rFonts w:hint="eastAsia" w:ascii="仿宋" w:hAnsi="仿宋" w:eastAsia="仿宋"/>
          <w:sz w:val="21"/>
          <w:szCs w:val="21"/>
        </w:rPr>
        <w:t>项目估算总投资：</w:t>
      </w:r>
      <w:r>
        <w:rPr>
          <w:rFonts w:ascii="仿宋" w:hAnsi="仿宋" w:eastAsia="仿宋"/>
          <w:sz w:val="21"/>
          <w:szCs w:val="21"/>
        </w:rPr>
        <w:t>2.88</w:t>
      </w:r>
      <w:r>
        <w:rPr>
          <w:rFonts w:hint="eastAsia" w:ascii="仿宋" w:hAnsi="仿宋" w:eastAsia="仿宋"/>
          <w:sz w:val="21"/>
          <w:szCs w:val="21"/>
        </w:rPr>
        <w:t>亿元</w:t>
      </w:r>
    </w:p>
    <w:p w14:paraId="1DBA5900">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2.</w:t>
      </w:r>
      <w:r>
        <w:rPr>
          <w:rFonts w:ascii="仿宋" w:hAnsi="仿宋" w:eastAsia="仿宋"/>
          <w:color w:val="000000"/>
          <w:sz w:val="21"/>
          <w:szCs w:val="21"/>
        </w:rPr>
        <w:t>5</w:t>
      </w:r>
      <w:r>
        <w:rPr>
          <w:rFonts w:hint="eastAsia" w:ascii="仿宋" w:hAnsi="仿宋" w:eastAsia="仿宋"/>
          <w:color w:val="000000"/>
          <w:sz w:val="21"/>
          <w:szCs w:val="21"/>
        </w:rPr>
        <w:t>资金来源：由最终选定的社会投资人筹措。</w:t>
      </w:r>
    </w:p>
    <w:p w14:paraId="75EF4E22">
      <w:pPr>
        <w:adjustRightInd w:val="0"/>
        <w:snapToGrid w:val="0"/>
        <w:spacing w:line="360" w:lineRule="auto"/>
        <w:ind w:firstLine="840" w:firstLineChars="400"/>
        <w:rPr>
          <w:rFonts w:hint="eastAsia" w:ascii="仿宋" w:hAnsi="仿宋" w:eastAsia="仿宋"/>
          <w:color w:val="000000"/>
          <w:sz w:val="21"/>
          <w:szCs w:val="21"/>
        </w:rPr>
      </w:pPr>
      <w:r>
        <w:rPr>
          <w:rFonts w:hint="eastAsia" w:ascii="仿宋" w:hAnsi="仿宋" w:eastAsia="仿宋"/>
          <w:color w:val="000000"/>
          <w:sz w:val="21"/>
          <w:szCs w:val="21"/>
        </w:rPr>
        <w:t>资金落实情况：竞争性比选完成后落实。</w:t>
      </w:r>
    </w:p>
    <w:p w14:paraId="1856DA6D">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2.</w:t>
      </w:r>
      <w:r>
        <w:rPr>
          <w:rFonts w:ascii="仿宋" w:hAnsi="仿宋" w:eastAsia="仿宋"/>
          <w:color w:val="000000"/>
          <w:sz w:val="21"/>
          <w:szCs w:val="21"/>
        </w:rPr>
        <w:t>6</w:t>
      </w:r>
      <w:r>
        <w:rPr>
          <w:rFonts w:hint="eastAsia" w:ascii="仿宋" w:hAnsi="仿宋" w:eastAsia="仿宋"/>
          <w:color w:val="000000"/>
          <w:sz w:val="21"/>
          <w:szCs w:val="21"/>
        </w:rPr>
        <w:t>项目实施地点：昆明市东川区。</w:t>
      </w:r>
    </w:p>
    <w:p w14:paraId="24531E1A">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2.</w:t>
      </w:r>
      <w:r>
        <w:rPr>
          <w:rFonts w:ascii="仿宋" w:hAnsi="仿宋" w:eastAsia="仿宋"/>
          <w:color w:val="000000"/>
          <w:sz w:val="21"/>
          <w:szCs w:val="21"/>
        </w:rPr>
        <w:t>7</w:t>
      </w:r>
      <w:r>
        <w:rPr>
          <w:rFonts w:hint="eastAsia" w:ascii="仿宋" w:hAnsi="仿宋" w:eastAsia="仿宋"/>
          <w:color w:val="000000"/>
          <w:sz w:val="21"/>
          <w:szCs w:val="21"/>
        </w:rPr>
        <w:t>授权时限：</w:t>
      </w:r>
      <w:r>
        <w:rPr>
          <w:rFonts w:ascii="仿宋" w:hAnsi="仿宋" w:eastAsia="仿宋"/>
          <w:color w:val="000000"/>
          <w:sz w:val="21"/>
          <w:szCs w:val="21"/>
        </w:rPr>
        <w:t>20</w:t>
      </w:r>
      <w:r>
        <w:rPr>
          <w:rFonts w:hint="eastAsia" w:ascii="仿宋" w:hAnsi="仿宋" w:eastAsia="仿宋"/>
          <w:color w:val="000000"/>
          <w:sz w:val="21"/>
          <w:szCs w:val="21"/>
        </w:rPr>
        <w:t>年。</w:t>
      </w:r>
    </w:p>
    <w:p w14:paraId="1203EB30">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2.</w:t>
      </w:r>
      <w:r>
        <w:rPr>
          <w:rFonts w:ascii="仿宋" w:hAnsi="仿宋" w:eastAsia="仿宋"/>
          <w:color w:val="000000"/>
          <w:sz w:val="21"/>
          <w:szCs w:val="21"/>
        </w:rPr>
        <w:t>8</w:t>
      </w:r>
      <w:r>
        <w:rPr>
          <w:rFonts w:hint="eastAsia" w:ascii="仿宋" w:hAnsi="仿宋" w:eastAsia="仿宋"/>
          <w:color w:val="000000"/>
          <w:sz w:val="21"/>
          <w:szCs w:val="21"/>
        </w:rPr>
        <w:t>本项目在本次竞争性比选阶段不接受联合体竞选，建设过程中可通过独立开发、组建联合体、参股、控股等形式推进项目建设。</w:t>
      </w:r>
    </w:p>
    <w:p w14:paraId="3F3558C3">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2.</w:t>
      </w:r>
      <w:r>
        <w:rPr>
          <w:rFonts w:ascii="仿宋" w:hAnsi="仿宋" w:eastAsia="仿宋"/>
          <w:color w:val="000000"/>
          <w:sz w:val="21"/>
          <w:szCs w:val="21"/>
        </w:rPr>
        <w:t>9</w:t>
      </w:r>
      <w:r>
        <w:rPr>
          <w:rFonts w:hint="eastAsia" w:ascii="仿宋" w:hAnsi="仿宋" w:eastAsia="仿宋"/>
          <w:color w:val="000000"/>
          <w:sz w:val="21"/>
          <w:szCs w:val="21"/>
        </w:rPr>
        <w:t>其他：</w:t>
      </w:r>
    </w:p>
    <w:p w14:paraId="7B7DFB98">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（1）标段划分：本项目不划分标段。</w:t>
      </w:r>
    </w:p>
    <w:p w14:paraId="44706EF6">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（2）质量要求：保证项目所需资金及时到位，保证项目顺利、稳步推进；达到现行风电工程验收规范合格标准。</w:t>
      </w:r>
    </w:p>
    <w:p w14:paraId="55CAD10D">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（3）资格审查方式：资格后审。</w:t>
      </w:r>
    </w:p>
    <w:p w14:paraId="2F2A8BC5">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（4）单位负责人为同一人或者存在控股、管理关系的不同单位，不得同时参加本项目竞选。</w:t>
      </w:r>
    </w:p>
    <w:p w14:paraId="371C1C68">
      <w:pPr>
        <w:adjustRightInd w:val="0"/>
        <w:snapToGrid w:val="0"/>
        <w:spacing w:before="156" w:beforeLines="50" w:after="156" w:afterLines="50" w:line="360" w:lineRule="auto"/>
        <w:rPr>
          <w:rFonts w:hint="eastAsia" w:ascii="仿宋" w:hAnsi="仿宋" w:eastAsia="仿宋"/>
          <w:b/>
          <w:color w:val="000000"/>
          <w:sz w:val="24"/>
          <w:szCs w:val="21"/>
        </w:rPr>
      </w:pPr>
      <w:r>
        <w:rPr>
          <w:rFonts w:ascii="仿宋" w:hAnsi="仿宋" w:eastAsia="仿宋"/>
          <w:b/>
          <w:color w:val="000000"/>
          <w:sz w:val="24"/>
          <w:szCs w:val="21"/>
        </w:rPr>
        <w:t>3．竞选人资格要求</w:t>
      </w:r>
    </w:p>
    <w:p w14:paraId="0126B5F9">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3.1竞选人应为中华人民共和国注册，经国家工商行政管理部门登记注册的独立法人资格，具有有效的营业执照；集团公司或总公司可以授权下属分公司或子公司以集团公司或总公司名义进行竞选，并须提供针对项目的唯一授权。</w:t>
      </w:r>
    </w:p>
    <w:p w14:paraId="27C2815F">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3.2财务要求：竞选企业财务状况良好，提供近三年（20</w:t>
      </w:r>
      <w:r>
        <w:rPr>
          <w:rFonts w:ascii="仿宋" w:hAnsi="仿宋" w:eastAsia="仿宋"/>
          <w:color w:val="000000"/>
          <w:sz w:val="21"/>
          <w:szCs w:val="21"/>
        </w:rPr>
        <w:t>21</w:t>
      </w:r>
      <w:r>
        <w:rPr>
          <w:rFonts w:hint="eastAsia" w:ascii="仿宋" w:hAnsi="仿宋" w:eastAsia="仿宋"/>
          <w:color w:val="000000"/>
          <w:sz w:val="21"/>
          <w:szCs w:val="21"/>
        </w:rPr>
        <w:t>至20</w:t>
      </w:r>
      <w:r>
        <w:rPr>
          <w:rFonts w:ascii="仿宋" w:hAnsi="仿宋" w:eastAsia="仿宋"/>
          <w:color w:val="000000"/>
          <w:sz w:val="21"/>
          <w:szCs w:val="21"/>
        </w:rPr>
        <w:t>23</w:t>
      </w:r>
      <w:r>
        <w:rPr>
          <w:rFonts w:hint="eastAsia" w:ascii="仿宋" w:hAnsi="仿宋" w:eastAsia="仿宋"/>
          <w:color w:val="000000"/>
          <w:sz w:val="21"/>
          <w:szCs w:val="21"/>
        </w:rPr>
        <w:t>年）的财务报表或审计报告（财务报表须包含资产负债表、现金流量表、利润表或损益表；拟投公司成立时间在规定年份内，须提交：①成立以来经会计师事务所或审计机构审计的财务报告和会计报表；或②成立以来的会计报表）。</w:t>
      </w:r>
    </w:p>
    <w:p w14:paraId="123B7F8C">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3.3竞选人应信誉良好，没有处于被责令停业，竞选资格被取消，财产被接管、冻结、破产的等状态；没有处于被项目所在地政府或国家部委禁止市场准入；20</w:t>
      </w:r>
      <w:r>
        <w:rPr>
          <w:rFonts w:ascii="仿宋" w:hAnsi="仿宋" w:eastAsia="仿宋"/>
          <w:color w:val="000000"/>
          <w:sz w:val="21"/>
          <w:szCs w:val="21"/>
        </w:rPr>
        <w:t>21</w:t>
      </w:r>
      <w:r>
        <w:rPr>
          <w:rFonts w:hint="eastAsia" w:ascii="仿宋" w:hAnsi="仿宋" w:eastAsia="仿宋"/>
          <w:color w:val="000000"/>
          <w:sz w:val="21"/>
          <w:szCs w:val="21"/>
        </w:rPr>
        <w:t>年至今没有发生过建设新能源发电项目重大及以上安全质量事故及相关违规事项，在最近三年内没有骗取中选和严重违约的。</w:t>
      </w:r>
    </w:p>
    <w:p w14:paraId="50504BC2">
      <w:pPr>
        <w:adjustRightInd w:val="0"/>
        <w:snapToGrid w:val="0"/>
        <w:spacing w:before="156" w:beforeLines="50" w:after="156" w:afterLines="50" w:line="360" w:lineRule="auto"/>
        <w:rPr>
          <w:rFonts w:ascii="仿宋" w:hAnsi="仿宋" w:eastAsia="仿宋"/>
          <w:b/>
          <w:color w:val="000000"/>
          <w:sz w:val="24"/>
          <w:szCs w:val="21"/>
        </w:rPr>
      </w:pPr>
      <w:r>
        <w:rPr>
          <w:rFonts w:hint="eastAsia" w:ascii="仿宋" w:hAnsi="仿宋" w:eastAsia="仿宋"/>
          <w:b/>
          <w:color w:val="000000"/>
          <w:sz w:val="24"/>
          <w:szCs w:val="21"/>
        </w:rPr>
        <w:t>4</w:t>
      </w:r>
      <w:r>
        <w:rPr>
          <w:rFonts w:ascii="仿宋" w:hAnsi="仿宋" w:eastAsia="仿宋"/>
          <w:b/>
          <w:color w:val="000000"/>
          <w:sz w:val="24"/>
          <w:szCs w:val="21"/>
        </w:rPr>
        <w:t>．</w:t>
      </w:r>
      <w:r>
        <w:rPr>
          <w:rFonts w:hint="eastAsia" w:ascii="仿宋" w:hAnsi="仿宋" w:eastAsia="仿宋"/>
          <w:b/>
          <w:color w:val="000000"/>
          <w:sz w:val="24"/>
          <w:szCs w:val="21"/>
        </w:rPr>
        <w:t>竞争性比选</w:t>
      </w:r>
      <w:r>
        <w:rPr>
          <w:rFonts w:ascii="仿宋" w:hAnsi="仿宋" w:eastAsia="仿宋"/>
          <w:b/>
          <w:color w:val="000000"/>
          <w:sz w:val="24"/>
          <w:szCs w:val="21"/>
        </w:rPr>
        <w:t>文件的获取</w:t>
      </w:r>
    </w:p>
    <w:p w14:paraId="7369C0DF">
      <w:pPr>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4</w:t>
      </w:r>
      <w:r>
        <w:rPr>
          <w:rFonts w:ascii="仿宋" w:hAnsi="仿宋" w:eastAsia="仿宋"/>
          <w:color w:val="000000"/>
          <w:sz w:val="21"/>
          <w:szCs w:val="21"/>
        </w:rPr>
        <w:t>.1</w:t>
      </w:r>
      <w:r>
        <w:rPr>
          <w:rFonts w:hint="eastAsia" w:ascii="仿宋" w:hAnsi="仿宋" w:eastAsia="仿宋"/>
          <w:color w:val="000000"/>
          <w:sz w:val="21"/>
          <w:szCs w:val="21"/>
        </w:rPr>
        <w:t>凡有意参加的竞选人，请于</w:t>
      </w:r>
      <w:r>
        <w:rPr>
          <w:rFonts w:hint="eastAsia" w:ascii="仿宋" w:hAnsi="仿宋" w:eastAsia="仿宋"/>
          <w:snapToGrid w:val="0"/>
          <w:color w:val="000000"/>
          <w:sz w:val="21"/>
          <w:szCs w:val="21"/>
          <w:u w:val="single"/>
        </w:rPr>
        <w:t>202</w:t>
      </w:r>
      <w:r>
        <w:rPr>
          <w:rFonts w:ascii="仿宋" w:hAnsi="仿宋" w:eastAsia="仿宋"/>
          <w:snapToGrid w:val="0"/>
          <w:color w:val="000000"/>
          <w:sz w:val="21"/>
          <w:szCs w:val="21"/>
          <w:u w:val="single"/>
        </w:rPr>
        <w:t>4</w:t>
      </w:r>
      <w:r>
        <w:rPr>
          <w:rFonts w:hint="eastAsia" w:ascii="仿宋" w:hAnsi="仿宋" w:eastAsia="仿宋"/>
          <w:snapToGrid w:val="0"/>
          <w:color w:val="000000"/>
          <w:sz w:val="21"/>
          <w:szCs w:val="21"/>
          <w:u w:val="single"/>
        </w:rPr>
        <w:t>年</w:t>
      </w:r>
      <w:r>
        <w:rPr>
          <w:rFonts w:ascii="仿宋" w:hAnsi="仿宋" w:eastAsia="仿宋"/>
          <w:snapToGrid w:val="0"/>
          <w:color w:val="000000"/>
          <w:sz w:val="21"/>
          <w:szCs w:val="21"/>
          <w:u w:val="single"/>
        </w:rPr>
        <w:t>08</w:t>
      </w:r>
      <w:r>
        <w:rPr>
          <w:rFonts w:hint="eastAsia" w:ascii="仿宋" w:hAnsi="仿宋" w:eastAsia="仿宋"/>
          <w:snapToGrid w:val="0"/>
          <w:color w:val="000000"/>
          <w:sz w:val="21"/>
          <w:szCs w:val="21"/>
          <w:u w:val="single"/>
        </w:rPr>
        <w:t>月</w:t>
      </w:r>
      <w:r>
        <w:rPr>
          <w:rFonts w:ascii="仿宋" w:hAnsi="仿宋" w:eastAsia="仿宋"/>
          <w:snapToGrid w:val="0"/>
          <w:color w:val="000000"/>
          <w:sz w:val="21"/>
          <w:szCs w:val="21"/>
          <w:u w:val="single"/>
        </w:rPr>
        <w:t>05</w:t>
      </w:r>
      <w:r>
        <w:rPr>
          <w:rFonts w:hint="eastAsia" w:ascii="仿宋" w:hAnsi="仿宋" w:eastAsia="仿宋"/>
          <w:snapToGrid w:val="0"/>
          <w:color w:val="000000"/>
          <w:sz w:val="21"/>
          <w:szCs w:val="21"/>
          <w:u w:val="single"/>
        </w:rPr>
        <w:t>日至202</w:t>
      </w:r>
      <w:r>
        <w:rPr>
          <w:rFonts w:ascii="仿宋" w:hAnsi="仿宋" w:eastAsia="仿宋"/>
          <w:snapToGrid w:val="0"/>
          <w:color w:val="000000"/>
          <w:sz w:val="21"/>
          <w:szCs w:val="21"/>
          <w:u w:val="single"/>
        </w:rPr>
        <w:t>4</w:t>
      </w:r>
      <w:r>
        <w:rPr>
          <w:rFonts w:hint="eastAsia" w:ascii="仿宋" w:hAnsi="仿宋" w:eastAsia="仿宋"/>
          <w:snapToGrid w:val="0"/>
          <w:color w:val="000000"/>
          <w:sz w:val="21"/>
          <w:szCs w:val="21"/>
          <w:u w:val="single"/>
        </w:rPr>
        <w:t>年</w:t>
      </w:r>
      <w:r>
        <w:rPr>
          <w:rFonts w:ascii="仿宋" w:hAnsi="仿宋" w:eastAsia="仿宋"/>
          <w:snapToGrid w:val="0"/>
          <w:color w:val="000000"/>
          <w:sz w:val="21"/>
          <w:szCs w:val="21"/>
          <w:u w:val="single"/>
        </w:rPr>
        <w:t>08</w:t>
      </w:r>
      <w:r>
        <w:rPr>
          <w:rFonts w:hint="eastAsia" w:ascii="仿宋" w:hAnsi="仿宋" w:eastAsia="仿宋"/>
          <w:snapToGrid w:val="0"/>
          <w:color w:val="000000"/>
          <w:sz w:val="21"/>
          <w:szCs w:val="21"/>
          <w:u w:val="single"/>
        </w:rPr>
        <w:t>月</w:t>
      </w:r>
      <w:r>
        <w:rPr>
          <w:rFonts w:ascii="仿宋" w:hAnsi="仿宋" w:eastAsia="仿宋"/>
          <w:snapToGrid w:val="0"/>
          <w:color w:val="000000"/>
          <w:sz w:val="21"/>
          <w:szCs w:val="21"/>
          <w:u w:val="single"/>
        </w:rPr>
        <w:t>09</w:t>
      </w:r>
      <w:r>
        <w:rPr>
          <w:rFonts w:hint="eastAsia" w:ascii="仿宋" w:hAnsi="仿宋" w:eastAsia="仿宋"/>
          <w:snapToGrid w:val="0"/>
          <w:color w:val="000000"/>
          <w:sz w:val="21"/>
          <w:szCs w:val="21"/>
          <w:u w:val="single"/>
        </w:rPr>
        <w:t>日</w:t>
      </w:r>
      <w:r>
        <w:rPr>
          <w:rFonts w:hint="eastAsia" w:ascii="仿宋" w:hAnsi="仿宋" w:eastAsia="仿宋"/>
          <w:color w:val="000000"/>
          <w:sz w:val="21"/>
          <w:szCs w:val="21"/>
        </w:rPr>
        <w:t>每日09时30分至11时30分，</w:t>
      </w:r>
      <w:r>
        <w:rPr>
          <w:rFonts w:hint="eastAsia" w:ascii="仿宋" w:hAnsi="仿宋" w:eastAsia="仿宋"/>
          <w:color w:val="000000"/>
          <w:sz w:val="21"/>
          <w:szCs w:val="21"/>
          <w:lang w:eastAsia="zh-CN"/>
        </w:rPr>
        <w:t>下午2时</w:t>
      </w:r>
      <w:r>
        <w:rPr>
          <w:rFonts w:hint="eastAsia" w:ascii="仿宋" w:hAnsi="仿宋" w:eastAsia="仿宋"/>
          <w:color w:val="000000"/>
          <w:sz w:val="21"/>
          <w:szCs w:val="21"/>
        </w:rPr>
        <w:t>30分至</w:t>
      </w:r>
      <w:r>
        <w:rPr>
          <w:rFonts w:hint="eastAsia" w:ascii="仿宋" w:hAnsi="仿宋" w:eastAsia="仿宋"/>
          <w:color w:val="000000"/>
          <w:sz w:val="21"/>
          <w:szCs w:val="21"/>
          <w:lang w:val="en-US" w:eastAsia="zh-CN"/>
        </w:rPr>
        <w:t>5</w:t>
      </w:r>
      <w:bookmarkStart w:id="2" w:name="_GoBack"/>
      <w:bookmarkEnd w:id="2"/>
      <w:r>
        <w:rPr>
          <w:rFonts w:hint="eastAsia" w:ascii="仿宋" w:hAnsi="仿宋" w:eastAsia="仿宋"/>
          <w:color w:val="000000"/>
          <w:sz w:val="21"/>
          <w:szCs w:val="21"/>
        </w:rPr>
        <w:t>时00分（</w:t>
      </w:r>
      <w:r>
        <w:rPr>
          <w:rFonts w:hint="eastAsia" w:ascii="仿宋" w:hAnsi="仿宋" w:eastAsia="仿宋"/>
          <w:snapToGrid w:val="0"/>
          <w:color w:val="000000"/>
          <w:sz w:val="21"/>
          <w:szCs w:val="21"/>
        </w:rPr>
        <w:t>周末及节假日除外</w:t>
      </w:r>
      <w:r>
        <w:rPr>
          <w:rFonts w:hint="eastAsia" w:ascii="仿宋" w:hAnsi="仿宋" w:eastAsia="仿宋"/>
          <w:color w:val="000000"/>
          <w:sz w:val="21"/>
          <w:szCs w:val="21"/>
        </w:rPr>
        <w:t>）</w:t>
      </w:r>
      <w:r>
        <w:rPr>
          <w:rFonts w:hint="eastAsia" w:ascii="仿宋" w:hAnsi="仿宋" w:eastAsia="仿宋"/>
          <w:snapToGrid w:val="0"/>
          <w:color w:val="000000"/>
          <w:sz w:val="21"/>
          <w:szCs w:val="21"/>
        </w:rPr>
        <w:t>在</w:t>
      </w:r>
      <w:r>
        <w:rPr>
          <w:rFonts w:hint="eastAsia" w:ascii="仿宋" w:hAnsi="仿宋" w:eastAsia="仿宋"/>
          <w:b/>
          <w:color w:val="000000"/>
          <w:sz w:val="21"/>
          <w:szCs w:val="21"/>
        </w:rPr>
        <w:t>昆明市五华区红云路红云社区和谐世纪M1栋30楼3001号</w:t>
      </w:r>
      <w:r>
        <w:rPr>
          <w:rFonts w:ascii="仿宋" w:hAnsi="仿宋" w:eastAsia="仿宋"/>
          <w:snapToGrid w:val="0"/>
          <w:color w:val="000000"/>
          <w:sz w:val="21"/>
          <w:szCs w:val="21"/>
        </w:rPr>
        <w:t>参加</w:t>
      </w:r>
      <w:r>
        <w:rPr>
          <w:rFonts w:hint="eastAsia" w:ascii="仿宋" w:hAnsi="仿宋" w:eastAsia="仿宋"/>
          <w:color w:val="000000"/>
          <w:sz w:val="21"/>
          <w:szCs w:val="21"/>
        </w:rPr>
        <w:t>报名并购买竞争性比选文件及相关资料。</w:t>
      </w:r>
    </w:p>
    <w:p w14:paraId="4608AA2D">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4.2报名时须携带下列资料报名及购买竞争性比选文件：</w:t>
      </w:r>
    </w:p>
    <w:p w14:paraId="2ED371D5">
      <w:pPr>
        <w:adjustRightInd w:val="0"/>
        <w:snapToGrid w:val="0"/>
        <w:spacing w:line="360" w:lineRule="auto"/>
        <w:ind w:firstLine="422" w:firstLineChars="200"/>
        <w:rPr>
          <w:rFonts w:hint="eastAsia" w:ascii="仿宋" w:hAnsi="仿宋" w:eastAsia="仿宋"/>
          <w:b/>
          <w:color w:val="000000"/>
          <w:sz w:val="21"/>
          <w:szCs w:val="21"/>
        </w:rPr>
      </w:pPr>
      <w:r>
        <w:rPr>
          <w:rFonts w:hint="eastAsia" w:ascii="仿宋" w:hAnsi="仿宋" w:eastAsia="仿宋"/>
          <w:b/>
          <w:color w:val="000000"/>
          <w:sz w:val="21"/>
          <w:szCs w:val="21"/>
        </w:rPr>
        <w:t>（1）法定代表人授权委托书（授权报名）原件；</w:t>
      </w:r>
    </w:p>
    <w:p w14:paraId="5BA64FF7">
      <w:pPr>
        <w:adjustRightInd w:val="0"/>
        <w:snapToGrid w:val="0"/>
        <w:spacing w:line="360" w:lineRule="auto"/>
        <w:ind w:firstLine="422" w:firstLineChars="200"/>
        <w:rPr>
          <w:rFonts w:hint="eastAsia" w:ascii="仿宋" w:hAnsi="仿宋" w:eastAsia="仿宋"/>
          <w:b/>
          <w:color w:val="000000"/>
          <w:sz w:val="21"/>
          <w:szCs w:val="21"/>
        </w:rPr>
      </w:pPr>
      <w:r>
        <w:rPr>
          <w:rFonts w:hint="eastAsia" w:ascii="仿宋" w:hAnsi="仿宋" w:eastAsia="仿宋"/>
          <w:b/>
          <w:color w:val="000000"/>
          <w:sz w:val="21"/>
          <w:szCs w:val="21"/>
        </w:rPr>
        <w:t>（2）被授权人身份证原件；</w:t>
      </w:r>
    </w:p>
    <w:p w14:paraId="30D131BB">
      <w:pPr>
        <w:adjustRightInd w:val="0"/>
        <w:snapToGrid w:val="0"/>
        <w:spacing w:line="360" w:lineRule="auto"/>
        <w:ind w:firstLine="422" w:firstLineChars="200"/>
        <w:rPr>
          <w:rFonts w:hint="eastAsia" w:ascii="仿宋" w:hAnsi="仿宋" w:eastAsia="仿宋"/>
          <w:b/>
          <w:color w:val="000000"/>
          <w:sz w:val="21"/>
          <w:szCs w:val="21"/>
        </w:rPr>
      </w:pPr>
      <w:r>
        <w:rPr>
          <w:rFonts w:hint="eastAsia" w:ascii="仿宋" w:hAnsi="仿宋" w:eastAsia="仿宋"/>
          <w:b/>
          <w:color w:val="000000"/>
          <w:sz w:val="21"/>
          <w:szCs w:val="21"/>
        </w:rPr>
        <w:t>（3）营业执照副本复印件并加盖公章；</w:t>
      </w:r>
    </w:p>
    <w:p w14:paraId="3779A099">
      <w:pPr>
        <w:adjustRightInd w:val="0"/>
        <w:snapToGrid w:val="0"/>
        <w:spacing w:line="360" w:lineRule="auto"/>
        <w:ind w:firstLine="422" w:firstLineChars="200"/>
        <w:rPr>
          <w:rFonts w:hint="eastAsia" w:ascii="仿宋" w:hAnsi="仿宋" w:eastAsia="仿宋"/>
          <w:b/>
          <w:color w:val="000000"/>
          <w:sz w:val="21"/>
          <w:szCs w:val="21"/>
        </w:rPr>
      </w:pPr>
      <w:r>
        <w:rPr>
          <w:rFonts w:hint="eastAsia" w:ascii="仿宋" w:hAnsi="仿宋" w:eastAsia="仿宋"/>
          <w:b/>
          <w:color w:val="000000"/>
          <w:sz w:val="21"/>
          <w:szCs w:val="21"/>
        </w:rPr>
        <w:t>（4）分公司或子公司以集团公司或总公司名义进行竞选的提供针对项目的唯一授权委托书。</w:t>
      </w:r>
    </w:p>
    <w:p w14:paraId="7DF66624">
      <w:pPr>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4.3竞争性比选文件每本售价</w:t>
      </w:r>
      <w:r>
        <w:rPr>
          <w:rFonts w:ascii="仿宋" w:hAnsi="仿宋" w:eastAsia="仿宋"/>
          <w:color w:val="000000"/>
          <w:sz w:val="21"/>
          <w:szCs w:val="21"/>
        </w:rPr>
        <w:t>600</w:t>
      </w:r>
      <w:r>
        <w:rPr>
          <w:rFonts w:hint="eastAsia" w:ascii="仿宋" w:hAnsi="仿宋" w:eastAsia="仿宋"/>
          <w:color w:val="000000"/>
          <w:sz w:val="21"/>
          <w:szCs w:val="21"/>
        </w:rPr>
        <w:t>元，售后不退，不提供邮寄服务。</w:t>
      </w:r>
    </w:p>
    <w:p w14:paraId="2006B056">
      <w:pPr>
        <w:adjustRightInd w:val="0"/>
        <w:snapToGrid w:val="0"/>
        <w:spacing w:before="156" w:beforeLines="50" w:after="156" w:afterLines="50" w:line="360" w:lineRule="auto"/>
        <w:rPr>
          <w:rFonts w:ascii="仿宋" w:hAnsi="仿宋" w:eastAsia="仿宋"/>
          <w:b/>
          <w:color w:val="000000"/>
          <w:sz w:val="24"/>
          <w:szCs w:val="21"/>
        </w:rPr>
      </w:pPr>
      <w:r>
        <w:rPr>
          <w:rFonts w:hint="eastAsia" w:ascii="仿宋" w:hAnsi="仿宋" w:eastAsia="仿宋"/>
          <w:b/>
          <w:color w:val="000000"/>
          <w:sz w:val="24"/>
          <w:szCs w:val="21"/>
        </w:rPr>
        <w:t>5</w:t>
      </w:r>
      <w:r>
        <w:rPr>
          <w:rFonts w:ascii="仿宋" w:hAnsi="仿宋" w:eastAsia="仿宋"/>
          <w:b/>
          <w:color w:val="000000"/>
          <w:sz w:val="24"/>
          <w:szCs w:val="21"/>
        </w:rPr>
        <w:t>．</w:t>
      </w:r>
      <w:r>
        <w:rPr>
          <w:rFonts w:hint="eastAsia" w:ascii="仿宋" w:hAnsi="仿宋" w:eastAsia="仿宋"/>
          <w:b/>
          <w:color w:val="000000"/>
          <w:sz w:val="24"/>
          <w:szCs w:val="21"/>
        </w:rPr>
        <w:t>竞选</w:t>
      </w:r>
      <w:r>
        <w:rPr>
          <w:rFonts w:ascii="仿宋" w:hAnsi="仿宋" w:eastAsia="仿宋"/>
          <w:b/>
          <w:color w:val="000000"/>
          <w:sz w:val="24"/>
          <w:szCs w:val="21"/>
        </w:rPr>
        <w:t>文件的递交</w:t>
      </w:r>
    </w:p>
    <w:p w14:paraId="5356679A">
      <w:pPr>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5.1竞选文件递交的截止时间（竞选截止时间，下同）为</w:t>
      </w:r>
      <w:r>
        <w:rPr>
          <w:rFonts w:hint="eastAsia" w:ascii="仿宋" w:hAnsi="仿宋" w:eastAsia="仿宋"/>
          <w:color w:val="000000"/>
          <w:sz w:val="21"/>
          <w:szCs w:val="21"/>
          <w:u w:val="single"/>
        </w:rPr>
        <w:t>202</w:t>
      </w:r>
      <w:r>
        <w:rPr>
          <w:rFonts w:ascii="仿宋" w:hAnsi="仿宋" w:eastAsia="仿宋"/>
          <w:color w:val="000000"/>
          <w:sz w:val="21"/>
          <w:szCs w:val="21"/>
          <w:u w:val="single"/>
        </w:rPr>
        <w:t>4</w:t>
      </w:r>
      <w:r>
        <w:rPr>
          <w:rFonts w:hint="eastAsia" w:ascii="仿宋" w:hAnsi="仿宋" w:eastAsia="仿宋"/>
          <w:color w:val="000000"/>
          <w:sz w:val="21"/>
          <w:szCs w:val="21"/>
        </w:rPr>
        <w:t>年</w:t>
      </w:r>
      <w:r>
        <w:rPr>
          <w:rFonts w:ascii="仿宋" w:hAnsi="仿宋" w:eastAsia="仿宋"/>
          <w:color w:val="000000"/>
          <w:sz w:val="21"/>
          <w:szCs w:val="21"/>
          <w:u w:val="single"/>
        </w:rPr>
        <w:t>08</w:t>
      </w:r>
      <w:r>
        <w:rPr>
          <w:rFonts w:hint="eastAsia" w:ascii="仿宋" w:hAnsi="仿宋" w:eastAsia="仿宋"/>
          <w:color w:val="000000"/>
          <w:sz w:val="21"/>
          <w:szCs w:val="21"/>
        </w:rPr>
        <w:t>月</w:t>
      </w:r>
      <w:r>
        <w:rPr>
          <w:rFonts w:ascii="仿宋" w:hAnsi="仿宋" w:eastAsia="仿宋"/>
          <w:color w:val="000000"/>
          <w:sz w:val="21"/>
          <w:szCs w:val="21"/>
          <w:u w:val="single"/>
        </w:rPr>
        <w:t>16</w:t>
      </w:r>
      <w:r>
        <w:rPr>
          <w:rFonts w:hint="eastAsia" w:ascii="仿宋" w:hAnsi="仿宋" w:eastAsia="仿宋"/>
          <w:color w:val="000000"/>
          <w:sz w:val="21"/>
          <w:szCs w:val="21"/>
        </w:rPr>
        <w:t>日</w:t>
      </w:r>
      <w:r>
        <w:rPr>
          <w:rFonts w:ascii="仿宋" w:hAnsi="仿宋" w:eastAsia="仿宋"/>
          <w:color w:val="000000"/>
          <w:sz w:val="21"/>
          <w:szCs w:val="21"/>
          <w:u w:val="single"/>
        </w:rPr>
        <w:t>10</w:t>
      </w:r>
      <w:r>
        <w:rPr>
          <w:rFonts w:hint="eastAsia" w:ascii="仿宋" w:hAnsi="仿宋" w:eastAsia="仿宋"/>
          <w:color w:val="000000"/>
          <w:sz w:val="21"/>
          <w:szCs w:val="21"/>
        </w:rPr>
        <w:t>时</w:t>
      </w:r>
      <w:r>
        <w:rPr>
          <w:rFonts w:ascii="仿宋" w:hAnsi="仿宋" w:eastAsia="仿宋"/>
          <w:color w:val="000000"/>
          <w:sz w:val="21"/>
          <w:szCs w:val="21"/>
          <w:u w:val="single"/>
        </w:rPr>
        <w:t>30</w:t>
      </w:r>
      <w:r>
        <w:rPr>
          <w:rFonts w:hint="eastAsia" w:ascii="仿宋" w:hAnsi="仿宋" w:eastAsia="仿宋"/>
          <w:color w:val="000000"/>
          <w:sz w:val="21"/>
          <w:szCs w:val="21"/>
        </w:rPr>
        <w:t>分。</w:t>
      </w:r>
    </w:p>
    <w:p w14:paraId="42B0C845">
      <w:pPr>
        <w:spacing w:line="360" w:lineRule="auto"/>
        <w:ind w:firstLine="420" w:firstLineChars="200"/>
        <w:rPr>
          <w:rFonts w:hint="eastAsia" w:ascii="仿宋" w:hAnsi="仿宋" w:eastAsia="仿宋"/>
          <w:b/>
          <w:color w:val="000000"/>
          <w:sz w:val="21"/>
          <w:szCs w:val="21"/>
        </w:rPr>
      </w:pPr>
      <w:r>
        <w:rPr>
          <w:rFonts w:hint="eastAsia" w:ascii="仿宋" w:hAnsi="仿宋" w:eastAsia="仿宋"/>
          <w:color w:val="000000"/>
          <w:sz w:val="21"/>
          <w:szCs w:val="21"/>
        </w:rPr>
        <w:t>5.2现场递交文件地址：</w:t>
      </w:r>
      <w:r>
        <w:rPr>
          <w:rFonts w:hint="eastAsia" w:ascii="仿宋" w:hAnsi="仿宋" w:eastAsia="仿宋"/>
          <w:b/>
          <w:color w:val="000000"/>
          <w:sz w:val="21"/>
          <w:szCs w:val="21"/>
        </w:rPr>
        <w:t>昆明市东川区公共资源交易中心（东川区凯通路77号）。</w:t>
      </w:r>
    </w:p>
    <w:p w14:paraId="10854CF8">
      <w:pPr>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5.3逾期送达的或者未送达指定地点的竞选文件，视为撤回竞选文件，招标人不予受理。</w:t>
      </w:r>
    </w:p>
    <w:p w14:paraId="06C4FE30">
      <w:pPr>
        <w:adjustRightInd w:val="0"/>
        <w:snapToGrid w:val="0"/>
        <w:spacing w:before="156" w:beforeLines="50" w:after="156" w:afterLines="50" w:line="360" w:lineRule="auto"/>
        <w:rPr>
          <w:rFonts w:ascii="仿宋" w:hAnsi="仿宋" w:eastAsia="仿宋"/>
          <w:b/>
          <w:color w:val="000000"/>
          <w:sz w:val="24"/>
          <w:szCs w:val="21"/>
        </w:rPr>
      </w:pPr>
      <w:r>
        <w:rPr>
          <w:rFonts w:hint="eastAsia" w:ascii="仿宋" w:hAnsi="仿宋" w:eastAsia="仿宋"/>
          <w:b/>
          <w:color w:val="000000"/>
          <w:sz w:val="24"/>
          <w:szCs w:val="21"/>
        </w:rPr>
        <w:t>6</w:t>
      </w:r>
      <w:r>
        <w:rPr>
          <w:rFonts w:ascii="仿宋" w:hAnsi="仿宋" w:eastAsia="仿宋"/>
          <w:b/>
          <w:color w:val="000000"/>
          <w:sz w:val="24"/>
          <w:szCs w:val="21"/>
        </w:rPr>
        <w:t>．发布公告的媒介</w:t>
      </w:r>
    </w:p>
    <w:p w14:paraId="43B92D3E">
      <w:pPr>
        <w:adjustRightInd w:val="0"/>
        <w:snapToGrid w:val="0"/>
        <w:spacing w:line="360" w:lineRule="auto"/>
        <w:ind w:firstLine="420" w:firstLineChars="200"/>
        <w:rPr>
          <w:rFonts w:ascii="仿宋" w:hAnsi="仿宋" w:eastAsia="仿宋"/>
          <w:b/>
          <w:color w:val="000000"/>
          <w:sz w:val="21"/>
          <w:szCs w:val="21"/>
        </w:rPr>
      </w:pPr>
      <w:r>
        <w:rPr>
          <w:rFonts w:hint="eastAsia" w:ascii="仿宋" w:hAnsi="仿宋" w:eastAsia="仿宋"/>
          <w:color w:val="000000"/>
          <w:sz w:val="21"/>
          <w:szCs w:val="21"/>
        </w:rPr>
        <w:t>本项目竞争性比选公告在《昆明市东川区政府门户网站》上发布，我公司对其他网站或媒体转载的公告及公告内容不承担任何责任。</w:t>
      </w:r>
    </w:p>
    <w:p w14:paraId="2B384961">
      <w:pPr>
        <w:adjustRightInd w:val="0"/>
        <w:snapToGrid w:val="0"/>
        <w:spacing w:before="156" w:beforeLines="50" w:after="156" w:afterLines="50" w:line="360" w:lineRule="auto"/>
        <w:rPr>
          <w:rFonts w:ascii="仿宋" w:hAnsi="仿宋" w:eastAsia="仿宋"/>
          <w:b/>
          <w:color w:val="000000"/>
          <w:sz w:val="24"/>
          <w:szCs w:val="21"/>
        </w:rPr>
      </w:pPr>
      <w:r>
        <w:rPr>
          <w:rFonts w:hint="eastAsia" w:ascii="仿宋" w:hAnsi="仿宋" w:eastAsia="仿宋"/>
          <w:b/>
          <w:color w:val="000000"/>
          <w:sz w:val="24"/>
          <w:szCs w:val="21"/>
        </w:rPr>
        <w:t>7</w:t>
      </w:r>
      <w:r>
        <w:rPr>
          <w:rFonts w:ascii="仿宋" w:hAnsi="仿宋" w:eastAsia="仿宋"/>
          <w:b/>
          <w:color w:val="000000"/>
          <w:sz w:val="24"/>
          <w:szCs w:val="21"/>
        </w:rPr>
        <w:t>．联系方式</w:t>
      </w:r>
    </w:p>
    <w:p w14:paraId="1A20CE72">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招标人：昆明市东川区发展和改革局</w:t>
      </w:r>
    </w:p>
    <w:p w14:paraId="01777B51">
      <w:pPr>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地  址：昆明市东川区古铜路29号</w:t>
      </w:r>
    </w:p>
    <w:p w14:paraId="10323BD1">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联系人：杨工</w:t>
      </w:r>
    </w:p>
    <w:p w14:paraId="1DAA92EF">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电  话：13908801932</w:t>
      </w:r>
    </w:p>
    <w:p w14:paraId="1C8C6EEF">
      <w:pPr>
        <w:adjustRightInd w:val="0"/>
        <w:snapToGrid w:val="0"/>
        <w:spacing w:line="360" w:lineRule="auto"/>
        <w:ind w:firstLine="420" w:firstLineChars="200"/>
        <w:rPr>
          <w:rFonts w:hint="eastAsia" w:ascii="仿宋" w:hAnsi="仿宋" w:eastAsia="仿宋"/>
          <w:color w:val="000000"/>
          <w:sz w:val="21"/>
          <w:szCs w:val="21"/>
        </w:rPr>
      </w:pPr>
    </w:p>
    <w:p w14:paraId="0A3C8218">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竞争性比选代理机构：云南合林项目管理有限公司</w:t>
      </w:r>
    </w:p>
    <w:p w14:paraId="767848D3">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地  址：昆明市五华区红云路红云社区和谐世纪M1栋30楼3001号</w:t>
      </w:r>
    </w:p>
    <w:p w14:paraId="2598D3F5">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联系人：和萍</w:t>
      </w:r>
    </w:p>
    <w:p w14:paraId="188132F8">
      <w:pPr>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电  话：13320542660</w:t>
      </w:r>
    </w:p>
    <w:p w14:paraId="503D24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B6"/>
    <w:rsid w:val="00252D70"/>
    <w:rsid w:val="00E90A83"/>
    <w:rsid w:val="00FA18B6"/>
    <w:rsid w:val="3B8D3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paragraph" w:styleId="2">
    <w:name w:val="heading 1"/>
    <w:basedOn w:val="1"/>
    <w:next w:val="1"/>
    <w:link w:val="9"/>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7"/>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标题 1 字符"/>
    <w:basedOn w:val="6"/>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1924</Words>
  <Characters>2054</Characters>
  <Lines>14</Lines>
  <Paragraphs>4</Paragraphs>
  <TotalTime>1</TotalTime>
  <ScaleCrop>false</ScaleCrop>
  <LinksUpToDate>false</LinksUpToDate>
  <CharactersWithSpaces>2062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2024-08-02T03:27:00Z</dcterms:created>
  <dc:creator>Administrator</dc:creator>
  <cp:lastModifiedBy>听潮</cp:lastModifiedBy>
  <dcterms:modified xsi:type="dcterms:W3CDTF">2024-12-23T06:10:30Z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758ED8EB91C043C0995D15F54BF013C5_12</vt:lpwstr>
  </property>
</Properties>
</file>