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F443D">
      <w:pPr>
        <w:overflowPunct w:val="0"/>
        <w:topLinePunct/>
        <w:adjustRightInd w:val="0"/>
        <w:snapToGrid w:val="0"/>
        <w:spacing w:line="592" w:lineRule="exact"/>
        <w:jc w:val="center"/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地方行政府债务有关情况</w:t>
      </w:r>
    </w:p>
    <w:p w14:paraId="5835FE70">
      <w:pPr>
        <w:overflowPunct w:val="0"/>
        <w:topLinePunct/>
        <w:adjustRightInd w:val="0"/>
        <w:snapToGrid w:val="0"/>
        <w:spacing w:line="592" w:lineRule="exact"/>
        <w:ind w:firstLine="643" w:firstLineChars="200"/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649D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一、2023年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地方政府债务情况。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全市政府债务年末余额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46.49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亿元，其中：地方政府一般债务余额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15.8亿元，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地方政府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30.69亿元，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具体情况详见附表50。</w:t>
      </w:r>
    </w:p>
    <w:p w14:paraId="25157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二、2024年地方政府债务情况。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2024年，根据东川区债券项目需求，参照近年来申报发行规模，编制全市新增专项债券预算10亿元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具体情况详见附表59。</w:t>
      </w:r>
    </w:p>
    <w:p w14:paraId="34726051">
      <w:pPr>
        <w:ind w:firstLine="420" w:firstLineChars="200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DdlZTAxOGFmZDkwMGZjMmNjMmExZTMyZjAzNzcifQ=="/>
  </w:docVars>
  <w:rsids>
    <w:rsidRoot w:val="63F21BDC"/>
    <w:rsid w:val="10C936AB"/>
    <w:rsid w:val="218D0A8A"/>
    <w:rsid w:val="25754FEA"/>
    <w:rsid w:val="2B136820"/>
    <w:rsid w:val="393C270B"/>
    <w:rsid w:val="39DD4D6C"/>
    <w:rsid w:val="3F6F742F"/>
    <w:rsid w:val="57C23297"/>
    <w:rsid w:val="5F9D1F42"/>
    <w:rsid w:val="63F21BDC"/>
    <w:rsid w:val="65A23F54"/>
    <w:rsid w:val="730F3052"/>
    <w:rsid w:val="798B70FF"/>
    <w:rsid w:val="7E1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233</Words>
  <Characters>275</Characters>
  <Lines>0</Lines>
  <Paragraphs>0</Paragraphs>
  <TotalTime>0</TotalTime>
  <ScaleCrop>false</ScaleCrop>
  <LinksUpToDate>false</LinksUpToDate>
  <CharactersWithSpaces>275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2024-01-02T09:12:00Z</dcterms:created>
  <dc:creator>解娅冬</dc:creator>
  <cp:lastModifiedBy>张伟</cp:lastModifiedBy>
  <dcterms:modified xsi:type="dcterms:W3CDTF">2024-11-03T05:39:43Z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6D0CA536B45D4E9CA86491AF82F2BA72_13</vt:lpwstr>
  </property>
</Properties>
</file>