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642B9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eastAsia" w:eastAsia="方正小标宋_GBK"/>
          <w:b w:val="0"/>
          <w:bCs w:val="0"/>
          <w:spacing w:val="12"/>
          <w:sz w:val="19"/>
          <w:szCs w:val="19"/>
          <w:u w:val="none"/>
          <w:lang w:eastAsia="zh-CN"/>
        </w:rPr>
      </w:pPr>
      <w:r>
        <w:rPr>
          <w:rFonts w:hint="eastAsia" w:ascii="方正小标宋_GBK" w:hAnsi="方正小标宋_GBK" w:eastAsia="方正小标宋_GBK" w:cs="方正小标宋_GBK"/>
          <w:b w:val="0"/>
          <w:bCs w:val="0"/>
          <w:spacing w:val="12"/>
          <w:sz w:val="34"/>
          <w:szCs w:val="34"/>
          <w:u w:val="none"/>
          <w:vertAlign w:val="baseline"/>
          <w:lang w:eastAsia="zh-CN"/>
        </w:rPr>
        <w:t>昆明东川华润</w:t>
      </w:r>
      <w:r>
        <w:rPr>
          <w:rFonts w:ascii="方正小标宋_GBK" w:hAnsi="方正小标宋_GBK" w:eastAsia="方正小标宋_GBK" w:cs="方正小标宋_GBK"/>
          <w:b w:val="0"/>
          <w:bCs w:val="0"/>
          <w:spacing w:val="12"/>
          <w:sz w:val="34"/>
          <w:szCs w:val="34"/>
          <w:u w:val="none"/>
          <w:vertAlign w:val="baseline"/>
        </w:rPr>
        <w:t>燃气有限公司</w:t>
      </w:r>
      <w:r>
        <w:rPr>
          <w:rFonts w:hint="eastAsia" w:ascii="方正小标宋_GBK" w:hAnsi="方正小标宋_GBK" w:eastAsia="方正小标宋_GBK" w:cs="方正小标宋_GBK"/>
          <w:b w:val="0"/>
          <w:bCs w:val="0"/>
          <w:spacing w:val="12"/>
          <w:sz w:val="34"/>
          <w:szCs w:val="34"/>
          <w:u w:val="none"/>
          <w:vertAlign w:val="baseline"/>
          <w:lang w:eastAsia="zh-CN"/>
        </w:rPr>
        <w:t>收费标准</w:t>
      </w:r>
    </w:p>
    <w:p w14:paraId="21266BC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both"/>
        <w:textAlignment w:val="baseline"/>
        <w:rPr>
          <w:rFonts w:hint="default" w:ascii="仿宋_GB2312" w:eastAsia="仿宋_GB2312" w:cs="仿宋_GB2312"/>
          <w:b w:val="0"/>
          <w:bCs w:val="0"/>
          <w:spacing w:val="12"/>
          <w:sz w:val="25"/>
          <w:szCs w:val="25"/>
          <w:u w:val="none"/>
          <w:vertAlign w:val="baseline"/>
        </w:rPr>
      </w:pPr>
    </w:p>
    <w:p w14:paraId="6A444DE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both"/>
        <w:textAlignment w:val="baseline"/>
        <w:rPr>
          <w:b/>
          <w:bCs/>
          <w:spacing w:val="12"/>
          <w:sz w:val="19"/>
          <w:szCs w:val="19"/>
          <w:u w:val="none"/>
        </w:rPr>
      </w:pPr>
      <w:r>
        <w:rPr>
          <w:rFonts w:hint="eastAsia" w:ascii="仿宋_GB2312" w:eastAsia="仿宋_GB2312" w:cs="仿宋_GB2312"/>
          <w:b/>
          <w:bCs/>
          <w:spacing w:val="12"/>
          <w:sz w:val="25"/>
          <w:szCs w:val="25"/>
          <w:u w:val="none"/>
          <w:vertAlign w:val="baseline"/>
          <w:lang w:eastAsia="zh-CN"/>
        </w:rPr>
        <w:t>新建设施</w:t>
      </w:r>
      <w:r>
        <w:rPr>
          <w:rFonts w:hint="default" w:ascii="仿宋_GB2312" w:eastAsia="仿宋_GB2312" w:cs="仿宋_GB2312"/>
          <w:b/>
          <w:bCs/>
          <w:spacing w:val="12"/>
          <w:sz w:val="25"/>
          <w:szCs w:val="25"/>
          <w:u w:val="none"/>
          <w:vertAlign w:val="baseline"/>
        </w:rPr>
        <w:t>收费标准</w:t>
      </w:r>
    </w:p>
    <w:tbl>
      <w:tblPr>
        <w:tblStyle w:val="3"/>
        <w:tblW w:w="9331" w:type="dxa"/>
        <w:tblInd w:w="0" w:type="dxa"/>
        <w:tblBorders>
          <w:top w:val="single" w:color="333333" w:sz="4" w:space="0"/>
          <w:left w:val="single" w:color="333333" w:sz="4" w:space="0"/>
          <w:bottom w:val="single" w:color="333333" w:sz="4" w:space="0"/>
          <w:right w:val="single" w:color="333333" w:sz="4"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40"/>
        <w:gridCol w:w="564"/>
        <w:gridCol w:w="924"/>
        <w:gridCol w:w="6403"/>
      </w:tblGrid>
      <w:tr w14:paraId="40395A2B">
        <w:tblPrEx>
          <w:tblBorders>
            <w:top w:val="single" w:color="333333" w:sz="4" w:space="0"/>
            <w:left w:val="single" w:color="333333" w:sz="4" w:space="0"/>
            <w:bottom w:val="single" w:color="333333" w:sz="4" w:space="0"/>
            <w:right w:val="single" w:color="333333" w:sz="4" w:space="0"/>
            <w:insideH w:val="none" w:color="auto" w:sz="0" w:space="0"/>
            <w:insideV w:val="none" w:color="auto" w:sz="0" w:space="0"/>
          </w:tblBorders>
          <w:shd w:val="clear" w:color="auto" w:fill="auto"/>
          <w:tblCellMar>
            <w:top w:w="0" w:type="dxa"/>
            <w:left w:w="0" w:type="dxa"/>
            <w:bottom w:w="0" w:type="dxa"/>
            <w:right w:w="0" w:type="dxa"/>
          </w:tblCellMar>
        </w:tblPrEx>
        <w:tc>
          <w:tcPr>
            <w:tcW w:w="1440" w:type="dxa"/>
            <w:tcBorders>
              <w:top w:val="single" w:color="auto" w:sz="4" w:space="0"/>
              <w:left w:val="single" w:color="auto" w:sz="4" w:space="0"/>
              <w:bottom w:val="single" w:color="auto" w:sz="4" w:space="0"/>
              <w:right w:val="single" w:color="auto" w:sz="4" w:space="0"/>
            </w:tcBorders>
            <w:shd w:val="clear" w:color="auto" w:fill="auto"/>
            <w:tcMar>
              <w:left w:w="84" w:type="dxa"/>
              <w:right w:w="84" w:type="dxa"/>
            </w:tcMar>
            <w:vAlign w:val="center"/>
          </w:tcPr>
          <w:p w14:paraId="1E21B1E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eastAsia"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类型</w:t>
            </w:r>
          </w:p>
        </w:tc>
        <w:tc>
          <w:tcPr>
            <w:tcW w:w="564" w:type="dxa"/>
            <w:tcBorders>
              <w:top w:val="single" w:color="auto" w:sz="4" w:space="0"/>
              <w:left w:val="single" w:color="auto" w:sz="4" w:space="0"/>
              <w:bottom w:val="single" w:color="auto" w:sz="4" w:space="0"/>
              <w:right w:val="single" w:color="auto" w:sz="4" w:space="0"/>
            </w:tcBorders>
            <w:shd w:val="clear" w:color="auto" w:fill="auto"/>
            <w:tcMar>
              <w:left w:w="84" w:type="dxa"/>
              <w:right w:w="84" w:type="dxa"/>
            </w:tcMar>
            <w:vAlign w:val="center"/>
          </w:tcPr>
          <w:p w14:paraId="7BC3BF3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eastAsia"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单位</w:t>
            </w:r>
          </w:p>
        </w:tc>
        <w:tc>
          <w:tcPr>
            <w:tcW w:w="924" w:type="dxa"/>
            <w:tcBorders>
              <w:top w:val="single" w:color="auto" w:sz="4" w:space="0"/>
              <w:left w:val="single" w:color="auto" w:sz="4" w:space="0"/>
              <w:bottom w:val="single" w:color="auto" w:sz="4" w:space="0"/>
              <w:right w:val="single" w:color="auto" w:sz="4" w:space="0"/>
            </w:tcBorders>
            <w:shd w:val="clear" w:color="auto" w:fill="auto"/>
            <w:tcMar>
              <w:left w:w="84" w:type="dxa"/>
              <w:right w:w="84" w:type="dxa"/>
            </w:tcMar>
            <w:vAlign w:val="center"/>
          </w:tcPr>
          <w:p w14:paraId="4F4048E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eastAsia"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单价（元）</w:t>
            </w:r>
          </w:p>
        </w:tc>
        <w:tc>
          <w:tcPr>
            <w:tcW w:w="6403" w:type="dxa"/>
            <w:tcBorders>
              <w:top w:val="single" w:color="auto" w:sz="4" w:space="0"/>
              <w:left w:val="single" w:color="auto" w:sz="4" w:space="0"/>
              <w:bottom w:val="single" w:color="auto" w:sz="4" w:space="0"/>
              <w:right w:val="single" w:color="auto" w:sz="4" w:space="0"/>
            </w:tcBorders>
            <w:shd w:val="clear" w:color="auto" w:fill="auto"/>
            <w:tcMar>
              <w:left w:w="84" w:type="dxa"/>
              <w:right w:w="84" w:type="dxa"/>
            </w:tcMar>
            <w:vAlign w:val="center"/>
          </w:tcPr>
          <w:p w14:paraId="2D87845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eastAsia"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备注</w:t>
            </w:r>
          </w:p>
        </w:tc>
      </w:tr>
      <w:tr w14:paraId="1B0B66AA">
        <w:tblPrEx>
          <w:tblBorders>
            <w:top w:val="single" w:color="333333" w:sz="4" w:space="0"/>
            <w:left w:val="single" w:color="333333" w:sz="4" w:space="0"/>
            <w:bottom w:val="single" w:color="333333" w:sz="4" w:space="0"/>
            <w:right w:val="single" w:color="333333" w:sz="4" w:space="0"/>
            <w:insideH w:val="none" w:color="auto" w:sz="0" w:space="0"/>
            <w:insideV w:val="none" w:color="auto" w:sz="0" w:space="0"/>
          </w:tblBorders>
          <w:tblCellMar>
            <w:top w:w="0" w:type="dxa"/>
            <w:left w:w="0" w:type="dxa"/>
            <w:bottom w:w="0" w:type="dxa"/>
            <w:right w:w="0" w:type="dxa"/>
          </w:tblCellMar>
        </w:tblPrEx>
        <w:tc>
          <w:tcPr>
            <w:tcW w:w="1440" w:type="dxa"/>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14:paraId="5B20153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eastAsia"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新建居民住宅</w:t>
            </w:r>
          </w:p>
        </w:tc>
        <w:tc>
          <w:tcPr>
            <w:tcW w:w="564" w:type="dxa"/>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14:paraId="2557187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eastAsia"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户</w:t>
            </w:r>
          </w:p>
        </w:tc>
        <w:tc>
          <w:tcPr>
            <w:tcW w:w="924" w:type="dxa"/>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14:paraId="4EAA2DD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eastAsia"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2000</w:t>
            </w:r>
          </w:p>
        </w:tc>
        <w:tc>
          <w:tcPr>
            <w:tcW w:w="6403" w:type="dxa"/>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14:paraId="35D5B6D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eastAsia"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新建住宅燃气工程安装费实行最高限价管理，最高限价标准为2000元/户。包干范围详见：《昆明市住宅燃气工程材料明细表》</w:t>
            </w:r>
          </w:p>
        </w:tc>
      </w:tr>
      <w:tr w14:paraId="24ACE2A5">
        <w:tblPrEx>
          <w:tblBorders>
            <w:top w:val="single" w:color="333333" w:sz="4" w:space="0"/>
            <w:left w:val="single" w:color="333333" w:sz="4" w:space="0"/>
            <w:bottom w:val="single" w:color="333333" w:sz="4" w:space="0"/>
            <w:right w:val="single" w:color="333333" w:sz="4" w:space="0"/>
            <w:insideH w:val="none" w:color="auto" w:sz="0" w:space="0"/>
            <w:insideV w:val="none" w:color="auto" w:sz="0" w:space="0"/>
          </w:tblBorders>
          <w:tblCellMar>
            <w:top w:w="0" w:type="dxa"/>
            <w:left w:w="0" w:type="dxa"/>
            <w:bottom w:w="0" w:type="dxa"/>
            <w:right w:w="0" w:type="dxa"/>
          </w:tblCellMar>
        </w:tblPrEx>
        <w:tc>
          <w:tcPr>
            <w:tcW w:w="1440" w:type="dxa"/>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14:paraId="6CA88A5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default"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老旧居民住宅</w:t>
            </w:r>
          </w:p>
        </w:tc>
        <w:tc>
          <w:tcPr>
            <w:tcW w:w="564" w:type="dxa"/>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14:paraId="5686A5E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default"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户</w:t>
            </w:r>
          </w:p>
        </w:tc>
        <w:tc>
          <w:tcPr>
            <w:tcW w:w="924" w:type="dxa"/>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14:paraId="0723D45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default"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3800</w:t>
            </w:r>
          </w:p>
        </w:tc>
        <w:tc>
          <w:tcPr>
            <w:tcW w:w="6403" w:type="dxa"/>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14:paraId="30A8ABE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default"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老旧小区（不含别墅）燃气工程安装费实行最高限价管理。 具体每户收费标准由双方协商确定，最高不得超过 3800 元/户。凡与前述燃气工程安装范围内燃气工程设计、施工等服务和材料不相关的收费，包括开口费、接口费、接入费、入网费、清管费、通气费、点火费等费用，涉及建筑区划红线外市政管网到建筑区划红线连接的初装费、接驳费、开通费等费用，以及其他成本已纳入配气价格的表具更换等收费项目，一律不得收取，且不得变换名目另行收取。</w:t>
            </w:r>
          </w:p>
        </w:tc>
      </w:tr>
      <w:tr w14:paraId="13BFEE62">
        <w:tblPrEx>
          <w:tblBorders>
            <w:top w:val="single" w:color="333333" w:sz="4" w:space="0"/>
            <w:left w:val="single" w:color="333333" w:sz="4" w:space="0"/>
            <w:bottom w:val="single" w:color="333333" w:sz="4" w:space="0"/>
            <w:right w:val="single" w:color="333333" w:sz="4" w:space="0"/>
            <w:insideH w:val="none" w:color="auto" w:sz="0" w:space="0"/>
            <w:insideV w:val="none" w:color="auto" w:sz="0" w:space="0"/>
          </w:tblBorders>
          <w:tblCellMar>
            <w:top w:w="0" w:type="dxa"/>
            <w:left w:w="0" w:type="dxa"/>
            <w:bottom w:w="0" w:type="dxa"/>
            <w:right w:w="0" w:type="dxa"/>
          </w:tblCellMar>
        </w:tblPrEx>
        <w:tc>
          <w:tcPr>
            <w:tcW w:w="1440" w:type="dxa"/>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14:paraId="35395B4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default"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别墅、跃层等住宅及非居民</w:t>
            </w:r>
          </w:p>
        </w:tc>
        <w:tc>
          <w:tcPr>
            <w:tcW w:w="564" w:type="dxa"/>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14:paraId="5C8E665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default"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户</w:t>
            </w:r>
          </w:p>
        </w:tc>
        <w:tc>
          <w:tcPr>
            <w:tcW w:w="924" w:type="dxa"/>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14:paraId="2835023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default"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w:t>
            </w:r>
          </w:p>
        </w:tc>
        <w:tc>
          <w:tcPr>
            <w:tcW w:w="6403" w:type="dxa"/>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14:paraId="135C148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default"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双方协商确定</w:t>
            </w:r>
          </w:p>
        </w:tc>
      </w:tr>
      <w:tr w14:paraId="22E4D222">
        <w:tblPrEx>
          <w:tblBorders>
            <w:top w:val="single" w:color="333333" w:sz="4" w:space="0"/>
            <w:left w:val="single" w:color="333333" w:sz="4" w:space="0"/>
            <w:bottom w:val="single" w:color="333333" w:sz="4" w:space="0"/>
            <w:right w:val="single" w:color="333333" w:sz="4" w:space="0"/>
            <w:insideH w:val="none" w:color="auto" w:sz="0" w:space="0"/>
            <w:insideV w:val="none" w:color="auto" w:sz="0" w:space="0"/>
          </w:tblBorders>
          <w:tblCellMar>
            <w:top w:w="0" w:type="dxa"/>
            <w:left w:w="0" w:type="dxa"/>
            <w:bottom w:w="0" w:type="dxa"/>
            <w:right w:w="0" w:type="dxa"/>
          </w:tblCellMar>
        </w:tblPrEx>
        <w:tc>
          <w:tcPr>
            <w:tcW w:w="1440" w:type="dxa"/>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14:paraId="04AA716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default"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优惠措施</w:t>
            </w:r>
          </w:p>
        </w:tc>
        <w:tc>
          <w:tcPr>
            <w:tcW w:w="564" w:type="dxa"/>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14:paraId="5A34EA4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default" w:ascii="宋体" w:hAnsi="宋体" w:eastAsia="宋体" w:cstheme="minorBidi"/>
                <w:kern w:val="0"/>
                <w:sz w:val="24"/>
                <w:szCs w:val="24"/>
                <w:lang w:val="en-US" w:eastAsia="zh-CN" w:bidi="ar"/>
              </w:rPr>
            </w:pPr>
          </w:p>
        </w:tc>
        <w:tc>
          <w:tcPr>
            <w:tcW w:w="924" w:type="dxa"/>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14:paraId="62B2C1B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default" w:ascii="宋体" w:hAnsi="宋体" w:eastAsia="宋体" w:cstheme="minorBidi"/>
                <w:kern w:val="0"/>
                <w:sz w:val="24"/>
                <w:szCs w:val="24"/>
                <w:lang w:val="en-US" w:eastAsia="zh-CN" w:bidi="ar"/>
              </w:rPr>
            </w:pPr>
          </w:p>
        </w:tc>
        <w:tc>
          <w:tcPr>
            <w:tcW w:w="6403" w:type="dxa"/>
            <w:tcBorders>
              <w:top w:val="nil"/>
              <w:left w:val="single" w:color="auto" w:sz="4" w:space="0"/>
              <w:bottom w:val="single" w:color="auto" w:sz="4" w:space="0"/>
              <w:right w:val="single" w:color="auto" w:sz="4" w:space="0"/>
            </w:tcBorders>
            <w:shd w:val="clear" w:color="auto" w:fill="auto"/>
            <w:tcMar>
              <w:left w:w="84" w:type="dxa"/>
              <w:right w:w="84" w:type="dxa"/>
            </w:tcMar>
            <w:vAlign w:val="center"/>
          </w:tcPr>
          <w:p w14:paraId="3EF05DE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textAlignment w:val="baseline"/>
              <w:rPr>
                <w:rFonts w:hint="default"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对享受城镇最低生活保障的居民凭《昆明市城乡居民最低生- 2 -活保障金领取证》或《特困人员救助供养证》，按不超过所在小区安装费的 80%执行。</w:t>
            </w:r>
          </w:p>
        </w:tc>
      </w:tr>
    </w:tbl>
    <w:p w14:paraId="5FF35E4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textAlignment w:val="baseline"/>
        <w:rPr>
          <w:rFonts w:hint="default"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执行依据：</w:t>
      </w:r>
    </w:p>
    <w:p w14:paraId="2C19F59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textAlignment w:val="baseline"/>
        <w:rPr>
          <w:rFonts w:hint="default"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昆明市发展和改革委员会关于昆明市新建住宅燃气工程安装费标准的通知（昆发改价格〔2019〕537号）</w:t>
      </w:r>
    </w:p>
    <w:p w14:paraId="3B0680C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textAlignment w:val="baseline"/>
        <w:rPr>
          <w:rFonts w:hint="default" w:ascii="宋体" w:hAnsi="宋体" w:eastAsia="宋体" w:cstheme="minorBidi"/>
          <w:kern w:val="0"/>
          <w:sz w:val="24"/>
          <w:szCs w:val="24"/>
          <w:lang w:val="en-US" w:eastAsia="zh-CN" w:bidi="ar"/>
        </w:rPr>
      </w:pPr>
      <w:r>
        <w:rPr>
          <w:rFonts w:hint="default" w:ascii="宋体" w:hAnsi="宋体" w:eastAsia="宋体" w:cstheme="minorBidi"/>
          <w:kern w:val="0"/>
          <w:sz w:val="24"/>
          <w:szCs w:val="24"/>
          <w:lang w:val="en-US" w:eastAsia="zh-CN" w:bidi="ar"/>
        </w:rPr>
        <w:t>昆明市发展和改革委员会 昆明市住房和城乡建设局 昆明市市场监督管理局关于进一步规范老旧小区燃气工程安装收费有关问题的通知（昆发改价格〔2020〕625 号）</w:t>
      </w:r>
    </w:p>
    <w:p w14:paraId="75FC9F8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textAlignment w:val="baseline"/>
        <w:rPr>
          <w:rFonts w:hint="default" w:ascii="宋体" w:hAnsi="宋体" w:eastAsia="宋体" w:cstheme="minorBidi"/>
          <w:kern w:val="0"/>
          <w:sz w:val="24"/>
          <w:szCs w:val="24"/>
          <w:lang w:val="en-US" w:eastAsia="zh-CN" w:bidi="ar"/>
        </w:rPr>
      </w:pPr>
    </w:p>
    <w:p w14:paraId="4F49AA2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both"/>
        <w:textAlignment w:val="baseline"/>
        <w:rPr>
          <w:rFonts w:hint="eastAsia" w:ascii="仿宋_GB2312" w:eastAsia="仿宋_GB2312" w:cs="仿宋_GB2312"/>
          <w:b/>
          <w:bCs/>
          <w:spacing w:val="12"/>
          <w:sz w:val="25"/>
          <w:szCs w:val="25"/>
          <w:u w:val="none"/>
          <w:vertAlign w:val="baseline"/>
          <w:lang w:eastAsia="zh-CN"/>
        </w:rPr>
      </w:pPr>
      <w:r>
        <w:rPr>
          <w:rFonts w:hint="eastAsia" w:ascii="仿宋_GB2312" w:eastAsia="仿宋_GB2312" w:cs="仿宋_GB2312"/>
          <w:b/>
          <w:bCs/>
          <w:spacing w:val="12"/>
          <w:sz w:val="25"/>
          <w:szCs w:val="25"/>
          <w:u w:val="none"/>
          <w:vertAlign w:val="baseline"/>
          <w:lang w:eastAsia="zh-CN"/>
        </w:rPr>
        <w:t>燃气维修及其他服务价格标准</w:t>
      </w:r>
    </w:p>
    <w:p w14:paraId="2528065C">
      <w:pPr>
        <w:spacing w:line="360" w:lineRule="auto"/>
        <w:ind w:firstLine="480" w:firstLineChars="200"/>
        <w:rPr>
          <w:rFonts w:hint="eastAsia" w:ascii="宋体" w:hAnsi="宋体" w:eastAsia="宋体" w:cstheme="minorBidi"/>
          <w:kern w:val="0"/>
          <w:sz w:val="24"/>
          <w:szCs w:val="24"/>
          <w:lang w:val="en-US" w:eastAsia="zh-CN" w:bidi="ar"/>
        </w:rPr>
      </w:pPr>
      <w:r>
        <w:rPr>
          <w:rFonts w:hint="eastAsia" w:ascii="宋体" w:hAnsi="宋体" w:eastAsia="宋体" w:cstheme="minorBidi"/>
          <w:kern w:val="0"/>
          <w:sz w:val="24"/>
          <w:szCs w:val="24"/>
          <w:lang w:val="en-US" w:eastAsia="zh-CN" w:bidi="ar"/>
        </w:rPr>
        <w:t>燃气维修、管道改造等服务，如过程中涉及使用材料的，按现场耗用的材料、涉及的人工数，根据云南省</w:t>
      </w:r>
      <w:r>
        <w:rPr>
          <w:rFonts w:hint="default" w:ascii="宋体" w:hAnsi="宋体" w:eastAsia="宋体" w:cstheme="minorBidi"/>
          <w:kern w:val="0"/>
          <w:sz w:val="24"/>
          <w:szCs w:val="24"/>
          <w:lang w:val="en-US" w:eastAsia="zh-CN" w:bidi="ar"/>
        </w:rPr>
        <w:t>《云南省建设工程造价计价标准（2020版）》</w:t>
      </w:r>
      <w:r>
        <w:rPr>
          <w:rFonts w:hint="eastAsia" w:ascii="宋体" w:hAnsi="宋体" w:eastAsia="宋体" w:cstheme="minorBidi"/>
          <w:kern w:val="0"/>
          <w:sz w:val="24"/>
          <w:szCs w:val="24"/>
          <w:lang w:val="en-US" w:eastAsia="zh-CN" w:bidi="ar"/>
        </w:rPr>
        <w:t>进行测算，制定收费依据，并对外公示（详见客服大厅）：</w:t>
      </w:r>
    </w:p>
    <w:p w14:paraId="332F3E40">
      <w:pPr>
        <w:spacing w:line="360" w:lineRule="auto"/>
        <w:ind w:firstLine="480" w:firstLineChars="200"/>
        <w:rPr>
          <w:rFonts w:hint="default" w:ascii="宋体" w:hAnsi="宋体" w:eastAsia="宋体" w:cstheme="minorBidi"/>
          <w:kern w:val="0"/>
          <w:sz w:val="24"/>
          <w:szCs w:val="24"/>
          <w:lang w:val="en-US" w:eastAsia="zh-CN" w:bidi="ar"/>
        </w:rPr>
        <w:sectPr>
          <w:pgSz w:w="11906" w:h="16838"/>
          <w:pgMar w:top="1440" w:right="1800" w:bottom="993" w:left="1800" w:header="851" w:footer="992" w:gutter="0"/>
          <w:cols w:space="425" w:num="1"/>
          <w:docGrid w:type="lines" w:linePitch="312" w:charSpace="0"/>
        </w:sectPr>
      </w:pPr>
    </w:p>
    <w:p w14:paraId="041E526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textAlignment w:val="baseline"/>
        <w:rPr>
          <w:rFonts w:hint="eastAsia" w:ascii="宋体" w:hAnsi="宋体" w:eastAsia="宋体"/>
          <w:lang w:eastAsia="zh-CN"/>
        </w:rPr>
      </w:pPr>
    </w:p>
    <w:p w14:paraId="567C0AD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textAlignment w:val="baseline"/>
        <w:rPr>
          <w:rFonts w:hint="eastAsia" w:ascii="宋体" w:hAnsi="宋体" w:eastAsia="宋体"/>
          <w:lang w:eastAsia="zh-CN"/>
        </w:rPr>
      </w:pPr>
      <w:r>
        <w:rPr>
          <w:rFonts w:hint="eastAsia" w:ascii="宋体" w:hAnsi="宋体" w:eastAsia="宋体"/>
          <w:lang w:eastAsia="zh-CN"/>
        </w:rPr>
        <w:drawing>
          <wp:inline distT="0" distB="0" distL="114300" distR="114300">
            <wp:extent cx="5272405" cy="8083550"/>
            <wp:effectExtent l="0" t="0" r="635" b="8890"/>
            <wp:docPr id="5" name="图片 5" descr="3654233f1789217b1d686712532e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654233f1789217b1d686712532eccc"/>
                    <pic:cNvPicPr>
                      <a:picLocks noChangeAspect="1"/>
                    </pic:cNvPicPr>
                  </pic:nvPicPr>
                  <pic:blipFill>
                    <a:blip r:embed="rId4"/>
                    <a:stretch>
                      <a:fillRect/>
                    </a:stretch>
                  </pic:blipFill>
                  <pic:spPr>
                    <a:xfrm>
                      <a:off x="0" y="0"/>
                      <a:ext cx="5272405" cy="8083550"/>
                    </a:xfrm>
                    <a:prstGeom prst="rect">
                      <a:avLst/>
                    </a:prstGeom>
                  </pic:spPr>
                </pic:pic>
              </a:graphicData>
            </a:graphic>
          </wp:inline>
        </w:drawing>
      </w:r>
    </w:p>
    <w:p w14:paraId="42F93EC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textAlignment w:val="baseline"/>
        <w:rPr>
          <w:rFonts w:hint="eastAsia" w:ascii="宋体" w:hAnsi="宋体" w:eastAsia="宋体"/>
          <w:lang w:eastAsia="zh-CN"/>
        </w:rPr>
      </w:pPr>
      <w:r>
        <w:rPr>
          <w:rFonts w:hint="eastAsia" w:ascii="宋体" w:hAnsi="宋体" w:eastAsia="宋体"/>
          <w:lang w:eastAsia="zh-CN"/>
        </w:rPr>
        <w:drawing>
          <wp:inline distT="0" distB="0" distL="114300" distR="114300">
            <wp:extent cx="5266690" cy="8741410"/>
            <wp:effectExtent l="0" t="0" r="6350" b="6350"/>
            <wp:docPr id="3" name="图片 3" descr="b2759ec0d0d05acb16e606c2ab095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2759ec0d0d05acb16e606c2ab0950d"/>
                    <pic:cNvPicPr>
                      <a:picLocks noChangeAspect="1"/>
                    </pic:cNvPicPr>
                  </pic:nvPicPr>
                  <pic:blipFill>
                    <a:blip r:embed="rId5"/>
                    <a:stretch>
                      <a:fillRect/>
                    </a:stretch>
                  </pic:blipFill>
                  <pic:spPr>
                    <a:xfrm>
                      <a:off x="0" y="0"/>
                      <a:ext cx="5266690" cy="8741410"/>
                    </a:xfrm>
                    <a:prstGeom prst="rect">
                      <a:avLst/>
                    </a:prstGeom>
                  </pic:spPr>
                </pic:pic>
              </a:graphicData>
            </a:graphic>
          </wp:inline>
        </w:drawing>
      </w:r>
    </w:p>
    <w:p w14:paraId="04B8F1BF">
      <w:pPr>
        <w:spacing w:line="360" w:lineRule="auto"/>
        <w:ind w:firstLine="430"/>
        <w:rPr>
          <w:rFonts w:hint="eastAsia" w:ascii="宋体" w:hAnsi="宋体" w:eastAsia="宋体" w:cs="宋体"/>
          <w:b/>
          <w:bCs/>
          <w:sz w:val="24"/>
          <w:szCs w:val="24"/>
        </w:rPr>
      </w:pPr>
      <w:r>
        <w:drawing>
          <wp:inline distT="0" distB="0" distL="114300" distR="114300">
            <wp:extent cx="5263515" cy="4034790"/>
            <wp:effectExtent l="0" t="0" r="9525"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63515" cy="4034790"/>
                    </a:xfrm>
                    <a:prstGeom prst="rect">
                      <a:avLst/>
                    </a:prstGeom>
                    <a:noFill/>
                    <a:ln>
                      <a:noFill/>
                    </a:ln>
                  </pic:spPr>
                </pic:pic>
              </a:graphicData>
            </a:graphic>
          </wp:inline>
        </w:drawing>
      </w:r>
    </w:p>
    <w:p w14:paraId="56431CDA">
      <w:pPr>
        <w:spacing w:line="360" w:lineRule="auto"/>
        <w:ind w:firstLine="430"/>
        <w:rPr>
          <w:rFonts w:hint="eastAsia" w:ascii="宋体" w:hAnsi="宋体" w:eastAsia="宋体" w:cs="宋体"/>
          <w:b/>
          <w:bCs/>
          <w:sz w:val="24"/>
          <w:szCs w:val="24"/>
        </w:rPr>
      </w:pPr>
      <w:r>
        <w:rPr>
          <w:rFonts w:hint="eastAsia" w:ascii="宋体" w:hAnsi="宋体" w:eastAsia="宋体" w:cs="宋体"/>
          <w:b/>
          <w:bCs/>
          <w:sz w:val="24"/>
          <w:szCs w:val="24"/>
        </w:rPr>
        <w:t>天然气价格标准</w:t>
      </w:r>
    </w:p>
    <w:p w14:paraId="189C5C08">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1、居民用气价格标准</w:t>
      </w:r>
    </w:p>
    <w:p w14:paraId="09A5BA3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东川区所供燃气为管道LNG气源，根据《云南省发展和改革委员会关于印发云南省定价目录的通知（云发改价格[2021]676号）》及市、区发改委批复，居民用气可执行最高6.96元/立方米的气价，因考虑到老百姓的接受程度，我司主动让利，居民用户执行4.</w:t>
      </w:r>
      <w:r>
        <w:rPr>
          <w:rFonts w:hint="eastAsia" w:ascii="宋体" w:hAnsi="宋体" w:eastAsia="宋体" w:cs="宋体"/>
          <w:bCs/>
          <w:sz w:val="24"/>
          <w:szCs w:val="24"/>
          <w:lang w:val="en-US" w:eastAsia="zh-CN"/>
        </w:rPr>
        <w:t>2</w:t>
      </w:r>
      <w:r>
        <w:rPr>
          <w:rFonts w:hint="eastAsia" w:ascii="宋体" w:hAnsi="宋体" w:eastAsia="宋体" w:cs="宋体"/>
          <w:bCs/>
          <w:sz w:val="24"/>
          <w:szCs w:val="24"/>
        </w:rPr>
        <w:t>元/立方米的气价。</w:t>
      </w:r>
    </w:p>
    <w:p w14:paraId="522167EB">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2、工商业价格标准</w:t>
      </w:r>
    </w:p>
    <w:p w14:paraId="7336D597">
      <w:pPr>
        <w:spacing w:line="360" w:lineRule="auto"/>
        <w:ind w:firstLine="480" w:firstLineChars="200"/>
        <w:rPr>
          <w:rFonts w:hint="eastAsia" w:ascii="宋体" w:hAnsi="宋体" w:eastAsia="宋体" w:cs="黑体"/>
          <w:bCs/>
          <w:sz w:val="24"/>
          <w:szCs w:val="24"/>
        </w:rPr>
      </w:pPr>
      <w:r>
        <w:rPr>
          <w:rFonts w:hint="eastAsia" w:ascii="宋体" w:hAnsi="宋体" w:eastAsia="宋体" w:cs="宋体"/>
          <w:bCs/>
          <w:sz w:val="24"/>
          <w:szCs w:val="24"/>
        </w:rPr>
        <w:t>非居民燃气价格根据《云南省发展和改革委员会关于印发云南省定价目录的通知（云发改价格[2021]676号）》及市、区发改委批复，LNG</w:t>
      </w:r>
      <w:r>
        <w:rPr>
          <w:rFonts w:hint="eastAsia" w:ascii="宋体" w:hAnsi="宋体" w:eastAsia="宋体" w:cs="宋体"/>
          <w:bCs/>
          <w:sz w:val="24"/>
          <w:szCs w:val="24"/>
          <w:lang w:eastAsia="zh-CN"/>
        </w:rPr>
        <w:t>用户</w:t>
      </w:r>
      <w:r>
        <w:rPr>
          <w:rFonts w:hint="eastAsia" w:ascii="宋体" w:hAnsi="宋体" w:eastAsia="宋体" w:cs="宋体"/>
          <w:bCs/>
          <w:sz w:val="24"/>
          <w:szCs w:val="24"/>
        </w:rPr>
        <w:t>用气可执行最高6.96元/立方米的气价，因考虑用户的接受程度，</w:t>
      </w:r>
      <w:r>
        <w:rPr>
          <w:rFonts w:hint="eastAsia" w:ascii="宋体" w:hAnsi="宋体" w:eastAsia="宋体" w:cs="宋体"/>
          <w:bCs/>
          <w:sz w:val="24"/>
          <w:szCs w:val="24"/>
          <w:lang w:eastAsia="zh-CN"/>
        </w:rPr>
        <w:t>非保供期</w:t>
      </w:r>
      <w:r>
        <w:rPr>
          <w:rFonts w:hint="eastAsia" w:ascii="宋体" w:hAnsi="宋体" w:eastAsia="宋体" w:cs="宋体"/>
          <w:bCs/>
          <w:sz w:val="24"/>
          <w:szCs w:val="24"/>
        </w:rPr>
        <w:t>对商业、公福用户价格执行4.</w:t>
      </w:r>
      <w:r>
        <w:rPr>
          <w:rFonts w:hint="eastAsia" w:ascii="宋体" w:hAnsi="宋体" w:eastAsia="宋体" w:cs="宋体"/>
          <w:bCs/>
          <w:sz w:val="24"/>
          <w:szCs w:val="24"/>
          <w:lang w:val="en-US" w:eastAsia="zh-CN"/>
        </w:rPr>
        <w:t>5</w:t>
      </w:r>
      <w:r>
        <w:rPr>
          <w:rFonts w:hint="eastAsia" w:ascii="宋体" w:hAnsi="宋体" w:eastAsia="宋体" w:cs="宋体"/>
          <w:bCs/>
          <w:sz w:val="24"/>
          <w:szCs w:val="24"/>
        </w:rPr>
        <w:t>元/立方米，工业用户执行阶梯气价（3.4元/立方米—4元/立方米）。</w:t>
      </w:r>
    </w:p>
    <w:p w14:paraId="2DD6473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textAlignment w:val="baseline"/>
        <w:rPr>
          <w:rFonts w:hint="eastAsia" w:ascii="宋体" w:hAnsi="宋体" w:eastAsia="宋体"/>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Arial Unicode MS"/>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2OTU0NWI3NDBmMjU5ZGVkMjFiNGE5NjFiNWE0NTAifQ=="/>
  </w:docVars>
  <w:rsids>
    <w:rsidRoot w:val="00000000"/>
    <w:rsid w:val="0E4D3D06"/>
    <w:rsid w:val="2E59746D"/>
    <w:rsid w:val="3A647D60"/>
    <w:rsid w:val="3D666D09"/>
    <w:rsid w:val="61C37357"/>
    <w:rsid w:val="6400792C"/>
    <w:rsid w:val="680B7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899</Words>
  <Characters>958</Characters>
  <Lines>0</Lines>
  <Paragraphs>0</Paragraphs>
  <TotalTime>2</TotalTime>
  <ScaleCrop>false</ScaleCrop>
  <LinksUpToDate>false</LinksUpToDate>
  <CharactersWithSpaces>967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2022-12-21T08:57:00Z</dcterms:created>
  <dc:creator>Administrator</dc:creator>
  <cp:lastModifiedBy>陈二猴</cp:lastModifiedBy>
  <dcterms:modified xsi:type="dcterms:W3CDTF">2024-09-26T02:01:54Z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A28EFEC372784E07BFF1724942416BA0</vt:lpwstr>
  </property>
</Properties>
</file>