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昆明市东川区医疗保障局</w:t>
      </w:r>
      <w:r>
        <w:rPr>
          <w:rFonts w:hint="eastAsia" w:eastAsia="方正小标宋_GBK" w:cs="Times New Roman"/>
          <w:color w:val="auto"/>
          <w:sz w:val="44"/>
          <w:szCs w:val="44"/>
          <w:highlight w:val="none"/>
          <w:lang w:val="en-US" w:eastAsia="zh-CN"/>
        </w:rPr>
        <w:t>2023</w:t>
      </w:r>
      <w:r>
        <w:rPr>
          <w:rFonts w:hint="eastAsia" w:ascii="方正小标宋_GBK" w:hAnsi="方正小标宋_GBK" w:eastAsia="方正小标宋_GBK" w:cs="方正小标宋_GBK"/>
          <w:color w:val="auto"/>
          <w:sz w:val="44"/>
          <w:szCs w:val="44"/>
          <w:highlight w:val="none"/>
          <w:lang w:val="en-US" w:eastAsia="zh-CN"/>
        </w:rPr>
        <w:t>年度</w:t>
      </w:r>
      <w:r>
        <w:rPr>
          <w:rFonts w:hint="eastAsia" w:ascii="方正小标宋_GBK" w:hAnsi="方正小标宋_GBK" w:eastAsia="方正小标宋_GBK" w:cs="方正小标宋_GBK"/>
          <w:color w:val="auto"/>
          <w:sz w:val="44"/>
          <w:szCs w:val="44"/>
          <w:highlight w:val="none"/>
          <w:lang w:eastAsia="zh-CN"/>
        </w:rPr>
        <w:t>医疗服务</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与保障能力提升补助专项资金</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项目绩效自评报告</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一、绩效目标分解下达情况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cs="仿宋_GB2312"/>
          <w:color w:val="auto"/>
          <w:sz w:val="32"/>
          <w:szCs w:val="32"/>
          <w:highlight w:val="none"/>
          <w:lang w:val="en-US" w:eastAsia="zh-CN"/>
        </w:rPr>
        <w:t>医疗服务与保障能力提升补助专项资金</w:t>
      </w:r>
      <w:r>
        <w:rPr>
          <w:rFonts w:hint="eastAsia"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年初预算安排收入</w:t>
      </w:r>
      <w:r>
        <w:rPr>
          <w:rFonts w:hint="eastAsia" w:cs="Times New Roman"/>
          <w:color w:val="auto"/>
          <w:sz w:val="32"/>
          <w:szCs w:val="32"/>
          <w:highlight w:val="none"/>
          <w:lang w:val="en-US" w:eastAsia="zh-CN"/>
        </w:rPr>
        <w:t>42</w:t>
      </w:r>
      <w:r>
        <w:rPr>
          <w:rFonts w:hint="eastAsia" w:ascii="仿宋_GB2312" w:hAnsi="仿宋_GB2312" w:eastAsia="仿宋_GB2312" w:cs="仿宋_GB2312"/>
          <w:color w:val="auto"/>
          <w:sz w:val="32"/>
          <w:szCs w:val="32"/>
          <w:highlight w:val="none"/>
          <w:lang w:val="en-US" w:eastAsia="zh-CN"/>
        </w:rPr>
        <w:t>万元，其中：财政拨款收入</w:t>
      </w:r>
      <w:r>
        <w:rPr>
          <w:rFonts w:hint="eastAsia" w:cs="Times New Roman"/>
          <w:color w:val="auto"/>
          <w:sz w:val="32"/>
          <w:szCs w:val="32"/>
          <w:highlight w:val="none"/>
          <w:lang w:val="en-US" w:eastAsia="zh-CN"/>
        </w:rPr>
        <w:t>42</w:t>
      </w:r>
      <w:r>
        <w:rPr>
          <w:rFonts w:hint="eastAsia" w:ascii="仿宋_GB2312" w:hAnsi="仿宋_GB2312" w:eastAsia="仿宋_GB2312" w:cs="仿宋_GB2312"/>
          <w:color w:val="auto"/>
          <w:sz w:val="32"/>
          <w:szCs w:val="32"/>
          <w:highlight w:val="none"/>
          <w:lang w:val="en-US" w:eastAsia="zh-CN"/>
        </w:rPr>
        <w:t>万元，占总收入的</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zh-CN" w:eastAsia="zh-CN"/>
        </w:rPr>
        <w:t>调整预算收入</w:t>
      </w:r>
      <w:r>
        <w:rPr>
          <w:rFonts w:hint="eastAsia" w:cs="Times New Roman"/>
          <w:color w:val="auto"/>
          <w:sz w:val="32"/>
          <w:szCs w:val="32"/>
          <w:highlight w:val="none"/>
          <w:lang w:val="en-US" w:eastAsia="zh-CN"/>
        </w:rPr>
        <w:t>8.85</w:t>
      </w:r>
      <w:r>
        <w:rPr>
          <w:rFonts w:hint="eastAsia" w:ascii="仿宋_GB2312" w:hAnsi="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zh-CN"/>
        </w:rPr>
        <w:t>其中：财政拨款收入</w:t>
      </w:r>
      <w:r>
        <w:rPr>
          <w:rFonts w:hint="eastAsia" w:cs="Times New Roman"/>
          <w:color w:val="auto"/>
          <w:sz w:val="32"/>
          <w:szCs w:val="32"/>
          <w:highlight w:val="none"/>
          <w:lang w:val="en-US" w:eastAsia="zh-CN"/>
        </w:rPr>
        <w:t>8.85</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重点完成了以下工作：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确保医疗保障信息系统正常运转，加大监管力度，提升医保经办服务能力，积极宣传医疗保障相关政策，提高服务对象满意度。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二、绩效目标完成情况分析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（一）资金投入情况分析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cs="仿宋_GB2312"/>
          <w:color w:val="auto"/>
          <w:sz w:val="32"/>
          <w:szCs w:val="32"/>
          <w:highlight w:val="none"/>
          <w:lang w:val="en-US" w:eastAsia="zh-CN"/>
        </w:rPr>
        <w:t>医疗服务与保障能力提升补助专项资金</w:t>
      </w:r>
      <w:r>
        <w:rPr>
          <w:rFonts w:hint="eastAsia" w:cs="Times New Roman"/>
          <w:color w:val="auto"/>
          <w:sz w:val="32"/>
          <w:szCs w:val="32"/>
          <w:highlight w:val="none"/>
          <w:lang w:val="zh-CN"/>
        </w:rPr>
        <w:t>2023</w:t>
      </w:r>
      <w:r>
        <w:rPr>
          <w:rFonts w:hint="eastAsia" w:ascii="仿宋_GB2312" w:hAnsi="仿宋_GB2312" w:eastAsia="仿宋_GB2312" w:cs="仿宋_GB2312"/>
          <w:color w:val="auto"/>
          <w:sz w:val="32"/>
          <w:szCs w:val="32"/>
          <w:highlight w:val="none"/>
          <w:lang w:val="zh-CN"/>
        </w:rPr>
        <w:t>年初预算安排收入</w:t>
      </w:r>
      <w:r>
        <w:rPr>
          <w:rFonts w:hint="eastAsia" w:cs="Times New Roman"/>
          <w:color w:val="auto"/>
          <w:sz w:val="32"/>
          <w:szCs w:val="32"/>
          <w:highlight w:val="none"/>
          <w:lang w:val="en-US" w:eastAsia="zh-CN"/>
        </w:rPr>
        <w:t>42</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42</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r>
        <w:rPr>
          <w:rFonts w:hint="eastAsia" w:ascii="仿宋_GB2312" w:hAnsi="仿宋_GB2312" w:cs="仿宋_GB2312"/>
          <w:color w:val="auto"/>
          <w:sz w:val="32"/>
          <w:szCs w:val="32"/>
          <w:highlight w:val="none"/>
          <w:lang w:val="zh-CN" w:eastAsia="zh-CN"/>
        </w:rPr>
        <w:t>调整预算收入</w:t>
      </w:r>
      <w:r>
        <w:rPr>
          <w:rFonts w:hint="eastAsia" w:cs="Times New Roman"/>
          <w:color w:val="auto"/>
          <w:sz w:val="32"/>
          <w:szCs w:val="32"/>
          <w:highlight w:val="none"/>
          <w:lang w:val="en-US" w:eastAsia="zh-CN"/>
        </w:rPr>
        <w:t>8.85</w:t>
      </w:r>
      <w:r>
        <w:rPr>
          <w:rFonts w:hint="eastAsia" w:ascii="仿宋_GB2312" w:hAnsi="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zh-CN"/>
        </w:rPr>
        <w:t>其中：财政拨款收入</w:t>
      </w:r>
      <w:r>
        <w:rPr>
          <w:rFonts w:hint="eastAsia" w:cs="Times New Roman"/>
          <w:color w:val="auto"/>
          <w:sz w:val="32"/>
          <w:szCs w:val="32"/>
          <w:highlight w:val="none"/>
          <w:lang w:val="en-US" w:eastAsia="zh-CN"/>
        </w:rPr>
        <w:t>8.85</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决算收入合计</w:t>
      </w:r>
      <w:r>
        <w:rPr>
          <w:rFonts w:hint="eastAsia" w:cs="Times New Roman"/>
          <w:color w:val="auto"/>
          <w:sz w:val="32"/>
          <w:szCs w:val="32"/>
          <w:highlight w:val="none"/>
          <w:lang w:val="en-US" w:eastAsia="zh-CN"/>
        </w:rPr>
        <w:t>8.85</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8.85</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预、决算差异</w:t>
      </w:r>
      <w:r>
        <w:rPr>
          <w:rFonts w:hint="eastAsia" w:cs="Times New Roman"/>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zh-CN"/>
        </w:rPr>
        <w:t>万元。</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eastAsia="仿宋_GB2312" w:cs="仿宋_GB2312"/>
          <w:b w:val="0"/>
          <w:bCs w:val="0"/>
          <w:color w:val="auto"/>
          <w:sz w:val="32"/>
          <w:szCs w:val="32"/>
          <w:highlight w:val="none"/>
        </w:rPr>
        <w:t>认真制定并严格执行了相关制度，包括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昆明市东川区医疗保障局内部控制制度（试行）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昆明市东川区医疗保障局（医险局）医疗保障基金拨付业务经办流程</w:t>
      </w:r>
      <w:r>
        <w:rPr>
          <w:rFonts w:hint="eastAsia" w:ascii="仿宋_GB2312" w:hAnsi="仿宋_GB2312" w:eastAsia="仿宋_GB2312" w:cs="仿宋_GB2312"/>
          <w:b w:val="0"/>
          <w:bCs w:val="0"/>
          <w:color w:val="auto"/>
          <w:sz w:val="32"/>
          <w:szCs w:val="32"/>
          <w:highlight w:val="none"/>
          <w:lang w:eastAsia="zh-CN"/>
        </w:rPr>
        <w:t>》《昆明市东川区医疗保障局（医险局）基金财务管理核算办法及票据管理制度》《昆明市东川区医疗保障局预算绩效管理暂行办法》《昆明市东川区医疗保障局预算绩效自评工作方案》《昆明市东川区医疗保障局绩效跟踪实施方案》《昆明市东川区医疗保障局预算绩效自评开展计划》</w:t>
      </w:r>
      <w:r>
        <w:rPr>
          <w:rFonts w:hint="eastAsia" w:ascii="仿宋_GB2312" w:hAnsi="仿宋_GB2312" w:eastAsia="仿宋_GB2312" w:cs="仿宋_GB2312"/>
          <w:b w:val="0"/>
          <w:bCs w:val="0"/>
          <w:color w:val="auto"/>
          <w:sz w:val="32"/>
          <w:szCs w:val="32"/>
          <w:highlight w:val="none"/>
        </w:rPr>
        <w:t>等制度，</w:t>
      </w:r>
      <w:r>
        <w:rPr>
          <w:rFonts w:hint="eastAsia" w:ascii="仿宋_GB2312" w:hAnsi="仿宋_GB2312" w:eastAsia="仿宋_GB2312" w:cs="仿宋_GB2312"/>
          <w:b w:val="0"/>
          <w:bCs w:val="0"/>
          <w:color w:val="auto"/>
          <w:sz w:val="32"/>
          <w:szCs w:val="32"/>
          <w:highlight w:val="none"/>
          <w:lang w:eastAsia="zh-CN"/>
        </w:rPr>
        <w:t>切实</w:t>
      </w:r>
      <w:r>
        <w:rPr>
          <w:rFonts w:hint="eastAsia" w:ascii="仿宋_GB2312" w:hAnsi="仿宋_GB2312" w:eastAsia="仿宋_GB2312" w:cs="仿宋_GB2312"/>
          <w:b w:val="0"/>
          <w:bCs w:val="0"/>
          <w:color w:val="auto"/>
          <w:sz w:val="32"/>
          <w:szCs w:val="32"/>
          <w:highlight w:val="none"/>
        </w:rPr>
        <w:t>保障各科室正常运行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各项工作有条不紊地开展</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（二）总体绩效目标完成情况分析</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cs="仿宋_GB2312"/>
          <w:b w:val="0"/>
          <w:bCs w:val="0"/>
          <w:color w:val="auto"/>
          <w:sz w:val="32"/>
          <w:szCs w:val="32"/>
          <w:highlight w:val="none"/>
          <w:lang w:eastAsia="zh-CN"/>
        </w:rPr>
        <w:t>确保了医疗保障信息系统正常运转，基金监管力度、经办服务能力有效提升，医疗保障政策得到有效推广。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（三）绩效指标完成情况分析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b w:val="0"/>
          <w:bCs w:val="0"/>
          <w:color w:val="auto"/>
          <w:sz w:val="32"/>
          <w:szCs w:val="32"/>
          <w:highlight w:val="none"/>
        </w:rPr>
      </w:pPr>
      <w:r>
        <w:rPr>
          <w:rFonts w:hint="eastAsia" w:cs="仿宋_GB2312"/>
          <w:b w:val="0"/>
          <w:bCs w:val="0"/>
          <w:color w:val="auto"/>
          <w:sz w:val="32"/>
          <w:szCs w:val="32"/>
          <w:highlight w:val="none"/>
          <w:lang w:eastAsia="zh-CN"/>
        </w:rPr>
        <w:t>严格贯彻落实各项规章制度</w:t>
      </w:r>
      <w:r>
        <w:rPr>
          <w:rFonts w:hint="eastAsia" w:ascii="仿宋_GB2312" w:hAnsi="仿宋_GB2312" w:eastAsia="仿宋_GB2312" w:cs="仿宋_GB2312"/>
          <w:b w:val="0"/>
          <w:bCs w:val="0"/>
          <w:color w:val="auto"/>
          <w:sz w:val="32"/>
          <w:szCs w:val="32"/>
          <w:highlight w:val="none"/>
        </w:rPr>
        <w:t>，年度目标稳步推进，</w:t>
      </w:r>
      <w:r>
        <w:rPr>
          <w:rFonts w:hint="eastAsia" w:cs="仿宋_GB2312"/>
          <w:b w:val="0"/>
          <w:bCs w:val="0"/>
          <w:color w:val="auto"/>
          <w:sz w:val="32"/>
          <w:szCs w:val="32"/>
          <w:highlight w:val="none"/>
          <w:lang w:eastAsia="zh-CN"/>
        </w:rPr>
        <w:t>医疗服务与保障能力得到稳步提升</w:t>
      </w:r>
      <w:r>
        <w:rPr>
          <w:rFonts w:hint="eastAsia" w:ascii="仿宋_GB2312" w:hAnsi="仿宋_GB2312" w:eastAsia="仿宋_GB2312" w:cs="仿宋_GB2312"/>
          <w:b w:val="0"/>
          <w:bCs w:val="0"/>
          <w:color w:val="auto"/>
          <w:sz w:val="32"/>
          <w:szCs w:val="32"/>
          <w:highlight w:val="none"/>
        </w:rPr>
        <w:t>，公共服务能力</w:t>
      </w:r>
      <w:r>
        <w:rPr>
          <w:rFonts w:hint="eastAsia" w:cs="仿宋_GB2312"/>
          <w:b w:val="0"/>
          <w:bCs w:val="0"/>
          <w:color w:val="auto"/>
          <w:sz w:val="32"/>
          <w:szCs w:val="32"/>
          <w:highlight w:val="none"/>
          <w:lang w:eastAsia="zh-CN"/>
        </w:rPr>
        <w:t>进一步增强</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eastAsia" w:cs="Times New Roman"/>
          <w:color w:val="auto"/>
          <w:sz w:val="32"/>
          <w:szCs w:val="32"/>
          <w:highlight w:val="none"/>
          <w:lang w:val="zh-CN"/>
        </w:rPr>
        <w:t>2023</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en-US" w:eastAsia="zh-CN"/>
        </w:rPr>
        <w:t>医疗服务与保障能力提升补助专项资金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具体绩效完成情况分析如下：</w:t>
      </w:r>
    </w:p>
    <w:p>
      <w:pPr>
        <w:pStyle w:val="2"/>
        <w:keepNext w:val="0"/>
        <w:keepLines w:val="0"/>
        <w:pageBreakBefore w:val="0"/>
        <w:kinsoku/>
        <w:wordWrap/>
        <w:overflowPunct/>
        <w:autoSpaceDE/>
        <w:autoSpaceDN/>
        <w:bidi w:val="0"/>
        <w:adjustRightInd/>
        <w:spacing w:line="560" w:lineRule="exact"/>
        <w:ind w:firstLine="632" w:firstLineChars="200"/>
        <w:textAlignment w:val="auto"/>
        <w:rPr>
          <w:rFonts w:hint="eastAsia" w:eastAsia="仿宋_GB2312"/>
          <w:lang w:val="en-US" w:eastAsia="zh-CN"/>
        </w:rPr>
      </w:pPr>
      <w:r>
        <w:rPr>
          <w:rFonts w:hint="eastAsia" w:ascii="仿宋_GB2312" w:hAnsi="仿宋_GB2312" w:cs="仿宋_GB2312"/>
          <w:color w:val="auto"/>
          <w:sz w:val="32"/>
          <w:szCs w:val="32"/>
          <w:highlight w:val="none"/>
          <w:lang w:val="zh-CN"/>
        </w:rPr>
        <w:t>预算执行率</w:t>
      </w:r>
      <w:r>
        <w:rPr>
          <w:rFonts w:hint="eastAsia" w:ascii="Times New Roman" w:hAnsi="Times New Roman" w:eastAsia="仿宋_GB2312" w:cs="Times New Roman"/>
          <w:color w:val="auto"/>
          <w:kern w:val="2"/>
          <w:sz w:val="32"/>
          <w:szCs w:val="32"/>
          <w:highlight w:val="none"/>
          <w:lang w:val="en-US" w:eastAsia="zh-CN" w:bidi="ar-SA"/>
        </w:rPr>
        <w:t>10</w:t>
      </w:r>
      <w:r>
        <w:rPr>
          <w:rFonts w:hint="eastAsia" w:ascii="仿宋_GB2312" w:hAnsi="仿宋_GB2312" w:cs="仿宋_GB2312"/>
          <w:color w:val="auto"/>
          <w:sz w:val="32"/>
          <w:szCs w:val="32"/>
          <w:highlight w:val="none"/>
          <w:lang w:val="en-US" w:eastAsia="zh-CN"/>
        </w:rPr>
        <w:t>分，完成率</w:t>
      </w:r>
      <w:r>
        <w:rPr>
          <w:rFonts w:hint="eastAsia"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cs="仿宋_GB2312"/>
          <w:color w:val="auto"/>
          <w:sz w:val="32"/>
          <w:szCs w:val="32"/>
          <w:highlight w:val="none"/>
          <w:lang w:val="en-US" w:eastAsia="zh-CN"/>
        </w:rPr>
        <w:t>，自评得分</w:t>
      </w:r>
      <w:r>
        <w:rPr>
          <w:rFonts w:hint="eastAsia" w:ascii="Times New Roman" w:hAnsi="Times New Roman" w:eastAsia="仿宋_GB2312" w:cs="Times New Roman"/>
          <w:color w:val="auto"/>
          <w:kern w:val="2"/>
          <w:sz w:val="32"/>
          <w:szCs w:val="32"/>
          <w:highlight w:val="none"/>
          <w:lang w:val="en-US" w:eastAsia="zh-CN" w:bidi="ar-SA"/>
        </w:rPr>
        <w:t>10</w:t>
      </w:r>
      <w:r>
        <w:rPr>
          <w:rFonts w:hint="eastAsia" w:ascii="仿宋_GB2312" w:hAnsi="仿宋_GB2312" w:cs="仿宋_GB2312"/>
          <w:color w:val="auto"/>
          <w:sz w:val="32"/>
          <w:szCs w:val="32"/>
          <w:highlight w:val="none"/>
          <w:lang w:val="en-US" w:eastAsia="zh-CN"/>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cs="Times New Roman"/>
          <w:b w:val="0"/>
          <w:bCs w:val="0"/>
          <w:color w:val="auto"/>
          <w:sz w:val="32"/>
          <w:szCs w:val="32"/>
          <w:highlight w:val="none"/>
          <w:lang w:eastAsia="zh-CN"/>
        </w:rPr>
        <w:t>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cs="仿宋_GB2312"/>
          <w:color w:val="auto"/>
          <w:sz w:val="32"/>
          <w:szCs w:val="32"/>
          <w:highlight w:val="none"/>
          <w:lang w:val="en-US" w:eastAsia="zh-CN"/>
        </w:rPr>
        <w:t>医疗服务与保障能力提升补助专项资金</w:t>
      </w:r>
      <w:r>
        <w:rPr>
          <w:rFonts w:hint="eastAsia" w:ascii="仿宋_GB2312" w:hAnsi="仿宋_GB2312" w:eastAsia="仿宋_GB2312" w:cs="仿宋_GB2312"/>
          <w:b w:val="0"/>
          <w:bCs w:val="0"/>
          <w:color w:val="auto"/>
          <w:sz w:val="32"/>
          <w:szCs w:val="32"/>
          <w:highlight w:val="none"/>
        </w:rPr>
        <w:t>绩效自评指标体系设置</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个一级指标、</w:t>
      </w:r>
      <w:r>
        <w:rPr>
          <w:rFonts w:hint="eastAsia"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个二级指标、</w:t>
      </w:r>
      <w:r>
        <w:rPr>
          <w:rFonts w:hint="eastAsia"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三级指标。其中：</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产出指标</w:t>
      </w:r>
      <w:r>
        <w:rPr>
          <w:rFonts w:hint="eastAsia" w:ascii="仿宋_GB2312" w:hAnsi="仿宋_GB2312" w:eastAsia="仿宋_GB2312" w:cs="仿宋_GB2312"/>
          <w:b w:val="0"/>
          <w:bCs w:val="0"/>
          <w:color w:val="auto"/>
          <w:sz w:val="32"/>
          <w:szCs w:val="32"/>
          <w:highlight w:val="none"/>
        </w:rPr>
        <w:t>包含</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eastAsia" w:cs="Times New Roman"/>
          <w:b w:val="0"/>
          <w:bCs w:val="0"/>
          <w:color w:val="auto"/>
          <w:sz w:val="32"/>
          <w:szCs w:val="32"/>
          <w:highlight w:val="none"/>
          <w:lang w:val="en-US" w:eastAsia="zh-CN"/>
        </w:rPr>
        <w:t>4</w:t>
      </w:r>
      <w:r>
        <w:rPr>
          <w:rFonts w:hint="eastAsia" w:ascii="仿宋_GB2312" w:hAnsi="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三级指标</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eastAsia="zh-CN"/>
        </w:rPr>
        <w:t>产出指标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rPr>
        <w:t>分，经评分本项得分</w:t>
      </w:r>
      <w:r>
        <w:rPr>
          <w:rFonts w:hint="eastAsia" w:cs="Times New Roman"/>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数量指标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分，评价得分</w:t>
      </w:r>
      <w:r>
        <w:rPr>
          <w:rFonts w:hint="eastAsia"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质量指标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分，评价得分</w:t>
      </w:r>
      <w:r>
        <w:rPr>
          <w:rFonts w:hint="eastAsia"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效益指标</w:t>
      </w:r>
      <w:r>
        <w:rPr>
          <w:rFonts w:hint="eastAsia" w:ascii="仿宋_GB2312" w:hAnsi="仿宋_GB2312" w:eastAsia="仿宋_GB2312" w:cs="仿宋_GB2312"/>
          <w:b w:val="0"/>
          <w:bCs w:val="0"/>
          <w:color w:val="auto"/>
          <w:sz w:val="32"/>
          <w:szCs w:val="32"/>
          <w:highlight w:val="none"/>
        </w:rPr>
        <w:t>包含</w:t>
      </w:r>
      <w:r>
        <w:rPr>
          <w:rFonts w:hint="eastAsia" w:ascii="Times New Roman" w:hAnsi="Times New Roman"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eastAsia="仿宋_GB2312" w:cs="仿宋_GB2312"/>
          <w:b w:val="0"/>
          <w:bCs w:val="0"/>
          <w:color w:val="auto"/>
          <w:sz w:val="32"/>
          <w:szCs w:val="32"/>
          <w:highlight w:val="none"/>
          <w:lang w:eastAsia="zh-CN"/>
        </w:rPr>
        <w:t>，</w:t>
      </w:r>
      <w:r>
        <w:rPr>
          <w:rFonts w:hint="eastAsia"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三级指标。</w:t>
      </w:r>
      <w:r>
        <w:rPr>
          <w:rFonts w:hint="eastAsia" w:ascii="仿宋_GB2312" w:hAnsi="仿宋_GB2312" w:cs="仿宋_GB2312"/>
          <w:b w:val="0"/>
          <w:bCs w:val="0"/>
          <w:color w:val="auto"/>
          <w:sz w:val="32"/>
          <w:szCs w:val="32"/>
          <w:highlight w:val="none"/>
          <w:lang w:eastAsia="zh-CN"/>
        </w:rPr>
        <w:t>效益指标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rPr>
        <w:t>分，经评分本项得分</w:t>
      </w:r>
      <w:r>
        <w:rPr>
          <w:rFonts w:hint="eastAsia" w:cs="Times New Roman"/>
          <w:b w:val="0"/>
          <w:bCs w:val="0"/>
          <w:color w:val="auto"/>
          <w:sz w:val="32"/>
          <w:szCs w:val="32"/>
          <w:highlight w:val="none"/>
          <w:lang w:val="en-US" w:eastAsia="zh-CN"/>
        </w:rPr>
        <w:t>3</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社会效益</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分，评价得分为</w:t>
      </w:r>
      <w:r>
        <w:rPr>
          <w:rFonts w:hint="eastAsia"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满意度指标</w:t>
      </w:r>
      <w:r>
        <w:rPr>
          <w:rFonts w:hint="eastAsia" w:ascii="仿宋_GB2312" w:hAnsi="仿宋_GB2312" w:eastAsia="仿宋_GB2312" w:cs="仿宋_GB2312"/>
          <w:b w:val="0"/>
          <w:bCs w:val="0"/>
          <w:color w:val="auto"/>
          <w:sz w:val="32"/>
          <w:szCs w:val="32"/>
          <w:highlight w:val="none"/>
        </w:rPr>
        <w:t>包含</w:t>
      </w:r>
      <w:r>
        <w:rPr>
          <w:rFonts w:hint="eastAsia" w:ascii="Times New Roman" w:hAnsi="Times New Roman"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cs="仿宋_GB2312"/>
          <w:b w:val="0"/>
          <w:bCs w:val="0"/>
          <w:color w:val="auto"/>
          <w:sz w:val="32"/>
          <w:szCs w:val="32"/>
          <w:highlight w:val="none"/>
          <w:lang w:eastAsia="zh-CN"/>
        </w:rPr>
        <w:t>，</w:t>
      </w:r>
      <w:r>
        <w:rPr>
          <w:rFonts w:hint="eastAsia"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三级指标。</w:t>
      </w:r>
      <w:r>
        <w:rPr>
          <w:rFonts w:hint="eastAsia" w:ascii="仿宋_GB2312" w:hAnsi="仿宋_GB2312" w:cs="仿宋_GB2312"/>
          <w:b w:val="0"/>
          <w:bCs w:val="0"/>
          <w:color w:val="auto"/>
          <w:sz w:val="32"/>
          <w:szCs w:val="32"/>
          <w:highlight w:val="none"/>
          <w:lang w:eastAsia="zh-CN"/>
        </w:rPr>
        <w:t>满意度指标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分，经评分本项得分</w:t>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lang w:eastAsia="zh-CN"/>
        </w:rPr>
      </w:pP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服务对象满意度</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分，自评得分为</w:t>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三、偏离绩效目标的原因和下一步改进措施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确保医疗保障信息系统正常运转，加大监管力度，提升医保经办服务能力，积极宣传医疗保障相关政策，提高服务对象满意度。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存在问题如下：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人员配备不足、监管措施落实不充分。推行预算绩效管理以来，切实发挥绩效目标在全流程管理中的基础作用，以制度引导绩效，确保预算绩效管理规范有序。但由于预算绩效管理工作从业人员配备不足，</w:t>
      </w:r>
      <w:r>
        <w:rPr>
          <w:rFonts w:hint="eastAsia" w:ascii="仿宋_GB2312" w:hAnsi="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val="en-US" w:eastAsia="zh-CN"/>
        </w:rPr>
        <w:t>跟踪监管、内控建设等工作</w:t>
      </w:r>
      <w:r>
        <w:rPr>
          <w:rFonts w:hint="eastAsia" w:ascii="仿宋_GB2312" w:hAnsi="仿宋_GB2312" w:cs="仿宋_GB2312"/>
          <w:color w:val="auto"/>
          <w:sz w:val="32"/>
          <w:szCs w:val="32"/>
          <w:highlight w:val="none"/>
          <w:lang w:val="en-US" w:eastAsia="zh-CN"/>
        </w:rPr>
        <w:t>中</w:t>
      </w:r>
      <w:bookmarkStart w:id="0" w:name="_GoBack"/>
      <w:bookmarkEnd w:id="0"/>
      <w:r>
        <w:rPr>
          <w:rFonts w:hint="eastAsia" w:ascii="仿宋_GB2312" w:hAnsi="仿宋_GB2312" w:eastAsia="仿宋_GB2312" w:cs="仿宋_GB2312"/>
          <w:color w:val="auto"/>
          <w:sz w:val="32"/>
          <w:szCs w:val="32"/>
          <w:highlight w:val="none"/>
          <w:lang w:val="en-US" w:eastAsia="zh-CN"/>
        </w:rPr>
        <w:t>缺少稳步安全运行的基础。</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昆明市东川区医疗保障局下一步将</w:t>
      </w:r>
      <w:r>
        <w:rPr>
          <w:rFonts w:hint="eastAsia" w:ascii="仿宋_GB2312" w:hAnsi="仿宋_GB2312" w:cs="仿宋_GB2312"/>
          <w:b w:val="0"/>
          <w:bCs w:val="0"/>
          <w:snapToGrid w:val="0"/>
          <w:color w:val="auto"/>
          <w:kern w:val="0"/>
          <w:sz w:val="32"/>
          <w:szCs w:val="32"/>
          <w:highlight w:val="none"/>
          <w:lang w:eastAsia="zh-CN"/>
        </w:rPr>
        <w:t>继续</w:t>
      </w:r>
      <w:r>
        <w:rPr>
          <w:rFonts w:hint="eastAsia" w:ascii="仿宋_GB2312" w:hAnsi="仿宋_GB2312" w:eastAsia="仿宋_GB2312" w:cs="仿宋_GB2312"/>
          <w:b w:val="0"/>
          <w:bCs w:val="0"/>
          <w:snapToGrid w:val="0"/>
          <w:color w:val="auto"/>
          <w:kern w:val="0"/>
          <w:sz w:val="32"/>
          <w:szCs w:val="32"/>
          <w:highlight w:val="none"/>
        </w:rPr>
        <w:t>做好资金的使用跟踪，完善制度的建设，规范管理专项资金，确保资金的安全及有效运行。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四、绩效自评结果拟应用和公开情况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eastAsia" w:cs="Times New Roman"/>
          <w:color w:val="auto"/>
          <w:sz w:val="32"/>
          <w:szCs w:val="32"/>
          <w:highlight w:val="none"/>
          <w:lang w:val="zh-CN"/>
        </w:rPr>
        <w:t>2023</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zh-CN"/>
        </w:rPr>
        <w:t>医疗服务与保障能力提升补助专项资金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昆明市东川区医疗保障局将及时在东川区“政府门户”网站公开绩效自评结果。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五、其他需要说明的问题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eastAsia="仿宋_GB2312" w:cs="仿宋_GB2312"/>
          <w:color w:val="auto"/>
          <w:kern w:val="2"/>
          <w:sz w:val="32"/>
          <w:szCs w:val="32"/>
          <w:highlight w:val="none"/>
          <w:lang w:val="en-US" w:eastAsia="zh-CN" w:bidi="ar-SA"/>
        </w:rPr>
        <w:t>无其他需要说明的问题。</w:t>
      </w:r>
    </w:p>
    <w:p>
      <w:pPr>
        <w:keepNext w:val="0"/>
        <w:keepLines w:val="0"/>
        <w:pageBreakBefore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p>
    <w:p>
      <w:pPr>
        <w:pStyle w:val="2"/>
        <w:rPr>
          <w:rFonts w:hint="eastAsia" w:ascii="仿宋_GB2312" w:hAnsi="仿宋_GB2312" w:eastAsia="仿宋_GB2312" w:cs="仿宋_GB2312"/>
          <w:b w:val="0"/>
          <w:bCs w:val="0"/>
          <w:color w:val="auto"/>
          <w:sz w:val="32"/>
          <w:szCs w:val="32"/>
          <w:highlight w:val="none"/>
        </w:rPr>
      </w:pPr>
    </w:p>
    <w:p>
      <w:pPr>
        <w:pStyle w:val="2"/>
        <w:rPr>
          <w:rFonts w:hint="eastAsia" w:ascii="仿宋_GB2312" w:hAnsi="仿宋_GB2312" w:eastAsia="仿宋_GB2312" w:cs="仿宋_GB2312"/>
          <w:b w:val="0"/>
          <w:bCs w:val="0"/>
          <w:color w:val="auto"/>
          <w:sz w:val="32"/>
          <w:szCs w:val="32"/>
          <w:highlight w:val="none"/>
        </w:rPr>
      </w:pPr>
    </w:p>
    <w:p>
      <w:pPr>
        <w:pStyle w:val="2"/>
        <w:rPr>
          <w:rFonts w:hint="eastAsia" w:ascii="仿宋_GB2312" w:hAnsi="仿宋_GB2312" w:eastAsia="仿宋_GB2312" w:cs="仿宋_GB2312"/>
          <w:b w:val="0"/>
          <w:bCs w:val="0"/>
          <w:color w:val="auto"/>
          <w:sz w:val="32"/>
          <w:szCs w:val="32"/>
          <w:highlight w:val="none"/>
        </w:rPr>
      </w:pPr>
    </w:p>
    <w:p>
      <w:pPr>
        <w:pStyle w:val="2"/>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昆明市东川区</w:t>
      </w:r>
      <w:r>
        <w:rPr>
          <w:rFonts w:hint="eastAsia" w:ascii="仿宋_GB2312" w:hAnsi="仿宋_GB2312" w:eastAsia="仿宋_GB2312" w:cs="仿宋_GB2312"/>
          <w:b w:val="0"/>
          <w:bCs w:val="0"/>
          <w:color w:val="auto"/>
          <w:sz w:val="32"/>
          <w:szCs w:val="32"/>
          <w:highlight w:val="none"/>
          <w:lang w:eastAsia="zh-CN"/>
        </w:rPr>
        <w:t>医疗保障局</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20</w:t>
      </w:r>
      <w:r>
        <w:rPr>
          <w:rFonts w:hint="default" w:ascii="Times New Roman" w:hAnsi="Times New Roman" w:eastAsia="仿宋_GB2312" w:cs="Times New Roman"/>
          <w:b w:val="0"/>
          <w:bCs w:val="0"/>
          <w:color w:val="auto"/>
          <w:sz w:val="32"/>
          <w:szCs w:val="32"/>
          <w:highlight w:val="none"/>
          <w:lang w:val="en-US" w:eastAsia="zh-CN"/>
        </w:rPr>
        <w:t>2</w:t>
      </w:r>
      <w:r>
        <w:rPr>
          <w:rFonts w:hint="eastAsia"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年</w:t>
      </w:r>
      <w:r>
        <w:rPr>
          <w:rFonts w:hint="eastAsia" w:cs="Times New Roman"/>
          <w:b w:val="0"/>
          <w:bCs w:val="0"/>
          <w:color w:val="auto"/>
          <w:sz w:val="32"/>
          <w:szCs w:val="32"/>
          <w:highlight w:val="none"/>
          <w:lang w:val="en-US" w:eastAsia="zh-CN"/>
        </w:rPr>
        <w:t>0</w:t>
      </w:r>
      <w:r>
        <w:rPr>
          <w:rFonts w:hint="default"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eastAsia" w:ascii="Times New Roman" w:hAnsi="Times New Roman" w:cs="Times New Roman"/>
          <w:b w:val="0"/>
          <w:bCs w:val="0"/>
          <w:color w:val="auto"/>
          <w:sz w:val="32"/>
          <w:szCs w:val="32"/>
          <w:highlight w:val="none"/>
          <w:lang w:val="en-US" w:eastAsia="zh-CN"/>
        </w:rPr>
        <w:t>0</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日</w:t>
      </w: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00" w:right="360" w:firstLine="360"/>
      <w:rPr>
        <w:sz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C47D3"/>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1D202EA"/>
    <w:rsid w:val="02327EA9"/>
    <w:rsid w:val="029600AF"/>
    <w:rsid w:val="0633597B"/>
    <w:rsid w:val="073825DC"/>
    <w:rsid w:val="075730B2"/>
    <w:rsid w:val="079B2F21"/>
    <w:rsid w:val="09C115E3"/>
    <w:rsid w:val="0A1B7E59"/>
    <w:rsid w:val="0A346E57"/>
    <w:rsid w:val="0BEF60F1"/>
    <w:rsid w:val="0D3F05D1"/>
    <w:rsid w:val="0E9E0539"/>
    <w:rsid w:val="0F916464"/>
    <w:rsid w:val="10BB07D4"/>
    <w:rsid w:val="120868E4"/>
    <w:rsid w:val="139B620C"/>
    <w:rsid w:val="13AB43C9"/>
    <w:rsid w:val="14500A59"/>
    <w:rsid w:val="145D6BC3"/>
    <w:rsid w:val="149B2EE8"/>
    <w:rsid w:val="15D0044B"/>
    <w:rsid w:val="1A94418C"/>
    <w:rsid w:val="1CA81D0B"/>
    <w:rsid w:val="1DF51E9C"/>
    <w:rsid w:val="1FE0245C"/>
    <w:rsid w:val="234B0A4E"/>
    <w:rsid w:val="24C95675"/>
    <w:rsid w:val="262C3DF3"/>
    <w:rsid w:val="2766670D"/>
    <w:rsid w:val="2A325FDC"/>
    <w:rsid w:val="2DDB4434"/>
    <w:rsid w:val="2E2325F8"/>
    <w:rsid w:val="2F9202B1"/>
    <w:rsid w:val="30665A00"/>
    <w:rsid w:val="308C4AC3"/>
    <w:rsid w:val="31D9592F"/>
    <w:rsid w:val="32780617"/>
    <w:rsid w:val="330F3B0A"/>
    <w:rsid w:val="33BE1C27"/>
    <w:rsid w:val="369C15EF"/>
    <w:rsid w:val="375D209E"/>
    <w:rsid w:val="38C1437D"/>
    <w:rsid w:val="3A66436F"/>
    <w:rsid w:val="3F5E30A9"/>
    <w:rsid w:val="3F62595E"/>
    <w:rsid w:val="3FF32979"/>
    <w:rsid w:val="402B7C64"/>
    <w:rsid w:val="4109475E"/>
    <w:rsid w:val="4176348D"/>
    <w:rsid w:val="42A53AC2"/>
    <w:rsid w:val="44BE56F7"/>
    <w:rsid w:val="4663783D"/>
    <w:rsid w:val="46982D4B"/>
    <w:rsid w:val="48F22EEF"/>
    <w:rsid w:val="4A7F60A4"/>
    <w:rsid w:val="4D862EB7"/>
    <w:rsid w:val="4E556730"/>
    <w:rsid w:val="4F7370ED"/>
    <w:rsid w:val="4FAB610E"/>
    <w:rsid w:val="4FD221F1"/>
    <w:rsid w:val="504E7E66"/>
    <w:rsid w:val="52110942"/>
    <w:rsid w:val="55A04653"/>
    <w:rsid w:val="55CE69FC"/>
    <w:rsid w:val="57E068B3"/>
    <w:rsid w:val="580C5987"/>
    <w:rsid w:val="58442E0F"/>
    <w:rsid w:val="594D54D6"/>
    <w:rsid w:val="5A065ABC"/>
    <w:rsid w:val="5A2E0D64"/>
    <w:rsid w:val="5CE0009C"/>
    <w:rsid w:val="5D7774BF"/>
    <w:rsid w:val="5DD23A08"/>
    <w:rsid w:val="5F1028D2"/>
    <w:rsid w:val="600671BE"/>
    <w:rsid w:val="6015352C"/>
    <w:rsid w:val="607A2744"/>
    <w:rsid w:val="65690042"/>
    <w:rsid w:val="656F4043"/>
    <w:rsid w:val="659B5E74"/>
    <w:rsid w:val="661C62FC"/>
    <w:rsid w:val="69063171"/>
    <w:rsid w:val="6A2E5E1F"/>
    <w:rsid w:val="6B905BE1"/>
    <w:rsid w:val="6ED54555"/>
    <w:rsid w:val="754A345D"/>
    <w:rsid w:val="768E1385"/>
    <w:rsid w:val="773C1BAB"/>
    <w:rsid w:val="78843C42"/>
    <w:rsid w:val="78A7237F"/>
    <w:rsid w:val="78F01F35"/>
    <w:rsid w:val="7B1924F4"/>
    <w:rsid w:val="7DE10AFA"/>
    <w:rsid w:val="7F0D3AEF"/>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kern w:val="0"/>
      <w:sz w:val="18"/>
      <w:szCs w:val="18"/>
    </w:rPr>
  </w:style>
  <w:style w:type="paragraph" w:styleId="4">
    <w:name w:val="Body Text Indent"/>
    <w:basedOn w:val="1"/>
    <w:link w:val="17"/>
    <w:qFormat/>
    <w:uiPriority w:val="99"/>
    <w:pPr>
      <w:ind w:firstLine="632" w:firstLineChars="200"/>
    </w:pPr>
    <w:rPr>
      <w:kern w:val="0"/>
    </w:rPr>
  </w:style>
  <w:style w:type="paragraph" w:styleId="5">
    <w:name w:val="Plain Text"/>
    <w:basedOn w:val="1"/>
    <w:qFormat/>
    <w:uiPriority w:val="0"/>
    <w:rPr>
      <w:rFonts w:ascii="宋体" w:hAnsi="Courier New" w:cs="Courier New"/>
      <w:szCs w:val="21"/>
    </w:rPr>
  </w:style>
  <w:style w:type="paragraph" w:styleId="6">
    <w:name w:val="Date"/>
    <w:basedOn w:val="1"/>
    <w:next w:val="1"/>
    <w:link w:val="16"/>
    <w:qFormat/>
    <w:uiPriority w:val="99"/>
    <w:pPr>
      <w:ind w:left="100" w:leftChars="2500"/>
    </w:pPr>
    <w:rPr>
      <w:kern w:val="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2"/>
    <w:semiHidden/>
    <w:qFormat/>
    <w:uiPriority w:val="99"/>
    <w:rPr>
      <w:rFonts w:eastAsia="仿宋_GB2312"/>
      <w:sz w:val="18"/>
      <w:szCs w:val="18"/>
    </w:rPr>
  </w:style>
  <w:style w:type="character" w:customStyle="1" w:styleId="16">
    <w:name w:val="日期 Char"/>
    <w:link w:val="6"/>
    <w:semiHidden/>
    <w:qFormat/>
    <w:uiPriority w:val="99"/>
    <w:rPr>
      <w:rFonts w:eastAsia="仿宋_GB2312"/>
      <w:sz w:val="32"/>
      <w:szCs w:val="20"/>
    </w:rPr>
  </w:style>
  <w:style w:type="character" w:customStyle="1" w:styleId="17">
    <w:name w:val="正文文本缩进 Char"/>
    <w:link w:val="4"/>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3"/>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1</TotalTime>
  <ScaleCrop>false</ScaleCrop>
  <LinksUpToDate>false</LinksUpToDate>
  <CharactersWithSpaces>9958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唐宁</cp:lastModifiedBy>
  <cp:lastPrinted>2023-05-06T02:32:00Z</cp:lastPrinted>
  <dcterms:modified xsi:type="dcterms:W3CDTF">2024-05-07T01:06:37Z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B2E7950FEF374FDF9BC4270CCA336276</vt:lpwstr>
  </property>
</Properties>
</file>