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B3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关于印发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《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u w:val="none"/>
          <w:lang w:val="en-US" w:eastAsia="zh-CN"/>
        </w:rPr>
        <w:t>东川区博士专家工作站建设办法</w:t>
      </w:r>
    </w:p>
    <w:p w14:paraId="5086F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u w:val="none"/>
          <w:lang w:val="en-US" w:eastAsia="zh-CN"/>
        </w:rPr>
        <w:t>（试行）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》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的通知</w:t>
      </w:r>
    </w:p>
    <w:p w14:paraId="5FD09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85D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  <w:t>各乡镇（街道）党（工）委，区属各部门党（工）委、党组，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  <w:t>各部委办局，各人民团体，园区党工委：</w:t>
      </w:r>
    </w:p>
    <w:p w14:paraId="0EC94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东川区博士专家工作站建设办法（试行）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》已经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人才领导小组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同意，现印发给你们，请认真抓好贯彻落实。</w:t>
      </w:r>
    </w:p>
    <w:p w14:paraId="0964913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1C8A797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6FFD8A9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1282ADD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18F2E13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FB406F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5A11F6A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6810988F">
      <w:pPr>
        <w:spacing w:line="560" w:lineRule="exact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 w14:paraId="3C8B3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  <w:lang w:val="en-US" w:eastAsia="zh-CN"/>
        </w:rPr>
        <w:t xml:space="preserve">昆明市东川区工业和科技信息化局        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</w:rPr>
        <w:t>中共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  <w:lang w:eastAsia="zh-CN"/>
        </w:rPr>
        <w:t>昆明市东川区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</w:rPr>
        <w:t>委组织部</w:t>
      </w:r>
    </w:p>
    <w:p w14:paraId="065A4DE3">
      <w:pPr>
        <w:spacing w:line="560" w:lineRule="exact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 w14:paraId="0141E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00" w:right="0" w:rightChars="0" w:hanging="2800" w:hangingChars="10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20"/>
          <w:sz w:val="32"/>
          <w:szCs w:val="32"/>
          <w:lang w:val="en-US" w:eastAsia="zh-CN"/>
        </w:rPr>
        <w:t>昆明市东川区财政局             昆明市东川区人力资源和社会保障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05B56DCC">
      <w:pPr>
        <w:pStyle w:val="11"/>
        <w:rPr>
          <w:rFonts w:ascii="Times New Roman" w:hAnsi="Times New Roman" w:eastAsia="仿宋_GB2312"/>
          <w:sz w:val="32"/>
        </w:rPr>
      </w:pPr>
    </w:p>
    <w:p w14:paraId="09ABD4F9">
      <w:pPr>
        <w:pStyle w:val="11"/>
        <w:rPr>
          <w:rFonts w:ascii="Times New Roman" w:hAnsi="Times New Roman"/>
        </w:rPr>
      </w:pPr>
    </w:p>
    <w:p w14:paraId="6EE8EFE3">
      <w:pPr>
        <w:pStyle w:val="11"/>
        <w:rPr>
          <w:rFonts w:ascii="Times New Roman" w:hAnsi="Times New Roman"/>
        </w:rPr>
      </w:pPr>
    </w:p>
    <w:p w14:paraId="3A1F0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u w:val="none"/>
          <w:lang w:val="en-US" w:eastAsia="zh-CN"/>
        </w:rPr>
        <w:t>东川区博士专家工作站建设办法（试行）</w:t>
      </w:r>
    </w:p>
    <w:p w14:paraId="1FEFE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24D1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第一章  总则</w:t>
      </w:r>
    </w:p>
    <w:p w14:paraId="1DB4A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第一条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为激发工业企业活力，提升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东川区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工业企业科技创新能力，贯彻《关于加快建设区域性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国际科技创新中心的实施意见（2017—2030）》（昆政发</w:t>
      </w:r>
      <w:r>
        <w:rPr>
          <w:rFonts w:hint="eastAsia" w:ascii="Times New Roman" w:hAnsi="Times New Roman" w:eastAsia="仿宋_GB2312"/>
          <w:sz w:val="32"/>
          <w:szCs w:val="32"/>
        </w:rPr>
        <w:t>〔</w:t>
      </w:r>
      <w:r>
        <w:rPr>
          <w:rStyle w:val="15"/>
          <w:rFonts w:hint="eastAsia" w:ascii="Times New Roman" w:hAnsi="Times New Roman"/>
          <w:szCs w:val="32"/>
        </w:rPr>
        <w:t>20</w:t>
      </w:r>
      <w:r>
        <w:rPr>
          <w:rStyle w:val="15"/>
          <w:rFonts w:hint="eastAsia" w:ascii="Times New Roman" w:hAnsi="Times New Roman" w:eastAsia="仿宋_GB231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31号）、《东川区促进工业高质量发展若干扶持政策（试行）》（东政发</w:t>
      </w:r>
      <w:r>
        <w:rPr>
          <w:rFonts w:hint="eastAsia" w:ascii="Times New Roman" w:hAnsi="Times New Roman" w:eastAsia="仿宋_GB2312"/>
          <w:sz w:val="32"/>
          <w:szCs w:val="32"/>
        </w:rPr>
        <w:t>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2022〕29号），根据《云南省专家基层科研工作站管理办法》等相关规定，结合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东川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区实际，制定本办法。</w:t>
      </w:r>
    </w:p>
    <w:p w14:paraId="4BB78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第二条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本办法所称博士专家工作站（以下简称“工作站”），是指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东川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区工业企业按照一定标准申报，经单位主管部门审核，并组织专家评估，批准建立的为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东川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区经济社会发展提供人才、技术、产业服务的人才工作载体和科技创新平台。</w:t>
      </w:r>
    </w:p>
    <w:p w14:paraId="30ADF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 xml:space="preserve">第三条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力争用5年时间，全区新建博士专家工作站10个左右，培育新增3个以上云南省院士（专家）工作站或云南省专家基层科研工作站。</w:t>
      </w:r>
    </w:p>
    <w:p w14:paraId="00855C8E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/>
          <w:color w:val="auto"/>
          <w:u w:val="none"/>
          <w:lang w:val="en-US" w:eastAsia="zh-CN"/>
        </w:rPr>
      </w:pPr>
    </w:p>
    <w:p w14:paraId="00364065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/>
          <w:color w:val="auto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第二章  资格条件</w:t>
      </w:r>
    </w:p>
    <w:p w14:paraId="4561D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第四条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博士专家工作站管理坚持政府综合管理，发挥设站单位主体作用；坚持分类管理，提高培养质量；坚持以人为本，强化服务保障。工作站以设站单位命名，如：XXX（企业名称）博士专家工作站。</w:t>
      </w:r>
    </w:p>
    <w:p w14:paraId="0558B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第五条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招收博士应当以高等院校、科研院所教学科研人员为主，不得招收党政机关领导干部在职进站从事博士研究工作。博士人员在站工作时间一般不少于两年。</w:t>
      </w:r>
    </w:p>
    <w:p w14:paraId="43B3A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第六条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企事业单位、社会组织或基层组织（以下简称“设站单位”）招收博士，应当根据自身发展实际，采取与高校和科研机构对接、面向社会公开招聘等形式进行，对申请者的科研能力、学术水平和已取得的科研成果进行严格审核，采用考核、考试、答辩等形式择优招收。工作站招收博士人员原则上应围绕主营业务所属的科研领域开展，对于非主营业务方面的应在调研论证的基础上提出可行性研究资料。</w:t>
      </w:r>
    </w:p>
    <w:p w14:paraId="453FF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招收进站和退站的博士人员须到区工科信局办理进站备案手续。</w:t>
      </w:r>
    </w:p>
    <w:p w14:paraId="5E7C4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第七条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设站单位应与博士人员签订劳动合同（在职博士签订工作协议），明确双方的权利、义务以及目标责任、在站工作期限、科研成果及知识产权归属和收益分配、违约责任等。</w:t>
      </w:r>
    </w:p>
    <w:p w14:paraId="47610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第八条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设站单位应具备以下基本条件：</w:t>
      </w:r>
    </w:p>
    <w:p w14:paraId="0EB6C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1.在东川区行政区域内注册，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经营或运行状况良好，未被列入严重失信主体名单。</w:t>
      </w:r>
    </w:p>
    <w:p w14:paraId="26F5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2.具有一定的规模，并拥有较高水平的研究队伍，具有创新理论和创新技术的博士科研项目；</w:t>
      </w:r>
    </w:p>
    <w:p w14:paraId="3077F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3.能为在站博士提供较好的科研条件和必要的生活条件。</w:t>
      </w:r>
    </w:p>
    <w:p w14:paraId="4A190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对属于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东川区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重点产业的高新技术企业、创新型企业可优先申请设站。对符合条件的中小企业、民营企业在同等条件下优先支持设站。</w:t>
      </w:r>
    </w:p>
    <w:p w14:paraId="1C194A81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7742D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u w:val="none"/>
        </w:rPr>
        <w:t>第三章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u w:val="none"/>
        </w:rPr>
        <w:t xml:space="preserve"> 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u w:val="none"/>
        </w:rPr>
        <w:t>建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u w:val="none"/>
        </w:rPr>
        <w:t>站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u w:val="none"/>
        </w:rPr>
        <w:t>程序</w:t>
      </w:r>
    </w:p>
    <w:p w14:paraId="0271D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第九条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专家工作站的建立采取申报制。</w:t>
      </w:r>
    </w:p>
    <w:p w14:paraId="27514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u w:val="none"/>
          <w:lang w:val="en-US" w:eastAsia="zh-CN"/>
        </w:rPr>
        <w:t>（一）安排部署。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区工科信局根据工作安排，适时发布专家工作站申报通知；</w:t>
      </w:r>
    </w:p>
    <w:p w14:paraId="6F4FE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u w:val="none"/>
          <w:lang w:val="en-US" w:eastAsia="zh-CN"/>
        </w:rPr>
        <w:t>（二）建站申报。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由符合条件的建站单位与专家共同提出建站申请，经专家所在单位同意后，报区工科信局初审；</w:t>
      </w:r>
    </w:p>
    <w:p w14:paraId="19315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u w:val="none"/>
          <w:lang w:val="en-US" w:eastAsia="zh-CN"/>
        </w:rPr>
        <w:t>（三）审核推荐。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区工科信局提出初审意见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，提交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由区工科信局牵头成立包括区人社局、园区管委会以及相关部门负责同志组成的评委会并组织评审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，并将评审结果及相关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材料报区委人才办；</w:t>
      </w:r>
    </w:p>
    <w:p w14:paraId="231F6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u w:val="none"/>
          <w:lang w:val="en-US" w:eastAsia="zh-CN"/>
        </w:rPr>
        <w:t>（四）公示评定。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区委人才领导小组会议研究审定并经公示无异议后，由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区委组织部、区财政局和区人社局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授牌；</w:t>
      </w:r>
    </w:p>
    <w:p w14:paraId="65579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u w:val="none"/>
          <w:lang w:val="en-US" w:eastAsia="zh-CN"/>
        </w:rPr>
        <w:t>（五）服务运行。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经挂牌的专家工作站，在建站发文后1个月内，制定工作实施方案，完善工作规章制度。</w:t>
      </w:r>
    </w:p>
    <w:p w14:paraId="68025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 xml:space="preserve">第十条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对2023年及以后获评云南省专家基层科研工作站或云南省院士（专家）工作站的，经建站单位申请后可直接授牌为东川区专家工作站，并给予一定的经费支持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。</w:t>
      </w:r>
    </w:p>
    <w:p w14:paraId="68440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</w:pPr>
    </w:p>
    <w:p w14:paraId="64DBE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color w:val="auto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第四章  考核评估</w:t>
      </w:r>
    </w:p>
    <w:p w14:paraId="1ECC6D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u w:val="none"/>
        </w:rPr>
        <w:t>第</w:t>
      </w: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u w:val="none"/>
          <w:lang w:val="en-US" w:eastAsia="zh-CN"/>
        </w:rPr>
        <w:t>十一</w:t>
      </w: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u w:val="none"/>
        </w:rPr>
        <w:t>条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  <w:t xml:space="preserve">  专家工作站运行期限为3年，专家工作站考核分为年度考核和期满考核。建站前两年按年度进行考核，采取书面考核的方式进行。建站的第三年进行期满考核，采取自检自查、实地考核、专家评审、综合评估相结合的方式进行。考核分为优秀、合格、不合格三个等次，考核优秀等次不超过参加考核总数的20%。</w:t>
      </w:r>
    </w:p>
    <w:p w14:paraId="0383EA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u w:val="none"/>
        </w:rPr>
        <w:t>第</w:t>
      </w: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u w:val="none"/>
          <w:lang w:val="en-US" w:eastAsia="zh-CN"/>
        </w:rPr>
        <w:t>十二</w:t>
      </w: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u w:val="none"/>
        </w:rPr>
        <w:t>条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  <w:t xml:space="preserve">  考核评估的内容主要包括：</w:t>
      </w:r>
    </w:p>
    <w:p w14:paraId="0D3955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  <w:t>（一）建设运行情况。重点考核专家工作站制度建设、日常管理、服务保障等方面的情况；</w:t>
      </w:r>
    </w:p>
    <w:p w14:paraId="34D867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  <w:t>（二）工作完成情况。重点考核专家工作站目标任务完成情况，主要在决策咨询、技术指导、学术交流、合作攻关以及引领带动建站单位科技创新、科研成果转化、产业发展等方面的情况；</w:t>
      </w:r>
    </w:p>
    <w:p w14:paraId="3562EA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  <w:t>（三）人才培养情况。重点考核人才队伍培养、建设等情况，主要评估对建站单位所在地区人才培养方面的培训、指导、支持等成效情况；</w:t>
      </w:r>
    </w:p>
    <w:p w14:paraId="0D8CA6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  <w:t>（四）专家服务情况。重点考核建站专家团队每年度深入专家工作站开展服务的时间、次数以及服务内容、服务事项、服务成效等情况；</w:t>
      </w:r>
    </w:p>
    <w:p w14:paraId="655813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  <w:t>（五）资金使用情况。重点考核专家工作站工作经费使用、管理及资金绩效等情况；</w:t>
      </w:r>
    </w:p>
    <w:p w14:paraId="5E13A1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  <w:t>（六）服务协议明确的目标任务完成情况。</w:t>
      </w:r>
    </w:p>
    <w:p w14:paraId="7A7567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u w:val="none"/>
        </w:rPr>
        <w:t>第十</w:t>
      </w: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u w:val="none"/>
        </w:rPr>
        <w:t>条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  <w:t xml:space="preserve">  有下列情形之一的专家工作站考核为不合格：</w:t>
      </w:r>
    </w:p>
    <w:p w14:paraId="23C426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  <w:t>（一）申报建站过程中弄虚作假，提供虚假材料或冒用他人成果的；</w:t>
      </w:r>
    </w:p>
    <w:p w14:paraId="0A8D5C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  <w:t>（二）专家无正当理由不按期到建站单位开展服务活动，或服务次数、服务时间、服务成效等达不到服务协议要求的；</w:t>
      </w:r>
    </w:p>
    <w:p w14:paraId="0FC690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  <w:t>（三）恶意侵犯他人知识产权，造成不良社会影响，被行政或司法部门确认为侵权行为的；</w:t>
      </w:r>
    </w:p>
    <w:p w14:paraId="7F6947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  <w:t>（四）发生重大安全、质量、严重环境污染等事故，受到行政、刑事处理的；</w:t>
      </w:r>
    </w:p>
    <w:p w14:paraId="5BADCA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  <w:t>（五）因管理不善导致专家工作站运行不正常，或服务建站工作反响不好、作用不明显，建站单位与建站专家无正当理由终止合同的；</w:t>
      </w:r>
    </w:p>
    <w:p w14:paraId="792177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  <w:t>（六）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截留占用、挪用、私分科研扶持经费的；</w:t>
      </w:r>
    </w:p>
    <w:p w14:paraId="0F63B0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（七）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  <w:t>经考核认定为不合格的其他情形。</w:t>
      </w:r>
    </w:p>
    <w:p w14:paraId="1C4D7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第十四条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博士人员在站期间，有下列情形之一者，应予以退站：</w:t>
      </w:r>
    </w:p>
    <w:p w14:paraId="605B6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1.进站半年后仍未取得国家承认的博士学位证书的；</w:t>
      </w:r>
    </w:p>
    <w:p w14:paraId="75D4F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2.提供虚假材料获得进站资格的；</w:t>
      </w:r>
    </w:p>
    <w:p w14:paraId="51567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3.中期或出站考核不合格的；</w:t>
      </w:r>
    </w:p>
    <w:p w14:paraId="3CB12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4.严重违反学术道德，弄虚作假，影响恶劣的；</w:t>
      </w:r>
    </w:p>
    <w:p w14:paraId="039D4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5.被处以刑事处罚的；</w:t>
      </w:r>
    </w:p>
    <w:p w14:paraId="7F167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6.因违反所在企业劳动纪律规定，符合解除劳动（聘用）合同情形的；</w:t>
      </w:r>
    </w:p>
    <w:p w14:paraId="133F2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7.因患病等原因难以完成研究工作的；</w:t>
      </w:r>
    </w:p>
    <w:p w14:paraId="29A60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8.出国逾期不归超过30天的；</w:t>
      </w:r>
    </w:p>
    <w:p w14:paraId="1A48B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9.合同（协议）期满，无正当理由不办理出站手续；</w:t>
      </w:r>
    </w:p>
    <w:p w14:paraId="24C9A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10.其他情况应予退站的。</w:t>
      </w:r>
    </w:p>
    <w:p w14:paraId="68D06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AEB89C3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/>
          <w:color w:val="auto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第五章  激励支持</w:t>
      </w:r>
    </w:p>
    <w:p w14:paraId="0FC95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第十五条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对设立博士专家工作站的企业，在成功招收博士人员后，根据《东川区促进工业高质量发展若干扶持政策（试行）》（东政发</w:t>
      </w:r>
      <w:r>
        <w:rPr>
          <w:rFonts w:hint="eastAsia" w:ascii="Times New Roman" w:hAnsi="Times New Roman" w:eastAsia="仿宋_GB2312"/>
          <w:sz w:val="32"/>
          <w:szCs w:val="32"/>
        </w:rPr>
        <w:t>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2022〕29号），对新引进的博士专家工作站给予一次性10万元科研扶持经费。其他引进的人才带技术、带项目、带资金落地东川区创新创业发展的，经评审后给予一次性5万元—10万元的科研扶持经费。</w:t>
      </w:r>
    </w:p>
    <w:p w14:paraId="698DB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第十六条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鼓励和支持在站博士留东川工作。对引进到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东川区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工业企业工作的进站博士，签订三年以上劳动合同且依法缴纳社会保险的，在子女入学、家属就业、文化旅游、体检就医等方面享受优惠政策。</w:t>
      </w:r>
    </w:p>
    <w:p w14:paraId="2DE8D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第十七条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对合作期满、考核优秀并明确还需继续支持运行的专家工作站，由建站单位和专家共同向区委人才办提出申请，按本办法重新认定及审批。</w:t>
      </w:r>
    </w:p>
    <w:p w14:paraId="2143A221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6A89E7B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第六章  退出机制</w:t>
      </w:r>
    </w:p>
    <w:p w14:paraId="45E8B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第十八条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专家工作站服务期满终止合作的自行撤站；年度考核有2次不合格的或期满考核不合格的由区工科信局直接作出撤站决定，并向区委人才办备案；合作期内因不可抗力因素不能继续开展专家服务工作的，由区工科信局向区委人才办提出申请后撤站。</w:t>
      </w:r>
    </w:p>
    <w:p w14:paraId="64CAC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第十九条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因考核不合格撤站的，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追回所拨付的全部工作经费，并在全区范围内进行通报，建站单位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和领衔专家3年内不得再次申报建站。因不可抗力撤站的，追回剩余的工作经费。</w:t>
      </w:r>
    </w:p>
    <w:p w14:paraId="5F4AA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</w:pPr>
    </w:p>
    <w:p w14:paraId="0CB93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第七章  组织保障</w:t>
      </w:r>
    </w:p>
    <w:p w14:paraId="1B1EC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第二十条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在区委人才工作领导小组领导下，健全完善部门各负其责、分工配合、协调运行的管理机制。</w:t>
      </w:r>
    </w:p>
    <w:p w14:paraId="0A8E7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 xml:space="preserve">第二十一条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本办法由区委人才办会同区工科信局负责解释。自印发之日起施行，有效期3年。</w:t>
      </w:r>
    </w:p>
    <w:p w14:paraId="0ED62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 w14:paraId="1E899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</w:p>
    <w:p w14:paraId="62BBF977">
      <w:pPr>
        <w:pStyle w:val="11"/>
        <w:rPr>
          <w:rFonts w:ascii="Times New Roman" w:hAnsi="Times New Roman"/>
        </w:rPr>
      </w:pPr>
    </w:p>
    <w:p w14:paraId="3ECE4E6A">
      <w:pPr>
        <w:pStyle w:val="11"/>
        <w:rPr>
          <w:rFonts w:ascii="Times New Roman" w:hAnsi="Times New Roman"/>
        </w:rPr>
      </w:pPr>
    </w:p>
    <w:p w14:paraId="7991099D">
      <w:pPr>
        <w:pStyle w:val="11"/>
        <w:rPr>
          <w:rFonts w:ascii="Times New Roman" w:hAnsi="Times New Roman"/>
        </w:rPr>
      </w:pPr>
    </w:p>
    <w:p w14:paraId="681AF2A5">
      <w:pPr>
        <w:pStyle w:val="11"/>
        <w:rPr>
          <w:rFonts w:ascii="Times New Roman" w:hAnsi="Times New Roman"/>
        </w:rPr>
      </w:pPr>
    </w:p>
    <w:p w14:paraId="5C307E73">
      <w:pPr>
        <w:pStyle w:val="11"/>
        <w:rPr>
          <w:rFonts w:ascii="Times New Roman" w:hAnsi="Times New Roman"/>
        </w:rPr>
      </w:pPr>
    </w:p>
    <w:p w14:paraId="498D41CD">
      <w:pPr>
        <w:pStyle w:val="11"/>
        <w:rPr>
          <w:rFonts w:ascii="Times New Roman" w:hAnsi="Times New Roman"/>
        </w:rPr>
      </w:pPr>
    </w:p>
    <w:p w14:paraId="631848F1">
      <w:pPr>
        <w:pStyle w:val="11"/>
        <w:rPr>
          <w:rFonts w:hint="eastAsia" w:ascii="Times New Roman" w:hAnsi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03CA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-206375</wp:posOffset>
              </wp:positionV>
              <wp:extent cx="911860" cy="4171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1860" cy="417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ADEC7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25pt;height:32.85pt;width:71.8pt;mso-position-horizontal:outside;mso-position-horizontal-relative:margin;z-index:251659264;mso-width-relative:page;mso-height-relative:page;" filled="f" stroked="f" coordsize="21600,21600" o:gfxdata="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3ksWo1wAAAAcBAAAPAAAAAAAAAAEAIAAAACIAAABkcnMvZG93bnJl&#10;di54bWxQSwECFAAUAAAACACHTuJAGljstjcCAABh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F0ADEC7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MDZmOTcwMDM4YjYwZWUwMTAxNWYzZmI4YWU0NTcifQ=="/>
  </w:docVars>
  <w:rsids>
    <w:rsidRoot w:val="00000000"/>
    <w:rsid w:val="015B06C9"/>
    <w:rsid w:val="0DF44048"/>
    <w:rsid w:val="102478C4"/>
    <w:rsid w:val="116415BB"/>
    <w:rsid w:val="1A7E2743"/>
    <w:rsid w:val="1A8C5DB8"/>
    <w:rsid w:val="1CBF7B92"/>
    <w:rsid w:val="1D2D0BF1"/>
    <w:rsid w:val="23A509AE"/>
    <w:rsid w:val="286106A6"/>
    <w:rsid w:val="29D01784"/>
    <w:rsid w:val="2BCB3649"/>
    <w:rsid w:val="2BDC0B90"/>
    <w:rsid w:val="2C2749C4"/>
    <w:rsid w:val="38CA437D"/>
    <w:rsid w:val="44AD340B"/>
    <w:rsid w:val="4696345C"/>
    <w:rsid w:val="487D4B32"/>
    <w:rsid w:val="53BE64A7"/>
    <w:rsid w:val="559B7014"/>
    <w:rsid w:val="55C7117D"/>
    <w:rsid w:val="594D4389"/>
    <w:rsid w:val="5A1C099B"/>
    <w:rsid w:val="5C795004"/>
    <w:rsid w:val="61E53460"/>
    <w:rsid w:val="622D0A39"/>
    <w:rsid w:val="62C75A60"/>
    <w:rsid w:val="632127FC"/>
    <w:rsid w:val="65AD254C"/>
    <w:rsid w:val="68E23881"/>
    <w:rsid w:val="699465B4"/>
    <w:rsid w:val="69B10C49"/>
    <w:rsid w:val="69BD7F39"/>
    <w:rsid w:val="6D154EAA"/>
    <w:rsid w:val="70E06C6E"/>
    <w:rsid w:val="752C346F"/>
    <w:rsid w:val="76C86DF4"/>
    <w:rsid w:val="77D415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default="1" w:styleId="8">
    <w:name w:val="Default Paragraph Font"/>
    <w:link w:val="9"/>
    <w:semiHidden/>
    <w:qFormat/>
    <w:uiPriority w:val="0"/>
    <w:rPr>
      <w:color w:val="000000"/>
      <w:kern w:val="0"/>
      <w:szCs w:val="20"/>
      <w:u w:val="none" w:color="000000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next w:val="1"/>
    <w:unhideWhenUsed/>
    <w:qFormat/>
    <w:uiPriority w:val="9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 Char Char Char"/>
    <w:basedOn w:val="1"/>
    <w:link w:val="8"/>
    <w:qFormat/>
    <w:uiPriority w:val="0"/>
    <w:rPr>
      <w:color w:val="000000"/>
      <w:kern w:val="0"/>
      <w:szCs w:val="20"/>
      <w:u w:val="none" w:color="000000"/>
    </w:rPr>
  </w:style>
  <w:style w:type="character" w:styleId="10">
    <w:name w:val="page number"/>
    <w:basedOn w:val="8"/>
    <w:qFormat/>
    <w:uiPriority w:val="0"/>
  </w:style>
  <w:style w:type="paragraph" w:customStyle="1" w:styleId="11">
    <w:name w:val="实施方案正文"/>
    <w:basedOn w:val="12"/>
    <w:qFormat/>
    <w:uiPriority w:val="99"/>
    <w:pPr>
      <w:ind w:firstLine="566" w:firstLineChars="202"/>
    </w:pPr>
    <w:rPr>
      <w:szCs w:val="28"/>
    </w:rPr>
  </w:style>
  <w:style w:type="paragraph" w:customStyle="1" w:styleId="12">
    <w:name w:val="正文 New"/>
    <w:next w:val="11"/>
    <w:qFormat/>
    <w:uiPriority w:val="0"/>
    <w:pPr>
      <w:widowControl w:val="0"/>
      <w:spacing w:line="588" w:lineRule="exact"/>
      <w:ind w:firstLine="200" w:firstLineChars="200"/>
      <w:jc w:val="both"/>
      <w:textAlignment w:val="center"/>
    </w:pPr>
    <w:rPr>
      <w:rFonts w:ascii="Calibri" w:hAnsi="Calibri" w:eastAsia="方正仿宋_GBK" w:cs="Times New Roman"/>
      <w:kern w:val="2"/>
      <w:sz w:val="30"/>
      <w:szCs w:val="22"/>
      <w:lang w:val="en-US" w:eastAsia="zh-CN" w:bidi="ar-SA"/>
    </w:rPr>
  </w:style>
  <w:style w:type="paragraph" w:customStyle="1" w:styleId="13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 Indent1"/>
    <w:qFormat/>
    <w:uiPriority w:val="0"/>
    <w:pPr>
      <w:widowControl w:val="0"/>
      <w:ind w:firstLine="420" w:firstLineChars="200"/>
      <w:jc w:val="both"/>
    </w:pPr>
    <w:rPr>
      <w:rFonts w:ascii="宋体" w:hAnsi="宋体" w:eastAsia="宋体" w:cs="宋体"/>
      <w:kern w:val="2"/>
      <w:sz w:val="32"/>
      <w:szCs w:val="32"/>
      <w:lang w:val="en-US" w:eastAsia="zh-CN" w:bidi="ar-SA"/>
    </w:rPr>
  </w:style>
  <w:style w:type="character" w:customStyle="1" w:styleId="15">
    <w:name w:val="公文正文"/>
    <w:basedOn w:val="8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3095</Words>
  <Characters>3149</Characters>
  <Lines>0</Lines>
  <Paragraphs>0</Paragraphs>
  <TotalTime>7</TotalTime>
  <ScaleCrop>false</ScaleCrop>
  <LinksUpToDate>false</LinksUpToDate>
  <CharactersWithSpaces>3240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小小不倒翁</cp:lastModifiedBy>
  <cp:lastPrinted>2023-06-21T08:20:00Z</cp:lastPrinted>
  <dcterms:modified xsi:type="dcterms:W3CDTF">2024-08-05T01:53:40Z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322E6B64F51340F39A71E1C397309F22_13</vt:lpwstr>
  </property>
</Properties>
</file>